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5E52F" w14:textId="77777777" w:rsidR="00707A91" w:rsidRPr="00EB0D85" w:rsidRDefault="00707A91" w:rsidP="00AD22E1">
      <w:pPr>
        <w:spacing w:after="1320"/>
      </w:pPr>
      <w:r w:rsidRPr="00EB0D85">
        <w:rPr>
          <w:noProof/>
        </w:rPr>
        <w:drawing>
          <wp:inline distT="0" distB="0" distL="0" distR="0" wp14:anchorId="1FAEDB08" wp14:editId="121587E4">
            <wp:extent cx="1791651" cy="1122098"/>
            <wp:effectExtent l="0" t="0" r="0" b="1905"/>
            <wp:docPr id="77" name="Picture 77" descr="Independent Health and Aged Care Pricing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Independent Health and Aged Care Pricing Authority logo"/>
                    <pic:cNvPicPr>
                      <a:picLocks noChangeAspect="1" noChangeArrowheads="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1791651" cy="1122098"/>
                    </a:xfrm>
                    <a:prstGeom prst="rect">
                      <a:avLst/>
                    </a:prstGeom>
                  </pic:spPr>
                </pic:pic>
              </a:graphicData>
            </a:graphic>
          </wp:inline>
        </w:drawing>
      </w:r>
    </w:p>
    <w:p w14:paraId="4F462892" w14:textId="7BA91769" w:rsidR="00707A91" w:rsidRPr="00EB0D85" w:rsidRDefault="00EB0D85" w:rsidP="00A5626C">
      <w:pPr>
        <w:pStyle w:val="CoverTitle"/>
      </w:pPr>
      <w:r w:rsidRPr="00EB0D85">
        <w:t>Annual Report 2025–26</w:t>
      </w:r>
    </w:p>
    <w:p w14:paraId="518F437A" w14:textId="01A79632" w:rsidR="00A5626C" w:rsidRPr="00EB0D85" w:rsidRDefault="00EB0D85" w:rsidP="00A5626C">
      <w:pPr>
        <w:pStyle w:val="Coversubtitle"/>
      </w:pPr>
      <w:r w:rsidRPr="00EB0D85">
        <w:t>October 2026</w:t>
      </w:r>
    </w:p>
    <w:p w14:paraId="001C8261" w14:textId="77777777" w:rsidR="00493FE8" w:rsidRPr="00EB0D85" w:rsidRDefault="00493FE8" w:rsidP="00257DF2">
      <w:pPr>
        <w:spacing w:after="1320"/>
        <w:sectPr w:rsidR="00493FE8" w:rsidRPr="00EB0D85" w:rsidSect="00E426C6">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440" w:right="1080" w:bottom="1440" w:left="1080" w:header="708" w:footer="708" w:gutter="0"/>
          <w:cols w:space="720"/>
          <w:docGrid w:linePitch="360"/>
        </w:sectPr>
      </w:pPr>
    </w:p>
    <w:p w14:paraId="2181CC9D" w14:textId="77777777" w:rsidR="00493FE8" w:rsidRPr="00EB0D85" w:rsidRDefault="004A6D92" w:rsidP="00257DF2">
      <w:pPr>
        <w:pStyle w:val="Coversubtitle"/>
        <w:rPr>
          <w:color w:val="104F99" w:themeColor="accent2"/>
        </w:rPr>
        <w:sectPr w:rsidR="00493FE8" w:rsidRPr="00EB0D85" w:rsidSect="004A6D92">
          <w:headerReference w:type="default" r:id="rId19"/>
          <w:footerReference w:type="default" r:id="rId20"/>
          <w:pgSz w:w="11906" w:h="16838" w:code="9"/>
          <w:pgMar w:top="7371" w:right="1077" w:bottom="1440" w:left="1077" w:header="709" w:footer="709" w:gutter="0"/>
          <w:cols w:space="720"/>
          <w:docGrid w:linePitch="360"/>
        </w:sectPr>
      </w:pPr>
      <w:r w:rsidRPr="00EB0D85">
        <w:rPr>
          <w:b w:val="0"/>
          <w:bCs/>
          <w:noProof/>
        </w:rPr>
        <w:lastRenderedPageBreak/>
        <mc:AlternateContent>
          <mc:Choice Requires="wps">
            <w:drawing>
              <wp:anchor distT="45720" distB="45720" distL="114300" distR="114300" simplePos="0" relativeHeight="251659264" behindDoc="0" locked="0" layoutInCell="1" allowOverlap="1" wp14:anchorId="34276A80" wp14:editId="4D086A60">
                <wp:simplePos x="0" y="0"/>
                <wp:positionH relativeFrom="page">
                  <wp:posOffset>4096385</wp:posOffset>
                </wp:positionH>
                <wp:positionV relativeFrom="paragraph">
                  <wp:posOffset>2203828</wp:posOffset>
                </wp:positionV>
                <wp:extent cx="3463925"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3925" cy="1404620"/>
                        </a:xfrm>
                        <a:prstGeom prst="rect">
                          <a:avLst/>
                        </a:prstGeom>
                        <a:noFill/>
                        <a:ln w="9525">
                          <a:noFill/>
                          <a:miter lim="800000"/>
                          <a:headEnd/>
                          <a:tailEnd/>
                        </a:ln>
                      </wps:spPr>
                      <wps:txbx>
                        <w:txbxContent>
                          <w:p w14:paraId="51E29BEA" w14:textId="77777777" w:rsidR="004A6D92" w:rsidRPr="00EB0D85" w:rsidRDefault="004A6D92" w:rsidP="004A6D92">
                            <w:pPr>
                              <w:spacing w:after="360" w:line="240" w:lineRule="auto"/>
                              <w:rPr>
                                <w:b/>
                                <w:bCs/>
                                <w:color w:val="54C1AF" w:themeColor="accent5"/>
                                <w:sz w:val="44"/>
                                <w:szCs w:val="44"/>
                              </w:rPr>
                            </w:pPr>
                            <w:r w:rsidRPr="00EB0D85">
                              <w:rPr>
                                <w:b/>
                                <w:bCs/>
                                <w:color w:val="54C1AF" w:themeColor="accent5"/>
                                <w:sz w:val="44"/>
                                <w:szCs w:val="44"/>
                              </w:rPr>
                              <w:t xml:space="preserve">Acknowledgement </w:t>
                            </w:r>
                            <w:r w:rsidRPr="00EB0D85">
                              <w:rPr>
                                <w:b/>
                                <w:bCs/>
                                <w:color w:val="54C1AF" w:themeColor="accent5"/>
                                <w:sz w:val="44"/>
                                <w:szCs w:val="44"/>
                              </w:rPr>
                              <w:br/>
                              <w:t>of Country</w:t>
                            </w:r>
                          </w:p>
                          <w:p w14:paraId="7D84386B" w14:textId="77777777" w:rsidR="009720A3" w:rsidRPr="00EB0D85" w:rsidRDefault="009720A3" w:rsidP="009720A3">
                            <w:pPr>
                              <w:rPr>
                                <w:color w:val="FFFFFF" w:themeColor="background2"/>
                              </w:rPr>
                            </w:pPr>
                            <w:r w:rsidRPr="00EB0D85">
                              <w:rPr>
                                <w:color w:val="FFFFFF" w:themeColor="background2"/>
                                <w:sz w:val="24"/>
                                <w:szCs w:val="24"/>
                              </w:rPr>
                              <w:t xml:space="preserve">We acknowledge the Traditional Owners </w:t>
                            </w:r>
                            <w:r w:rsidRPr="00EB0D85">
                              <w:rPr>
                                <w:color w:val="FFFFFF" w:themeColor="background2"/>
                                <w:sz w:val="24"/>
                                <w:szCs w:val="24"/>
                              </w:rPr>
                              <w:br/>
                              <w:t xml:space="preserve">and Custodians of Country throughout </w:t>
                            </w:r>
                            <w:r w:rsidRPr="00EB0D85">
                              <w:rPr>
                                <w:color w:val="FFFFFF" w:themeColor="background2"/>
                                <w:sz w:val="24"/>
                                <w:szCs w:val="24"/>
                              </w:rPr>
                              <w:br/>
                              <w:t xml:space="preserve">Australia, and recognise their continuing connection to land, sky, waters and culture. </w:t>
                            </w:r>
                            <w:r w:rsidRPr="00EB0D85">
                              <w:rPr>
                                <w:color w:val="FFFFFF" w:themeColor="background2"/>
                                <w:sz w:val="24"/>
                                <w:szCs w:val="24"/>
                              </w:rPr>
                              <w:br/>
                              <w:t xml:space="preserve">We pay our respects to them, and to </w:t>
                            </w:r>
                            <w:r w:rsidRPr="00EB0D85">
                              <w:rPr>
                                <w:color w:val="FFFFFF" w:themeColor="background2"/>
                                <w:sz w:val="24"/>
                                <w:szCs w:val="24"/>
                              </w:rPr>
                              <w:br/>
                              <w:t>Elders both past and present.</w:t>
                            </w:r>
                          </w:p>
                          <w:p w14:paraId="54756DF6" w14:textId="77777777" w:rsidR="004A6D92" w:rsidRPr="00EB0D85" w:rsidRDefault="004A6D92" w:rsidP="004A6D92">
                            <w:pPr>
                              <w:rPr>
                                <w:color w:val="FFFFFF" w:themeColor="background2"/>
                              </w:rPr>
                            </w:pPr>
                          </w:p>
                          <w:p w14:paraId="38085168" w14:textId="77777777" w:rsidR="004A6D92" w:rsidRPr="00EB0D85" w:rsidRDefault="004A6D92" w:rsidP="004A6D92">
                            <w:pPr>
                              <w:rPr>
                                <w:color w:val="FFFFFF" w:themeColor="background2"/>
                                <w:sz w:val="16"/>
                                <w:szCs w:val="16"/>
                              </w:rPr>
                            </w:pPr>
                            <w:r w:rsidRPr="00EB0D85">
                              <w:rPr>
                                <w:color w:val="FFFFFF" w:themeColor="background2"/>
                                <w:sz w:val="16"/>
                                <w:szCs w:val="16"/>
                              </w:rPr>
                              <w:t>Artwork by Chern’ee Sutton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4276A80" id="_x0000_t202" coordsize="21600,21600" o:spt="202" path="m,l,21600r21600,l21600,xe">
                <v:stroke joinstyle="miter"/>
                <v:path gradientshapeok="t" o:connecttype="rect"/>
              </v:shapetype>
              <v:shape id="Text Box 2" o:spid="_x0000_s1026" type="#_x0000_t202" style="position:absolute;margin-left:322.55pt;margin-top:173.55pt;width:272.75pt;height:110.6pt;z-index:2516592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" filled="f" stroked="f">
                <v:textbox style="mso-fit-shape-to-text:t">
                  <w:txbxContent>
                    <w:p w14:paraId="51E29BEA" w14:textId="77777777" w:rsidR="004A6D92" w:rsidRPr="00EB0D85" w:rsidRDefault="004A6D92" w:rsidP="004A6D92">
                      <w:pPr>
                        <w:spacing w:after="360" w:line="240" w:lineRule="auto"/>
                        <w:rPr>
                          <w:b/>
                          <w:bCs/>
                          <w:color w:val="54C1AF" w:themeColor="accent5"/>
                          <w:sz w:val="44"/>
                          <w:szCs w:val="44"/>
                        </w:rPr>
                      </w:pPr>
                      <w:r w:rsidRPr="00EB0D85">
                        <w:rPr>
                          <w:b/>
                          <w:bCs/>
                          <w:color w:val="54C1AF" w:themeColor="accent5"/>
                          <w:sz w:val="44"/>
                          <w:szCs w:val="44"/>
                        </w:rPr>
                        <w:t xml:space="preserve">Acknowledgement </w:t>
                      </w:r>
                      <w:r w:rsidRPr="00EB0D85">
                        <w:rPr>
                          <w:b/>
                          <w:bCs/>
                          <w:color w:val="54C1AF" w:themeColor="accent5"/>
                          <w:sz w:val="44"/>
                          <w:szCs w:val="44"/>
                        </w:rPr>
                        <w:br/>
                        <w:t>of Country</w:t>
                      </w:r>
                    </w:p>
                    <w:p w14:paraId="7D84386B" w14:textId="77777777" w:rsidR="009720A3" w:rsidRPr="00EB0D85" w:rsidRDefault="009720A3" w:rsidP="009720A3">
                      <w:pPr>
                        <w:rPr>
                          <w:color w:val="FFFFFF" w:themeColor="background2"/>
                        </w:rPr>
                      </w:pPr>
                      <w:r w:rsidRPr="00EB0D85">
                        <w:rPr>
                          <w:color w:val="FFFFFF" w:themeColor="background2"/>
                          <w:sz w:val="24"/>
                          <w:szCs w:val="24"/>
                        </w:rPr>
                        <w:t xml:space="preserve">We acknowledge the Traditional Owners </w:t>
                      </w:r>
                      <w:r w:rsidRPr="00EB0D85">
                        <w:rPr>
                          <w:color w:val="FFFFFF" w:themeColor="background2"/>
                          <w:sz w:val="24"/>
                          <w:szCs w:val="24"/>
                        </w:rPr>
                        <w:br/>
                        <w:t xml:space="preserve">and Custodians of Country throughout </w:t>
                      </w:r>
                      <w:r w:rsidRPr="00EB0D85">
                        <w:rPr>
                          <w:color w:val="FFFFFF" w:themeColor="background2"/>
                          <w:sz w:val="24"/>
                          <w:szCs w:val="24"/>
                        </w:rPr>
                        <w:br/>
                        <w:t xml:space="preserve">Australia, and recognise their continuing connection to land, sky, waters and culture. </w:t>
                      </w:r>
                      <w:r w:rsidRPr="00EB0D85">
                        <w:rPr>
                          <w:color w:val="FFFFFF" w:themeColor="background2"/>
                          <w:sz w:val="24"/>
                          <w:szCs w:val="24"/>
                        </w:rPr>
                        <w:br/>
                        <w:t xml:space="preserve">We pay our respects to them, and to </w:t>
                      </w:r>
                      <w:r w:rsidRPr="00EB0D85">
                        <w:rPr>
                          <w:color w:val="FFFFFF" w:themeColor="background2"/>
                          <w:sz w:val="24"/>
                          <w:szCs w:val="24"/>
                        </w:rPr>
                        <w:br/>
                        <w:t>Elders both past and present.</w:t>
                      </w:r>
                    </w:p>
                    <w:p w14:paraId="54756DF6" w14:textId="77777777" w:rsidR="004A6D92" w:rsidRPr="00EB0D85" w:rsidRDefault="004A6D92" w:rsidP="004A6D92">
                      <w:pPr>
                        <w:rPr>
                          <w:color w:val="FFFFFF" w:themeColor="background2"/>
                        </w:rPr>
                      </w:pPr>
                    </w:p>
                    <w:p w14:paraId="38085168" w14:textId="77777777" w:rsidR="004A6D92" w:rsidRPr="00EB0D85" w:rsidRDefault="004A6D92" w:rsidP="004A6D92">
                      <w:pPr>
                        <w:rPr>
                          <w:color w:val="FFFFFF" w:themeColor="background2"/>
                          <w:sz w:val="16"/>
                          <w:szCs w:val="16"/>
                        </w:rPr>
                      </w:pPr>
                      <w:r w:rsidRPr="00EB0D85">
                        <w:rPr>
                          <w:color w:val="FFFFFF" w:themeColor="background2"/>
                          <w:sz w:val="16"/>
                          <w:szCs w:val="16"/>
                        </w:rPr>
                        <w:t>Artwork by Chern’ee Sutton</w:t>
                      </w:r>
                    </w:p>
                  </w:txbxContent>
                </v:textbox>
                <w10:wrap type="square" anchorx="page"/>
              </v:shape>
            </w:pict>
          </mc:Fallback>
        </mc:AlternateContent>
      </w:r>
    </w:p>
    <w:p w14:paraId="0B936700" w14:textId="3A690049" w:rsidR="00276510" w:rsidRPr="00EB0D85" w:rsidRDefault="00EB0D85" w:rsidP="000E79BA">
      <w:pPr>
        <w:rPr>
          <w:b/>
          <w:bCs/>
        </w:rPr>
      </w:pPr>
      <w:r w:rsidRPr="00EB0D85">
        <w:rPr>
          <w:b/>
          <w:bCs/>
        </w:rPr>
        <w:lastRenderedPageBreak/>
        <w:t>IHACPA Annual Report 2025–26</w:t>
      </w:r>
      <w:r w:rsidR="00276510" w:rsidRPr="00EB0D85">
        <w:rPr>
          <w:b/>
          <w:bCs/>
        </w:rPr>
        <w:t xml:space="preserve"> </w:t>
      </w:r>
      <w:r w:rsidR="00276510" w:rsidRPr="00EB0D85">
        <w:rPr>
          <w:rFonts w:hint="cs"/>
          <w:b/>
          <w:bCs/>
        </w:rPr>
        <w:t>—</w:t>
      </w:r>
      <w:r w:rsidR="00276510" w:rsidRPr="00EB0D85">
        <w:rPr>
          <w:b/>
          <w:bCs/>
        </w:rPr>
        <w:t xml:space="preserve"> </w:t>
      </w:r>
      <w:r w:rsidRPr="00EB0D85">
        <w:rPr>
          <w:b/>
          <w:bCs/>
        </w:rPr>
        <w:t>October 2026</w:t>
      </w:r>
    </w:p>
    <w:p w14:paraId="30E314D0" w14:textId="77777777" w:rsidR="00276510" w:rsidRPr="00EB0D85" w:rsidRDefault="00276510" w:rsidP="00276510">
      <w:pPr>
        <w:pStyle w:val="Copyrightcopy"/>
      </w:pPr>
      <w:r w:rsidRPr="00EB0D85">
        <w:rPr>
          <w:rFonts w:hint="cs"/>
        </w:rPr>
        <w:t>©</w:t>
      </w:r>
      <w:r w:rsidRPr="00EB0D85">
        <w:t xml:space="preserve"> Independent Health and Aged Care Pricing Authority 20</w:t>
      </w:r>
      <w:r w:rsidR="007F4482" w:rsidRPr="00EB0D85">
        <w:t>2</w:t>
      </w:r>
      <w:r w:rsidR="0027409C" w:rsidRPr="00EB0D85">
        <w:t>6</w:t>
      </w:r>
    </w:p>
    <w:p w14:paraId="12A230AE" w14:textId="77777777" w:rsidR="00276510" w:rsidRPr="00EB0D85" w:rsidRDefault="00276510" w:rsidP="00276510">
      <w:pPr>
        <w:pStyle w:val="Copyrightcopy"/>
      </w:pPr>
      <w:r w:rsidRPr="00EB0D85">
        <w:t>This publication is available for your use under a</w:t>
      </w:r>
      <w:r w:rsidR="00210630" w:rsidRPr="00EB0D85">
        <w:t xml:space="preserve"> Creative Commons Attribution 4.0 International licence</w:t>
      </w:r>
      <w:r w:rsidR="0063624E" w:rsidRPr="00EB0D85">
        <w:t>,</w:t>
      </w:r>
      <w:r w:rsidR="004A6D92" w:rsidRPr="00EB0D85">
        <w:t xml:space="preserve"> </w:t>
      </w:r>
      <w:r w:rsidRPr="00EB0D85">
        <w:t>with the exception of the Independent Health and Aged Care Pricing Authority logo, photographs, images, signatures and where otherwise stated. The full licence terms are available from the Creative Commons website.</w:t>
      </w:r>
    </w:p>
    <w:p w14:paraId="733230C4" w14:textId="77777777" w:rsidR="00276510" w:rsidRPr="00EB0D85" w:rsidRDefault="00276510" w:rsidP="00276510">
      <w:pPr>
        <w:pStyle w:val="Copyrightcopy"/>
      </w:pPr>
      <w:r w:rsidRPr="00EB0D85">
        <w:rPr>
          <w:noProof/>
        </w:rPr>
        <w:drawing>
          <wp:inline distT="0" distB="0" distL="0" distR="0" wp14:anchorId="7AB47898" wp14:editId="78835DD8">
            <wp:extent cx="1175004" cy="411480"/>
            <wp:effectExtent l="0" t="0" r="6350" b="7620"/>
            <wp:docPr id="54" name="Picture 54" descr="Creative Commons Attribution 3.0 Australia li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reative Commons Attribution 3.0 Australia licence"/>
                    <pic:cNvPicPr/>
                  </pic:nvPicPr>
                  <pic:blipFill>
                    <a:blip r:embed="rId21">
                      <a:extLst>
                        <a:ext uri="{28A0092B-C50C-407E-A947-70E740481C1C}">
                          <a14:useLocalDpi xmlns:a14="http://schemas.microsoft.com/office/drawing/2010/main" val="0"/>
                        </a:ext>
                      </a:extLst>
                    </a:blip>
                    <a:stretch>
                      <a:fillRect/>
                    </a:stretch>
                  </pic:blipFill>
                  <pic:spPr>
                    <a:xfrm>
                      <a:off x="0" y="0"/>
                      <a:ext cx="1175004" cy="411480"/>
                    </a:xfrm>
                    <a:prstGeom prst="rect">
                      <a:avLst/>
                    </a:prstGeom>
                  </pic:spPr>
                </pic:pic>
              </a:graphicData>
            </a:graphic>
          </wp:inline>
        </w:drawing>
      </w:r>
      <w:r w:rsidRPr="00EB0D85">
        <w:t xml:space="preserve"> </w:t>
      </w:r>
    </w:p>
    <w:p w14:paraId="6785B9D3" w14:textId="77777777" w:rsidR="00276510" w:rsidRPr="00EB0D85" w:rsidRDefault="00276510" w:rsidP="00276510">
      <w:pPr>
        <w:pStyle w:val="Copyrightcopy"/>
      </w:pPr>
      <w:r w:rsidRPr="00EB0D85">
        <w:t xml:space="preserve">Use of Independent Health and Aged Care Pricing Authority material under </w:t>
      </w:r>
      <w:r w:rsidR="00210630" w:rsidRPr="00EB0D85">
        <w:t>a Creative Commons Attribution 4.0 International licence</w:t>
      </w:r>
      <w:r w:rsidRPr="00EB0D85">
        <w:t xml:space="preserve"> requires you to attribute the work (but not in any way that suggests that the Independent Health and Aged Care Pricing Authority endorses you or your use of the</w:t>
      </w:r>
      <w:r w:rsidRPr="00EB0D85">
        <w:rPr>
          <w:rFonts w:hint="cs"/>
        </w:rPr>
        <w:t> </w:t>
      </w:r>
      <w:r w:rsidRPr="00EB0D85">
        <w:t>work).</w:t>
      </w:r>
    </w:p>
    <w:p w14:paraId="1036BFC7" w14:textId="77777777" w:rsidR="00276510" w:rsidRPr="00EB0D85" w:rsidRDefault="00276510" w:rsidP="00276510">
      <w:pPr>
        <w:pStyle w:val="Copyrightcopy"/>
      </w:pPr>
      <w:r w:rsidRPr="00EB0D85">
        <w:t xml:space="preserve">Independent Health and Aged Care Pricing Authority material used </w:t>
      </w:r>
      <w:r w:rsidR="004A6D92" w:rsidRPr="00EB0D85">
        <w:br/>
      </w:r>
      <w:r w:rsidRPr="00EB0D85">
        <w:t>'as supplied'.</w:t>
      </w:r>
    </w:p>
    <w:p w14:paraId="1F67ECE4" w14:textId="77777777" w:rsidR="00276510" w:rsidRPr="00EB0D85" w:rsidRDefault="00276510" w:rsidP="00276510">
      <w:pPr>
        <w:pStyle w:val="Copyrightcopy"/>
      </w:pPr>
      <w:r w:rsidRPr="00EB0D85">
        <w:t xml:space="preserve">Provided you have not modified or transformed Independent Health and Aged Care Pricing Authority material in any way including, for example, by changing Independent Health and Aged Care Pricing Authority text </w:t>
      </w:r>
      <w:r w:rsidRPr="00EB0D85">
        <w:rPr>
          <w:rFonts w:hint="cs"/>
        </w:rPr>
        <w:t>–</w:t>
      </w:r>
      <w:r w:rsidRPr="00EB0D85">
        <w:t xml:space="preserve"> then the Independent Health and Aged Care Pricing Authority prefers the following attribution:</w:t>
      </w:r>
    </w:p>
    <w:p w14:paraId="203EDF55" w14:textId="77777777" w:rsidR="00276510" w:rsidRPr="00EB0D85" w:rsidRDefault="00276510" w:rsidP="00276510">
      <w:pPr>
        <w:pStyle w:val="Copyrightcopy"/>
      </w:pPr>
      <w:r w:rsidRPr="00EB0D85">
        <w:t>Source: The Independent Health and Aged Care Pricing</w:t>
      </w:r>
      <w:r w:rsidRPr="00EB0D85">
        <w:rPr>
          <w:rFonts w:hint="cs"/>
        </w:rPr>
        <w:t> </w:t>
      </w:r>
      <w:r w:rsidRPr="00EB0D85">
        <w:t>Authority</w:t>
      </w:r>
    </w:p>
    <w:p w14:paraId="5A6AB407" w14:textId="77777777" w:rsidR="00EB0D85" w:rsidRPr="00EB0D85" w:rsidRDefault="00EB0D85" w:rsidP="00EB0D85"/>
    <w:p w14:paraId="043BD088" w14:textId="77777777" w:rsidR="00EB0D85" w:rsidRPr="00EB0D85" w:rsidRDefault="00EB0D85" w:rsidP="00EB0D85"/>
    <w:p w14:paraId="2F75E610" w14:textId="77777777" w:rsidR="00EB0D85" w:rsidRPr="00EB0D85" w:rsidRDefault="00EB0D85" w:rsidP="00EB0D85"/>
    <w:p w14:paraId="536F29BC" w14:textId="77777777" w:rsidR="00EB0D85" w:rsidRPr="00EB0D85" w:rsidRDefault="00EB0D85" w:rsidP="00EB0D85"/>
    <w:p w14:paraId="3989397A" w14:textId="77777777" w:rsidR="00EB0D85" w:rsidRPr="00EB0D85" w:rsidRDefault="00EB0D85" w:rsidP="00EB0D85"/>
    <w:p w14:paraId="139DBB79" w14:textId="77777777" w:rsidR="00EB0D85" w:rsidRPr="00EB0D85" w:rsidRDefault="00EB0D85" w:rsidP="00EB0D85"/>
    <w:p w14:paraId="66A4F5B4" w14:textId="77777777" w:rsidR="00EB0D85" w:rsidRPr="00EB0D85" w:rsidRDefault="00EB0D85" w:rsidP="00EB0D85"/>
    <w:p w14:paraId="0F6C9447" w14:textId="77777777" w:rsidR="00EB0D85" w:rsidRPr="00EB0D85" w:rsidRDefault="00EB0D85" w:rsidP="00EB0D85"/>
    <w:p w14:paraId="1D169FB0" w14:textId="77777777" w:rsidR="00EB0D85" w:rsidRPr="00EB0D85" w:rsidRDefault="00EB0D85" w:rsidP="00EB0D85"/>
    <w:p w14:paraId="7051F1A9" w14:textId="77777777" w:rsidR="00EB0D85" w:rsidRPr="00EB0D85" w:rsidRDefault="00EB0D85" w:rsidP="00EB0D85"/>
    <w:p w14:paraId="241B7C8F" w14:textId="77777777" w:rsidR="00EB0D85" w:rsidRPr="00EB0D85" w:rsidRDefault="00EB0D85" w:rsidP="00EB0D85"/>
    <w:p w14:paraId="321BC2A8" w14:textId="77777777" w:rsidR="00EB0D85" w:rsidRPr="00EB0D85" w:rsidRDefault="00EB0D85" w:rsidP="00EB0D85"/>
    <w:p w14:paraId="2D64052A" w14:textId="77777777" w:rsidR="00EB0D85" w:rsidRPr="00EB0D85" w:rsidRDefault="00EB0D85" w:rsidP="00EB0D85"/>
    <w:p w14:paraId="7C82C85B" w14:textId="77777777" w:rsidR="00EB0D85" w:rsidRPr="00EB0D85" w:rsidRDefault="00EB0D85" w:rsidP="00EB0D85"/>
    <w:p w14:paraId="370B0D8A" w14:textId="77777777" w:rsidR="00EB0D85" w:rsidRPr="00EB0D85" w:rsidRDefault="00EB0D85" w:rsidP="00EB0D85">
      <w:pPr>
        <w:pStyle w:val="Heading1"/>
      </w:pPr>
      <w:bookmarkStart w:id="0" w:name="_Toc200974649"/>
      <w:bookmarkStart w:id="1" w:name="_Toc228267068"/>
      <w:bookmarkStart w:id="2" w:name="_Toc230068285"/>
      <w:bookmarkStart w:id="3" w:name="_Toc233022240"/>
      <w:bookmarkStart w:id="4" w:name="_Toc233023003"/>
      <w:bookmarkStart w:id="5" w:name="_Toc233023338"/>
      <w:bookmarkStart w:id="6" w:name="_Toc233028637"/>
      <w:bookmarkStart w:id="7" w:name="_Toc233028831"/>
      <w:bookmarkStart w:id="8" w:name="_Toc235787386"/>
      <w:bookmarkStart w:id="9" w:name="_Toc235791524"/>
      <w:bookmarkStart w:id="10" w:name="_Toc237872628"/>
      <w:r w:rsidRPr="00EB0D85">
        <w:lastRenderedPageBreak/>
        <w:t>Approval by accountable authority</w:t>
      </w:r>
      <w:bookmarkEnd w:id="0"/>
      <w:bookmarkEnd w:id="1"/>
      <w:bookmarkEnd w:id="2"/>
      <w:bookmarkEnd w:id="3"/>
      <w:bookmarkEnd w:id="4"/>
      <w:bookmarkEnd w:id="5"/>
      <w:bookmarkEnd w:id="6"/>
      <w:bookmarkEnd w:id="7"/>
      <w:bookmarkEnd w:id="8"/>
      <w:bookmarkEnd w:id="9"/>
      <w:bookmarkEnd w:id="10"/>
    </w:p>
    <w:p w14:paraId="3E13312A" w14:textId="77777777" w:rsidR="00EB0D85" w:rsidRPr="00EB0D85" w:rsidRDefault="00EB0D85" w:rsidP="00EB0D85">
      <w:pPr>
        <w:pStyle w:val="BodyText"/>
        <w:rPr>
          <w:rFonts w:ascii="Arial" w:hAnsi="Arial" w:cs="Arial"/>
          <w:color w:val="15272F" w:themeColor="text1"/>
          <w:sz w:val="22"/>
          <w:szCs w:val="22"/>
        </w:rPr>
      </w:pPr>
      <w:r w:rsidRPr="00EB0D85">
        <w:rPr>
          <w:rFonts w:ascii="Arial" w:hAnsi="Arial" w:cs="Arial"/>
          <w:color w:val="15272F" w:themeColor="text1"/>
          <w:sz w:val="22"/>
          <w:szCs w:val="22"/>
        </w:rPr>
        <w:t xml:space="preserve">The Independent Health and Aged Care Pricing Authority is a corporate Commonwealth entity. This report has been prepared in accordance with the requirements of sections 17BA to 17BF of the Public Governance, Performance and Accountability Rule 2014. This report also contains information required under other applicable legislation, including the </w:t>
      </w:r>
      <w:r w:rsidRPr="00EB0D85">
        <w:rPr>
          <w:rFonts w:ascii="Arial" w:hAnsi="Arial" w:cs="Arial"/>
          <w:i/>
          <w:iCs/>
          <w:color w:val="15272F" w:themeColor="text1"/>
          <w:sz w:val="22"/>
          <w:szCs w:val="22"/>
        </w:rPr>
        <w:t>Work Health and Safety Act 2011</w:t>
      </w:r>
      <w:r w:rsidRPr="00EB0D85">
        <w:rPr>
          <w:rFonts w:ascii="Arial" w:hAnsi="Arial" w:cs="Arial"/>
          <w:color w:val="15272F" w:themeColor="text1"/>
          <w:sz w:val="22"/>
          <w:szCs w:val="22"/>
        </w:rPr>
        <w:t xml:space="preserve">. </w:t>
      </w:r>
    </w:p>
    <w:p w14:paraId="0151DD6C" w14:textId="77777777" w:rsidR="00EB0D85" w:rsidRPr="00EB0D85" w:rsidRDefault="00EB0D85" w:rsidP="00EB0D85">
      <w:pPr>
        <w:pStyle w:val="BodyText"/>
        <w:rPr>
          <w:rFonts w:ascii="Arial" w:hAnsi="Arial" w:cs="Arial"/>
          <w:color w:val="15272F" w:themeColor="text1"/>
          <w:sz w:val="22"/>
          <w:szCs w:val="22"/>
        </w:rPr>
      </w:pPr>
      <w:r w:rsidRPr="00EB0D85">
        <w:rPr>
          <w:rFonts w:ascii="Arial" w:hAnsi="Arial" w:cs="Arial"/>
          <w:color w:val="15272F" w:themeColor="text1"/>
          <w:sz w:val="22"/>
          <w:szCs w:val="22"/>
        </w:rPr>
        <w:t xml:space="preserve">As the accountable authority for the purposes of the </w:t>
      </w:r>
      <w:r w:rsidRPr="00EB0D85">
        <w:rPr>
          <w:rFonts w:ascii="Arial" w:hAnsi="Arial" w:cs="Arial"/>
          <w:i/>
          <w:iCs/>
          <w:color w:val="15272F" w:themeColor="text1"/>
          <w:sz w:val="22"/>
          <w:szCs w:val="22"/>
        </w:rPr>
        <w:t>Public Governance, Performance and Accountability Act 2013</w:t>
      </w:r>
      <w:r w:rsidRPr="00EB0D85">
        <w:rPr>
          <w:rFonts w:ascii="Arial" w:hAnsi="Arial" w:cs="Arial"/>
          <w:color w:val="15272F" w:themeColor="text1"/>
          <w:sz w:val="22"/>
          <w:szCs w:val="22"/>
        </w:rPr>
        <w:t>, I am responsible for preparing this annual report and providing a copy to the responsible minister.</w:t>
      </w:r>
    </w:p>
    <w:p w14:paraId="3CA81E73" w14:textId="7687DF73" w:rsidR="00EB0D85" w:rsidRPr="00EB0D85" w:rsidRDefault="00EB0D85" w:rsidP="00EB0D85">
      <w:pPr>
        <w:spacing w:before="1440" w:line="280" w:lineRule="atLeast"/>
        <w:sectPr w:rsidR="00EB0D85" w:rsidRPr="00EB0D85" w:rsidSect="00EB0D85">
          <w:headerReference w:type="default" r:id="rId22"/>
          <w:footerReference w:type="default" r:id="rId23"/>
          <w:pgSz w:w="11906" w:h="16838" w:code="9"/>
          <w:pgMar w:top="1440" w:right="1080" w:bottom="1440" w:left="1080" w:header="708" w:footer="708" w:gutter="0"/>
          <w:cols w:space="720"/>
          <w:docGrid w:linePitch="360"/>
        </w:sectPr>
      </w:pPr>
      <w:r w:rsidRPr="00EB0D85">
        <w:rPr>
          <w:b/>
          <w:bCs/>
        </w:rPr>
        <w:t>Professor Michael Pervan</w:t>
      </w:r>
      <w:r w:rsidRPr="00EB0D85">
        <w:t xml:space="preserve"> </w:t>
      </w:r>
      <w:r w:rsidRPr="00EB0D85">
        <w:br/>
        <w:t xml:space="preserve">Chief Executive Officer </w:t>
      </w:r>
      <w:r w:rsidRPr="00EB0D85">
        <w:br/>
        <w:t xml:space="preserve">Independent Health and Aged Care Pricing Authority </w:t>
      </w:r>
      <w:r w:rsidRPr="00EB0D85">
        <w:br/>
      </w:r>
      <w:r w:rsidR="00480D1E">
        <w:t>18</w:t>
      </w:r>
      <w:r w:rsidRPr="00EB0D85">
        <w:t xml:space="preserve"> September 2026</w:t>
      </w:r>
    </w:p>
    <w:p w14:paraId="1276561D" w14:textId="77777777" w:rsidR="00EB0D85" w:rsidRPr="00EB0D85" w:rsidRDefault="00EB0D85" w:rsidP="00EB0D85">
      <w:pPr>
        <w:pStyle w:val="TableFigureHeading0"/>
        <w:rPr>
          <w:sz w:val="22"/>
          <w:lang w:val="en-AU"/>
        </w:rPr>
      </w:pPr>
      <w:bookmarkStart w:id="11" w:name="_Hlk221091203"/>
      <w:r w:rsidRPr="00EB0D85">
        <w:rPr>
          <w:sz w:val="22"/>
          <w:lang w:val="en-AU"/>
        </w:rPr>
        <w:lastRenderedPageBreak/>
        <w:t>Table 1: Details of accountable authority during the current report period (2025–26)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2"/>
        <w:gridCol w:w="3888"/>
        <w:gridCol w:w="1736"/>
        <w:gridCol w:w="532"/>
      </w:tblGrid>
      <w:tr w:rsidR="00EB0D85" w:rsidRPr="00EB0D85" w14:paraId="0208EB9F" w14:textId="77777777" w:rsidTr="00ED2732">
        <w:trPr>
          <w:gridAfter w:val="1"/>
          <w:wAfter w:w="532" w:type="dxa"/>
        </w:trPr>
        <w:tc>
          <w:tcPr>
            <w:tcW w:w="8966" w:type="dxa"/>
            <w:gridSpan w:val="3"/>
            <w:tcBorders>
              <w:bottom w:val="single" w:sz="18" w:space="0" w:color="104F99" w:themeColor="accent2"/>
            </w:tcBorders>
            <w:shd w:val="clear" w:color="auto" w:fill="FFFFFF" w:themeFill="background2"/>
          </w:tcPr>
          <w:p w14:paraId="60D26210" w14:textId="77777777" w:rsidR="00EB0D85" w:rsidRPr="00EB0D85" w:rsidRDefault="00EB0D85" w:rsidP="00ED2732">
            <w:pPr>
              <w:spacing w:before="120" w:after="120"/>
              <w:rPr>
                <w:rFonts w:cs="Arial"/>
                <w:b/>
                <w:bCs/>
                <w:color w:val="104F99" w:themeColor="accent2"/>
                <w:sz w:val="20"/>
                <w:szCs w:val="20"/>
              </w:rPr>
            </w:pPr>
            <w:bookmarkStart w:id="12" w:name="_Hlk221091219"/>
            <w:bookmarkEnd w:id="11"/>
            <w:r w:rsidRPr="00EB0D85">
              <w:rPr>
                <w:rFonts w:cs="Arial"/>
                <w:b/>
                <w:bCs/>
                <w:color w:val="104F99" w:themeColor="accent2"/>
                <w:sz w:val="20"/>
                <w:szCs w:val="20"/>
              </w:rPr>
              <w:t>Professor Michael Pervan</w:t>
            </w:r>
          </w:p>
        </w:tc>
      </w:tr>
      <w:tr w:rsidR="00EB0D85" w:rsidRPr="00EB0D85" w14:paraId="32946345" w14:textId="77777777" w:rsidTr="00ED2732">
        <w:tc>
          <w:tcPr>
            <w:tcW w:w="3342" w:type="dxa"/>
            <w:tcBorders>
              <w:top w:val="single" w:sz="18" w:space="0" w:color="104F99" w:themeColor="accent2"/>
            </w:tcBorders>
          </w:tcPr>
          <w:p w14:paraId="2B43D65B" w14:textId="77777777" w:rsidR="00EB0D85" w:rsidRPr="00EB0D85" w:rsidRDefault="00EB0D85" w:rsidP="00ED2732">
            <w:pPr>
              <w:spacing w:before="200" w:after="120"/>
              <w:ind w:left="-255"/>
              <w:jc w:val="both"/>
              <w:rPr>
                <w:rFonts w:cs="Arial"/>
              </w:rPr>
            </w:pPr>
            <w:bookmarkStart w:id="13" w:name="_Hlk221091248"/>
            <w:bookmarkEnd w:id="12"/>
            <w:r w:rsidRPr="00EB0D85">
              <w:rPr>
                <w:rFonts w:cs="Arial"/>
                <w:noProof/>
              </w:rPr>
              <w:drawing>
                <wp:inline distT="0" distB="0" distL="0" distR="0" wp14:anchorId="01B11B52" wp14:editId="0271D6AF">
                  <wp:extent cx="1935446" cy="1868557"/>
                  <wp:effectExtent l="0" t="0" r="8255" b="0"/>
                  <wp:docPr id="1066834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34749" name=""/>
                          <pic:cNvPicPr/>
                        </pic:nvPicPr>
                        <pic:blipFill rotWithShape="1">
                          <a:blip r:embed="rId24"/>
                          <a:srcRect l="7539"/>
                          <a:stretch>
                            <a:fillRect/>
                          </a:stretch>
                        </pic:blipFill>
                        <pic:spPr bwMode="auto">
                          <a:xfrm>
                            <a:off x="0" y="0"/>
                            <a:ext cx="1938325" cy="1871336"/>
                          </a:xfrm>
                          <a:prstGeom prst="rect">
                            <a:avLst/>
                          </a:prstGeom>
                          <a:ln>
                            <a:noFill/>
                          </a:ln>
                          <a:extLst>
                            <a:ext uri="{53640926-AAD7-44D8-BBD7-CCE9431645EC}">
                              <a14:shadowObscured xmlns:a14="http://schemas.microsoft.com/office/drawing/2010/main"/>
                            </a:ext>
                          </a:extLst>
                        </pic:spPr>
                      </pic:pic>
                    </a:graphicData>
                  </a:graphic>
                </wp:inline>
              </w:drawing>
            </w:r>
          </w:p>
        </w:tc>
        <w:tc>
          <w:tcPr>
            <w:tcW w:w="3888" w:type="dxa"/>
            <w:tcBorders>
              <w:top w:val="single" w:sz="18" w:space="0" w:color="104F99" w:themeColor="accent2"/>
            </w:tcBorders>
          </w:tcPr>
          <w:p w14:paraId="64831F40" w14:textId="77777777" w:rsidR="00EB0D85" w:rsidRPr="00EB0D85" w:rsidRDefault="00EB0D85" w:rsidP="00ED2732">
            <w:pPr>
              <w:pStyle w:val="Financialbodyleft"/>
              <w:spacing w:before="240"/>
              <w:rPr>
                <w:rFonts w:ascii="Arial" w:hAnsi="Arial" w:cs="Arial"/>
                <w:b/>
                <w:bCs/>
                <w:lang w:val="en-AU"/>
              </w:rPr>
            </w:pPr>
            <w:r w:rsidRPr="00EB0D85">
              <w:rPr>
                <w:rFonts w:ascii="Arial" w:hAnsi="Arial" w:cs="Arial"/>
                <w:b/>
                <w:bCs/>
                <w:lang w:val="en-AU"/>
              </w:rPr>
              <w:t xml:space="preserve">Position title </w:t>
            </w:r>
          </w:p>
          <w:p w14:paraId="1552C1F4" w14:textId="77777777" w:rsidR="00EB0D85" w:rsidRPr="00EB0D85" w:rsidRDefault="00EB0D85" w:rsidP="00ED2732">
            <w:pPr>
              <w:pStyle w:val="Financialbodyleft"/>
              <w:rPr>
                <w:rFonts w:ascii="Arial" w:hAnsi="Arial" w:cs="Arial"/>
                <w:lang w:val="en-AU"/>
              </w:rPr>
            </w:pPr>
            <w:r w:rsidRPr="00EB0D85">
              <w:rPr>
                <w:rFonts w:ascii="Arial" w:hAnsi="Arial" w:cs="Arial"/>
                <w:lang w:val="en-AU"/>
              </w:rPr>
              <w:t>Chief Executive Officer (CEO)</w:t>
            </w:r>
          </w:p>
          <w:p w14:paraId="22E7701B" w14:textId="77777777" w:rsidR="00EB0D85" w:rsidRPr="00EB0D85" w:rsidRDefault="00EB0D85" w:rsidP="00ED2732">
            <w:pPr>
              <w:pStyle w:val="Financialbodyleft"/>
              <w:spacing w:before="240"/>
              <w:rPr>
                <w:rFonts w:ascii="Arial" w:hAnsi="Arial" w:cs="Arial"/>
                <w:b/>
                <w:bCs/>
                <w:lang w:val="en-AU"/>
              </w:rPr>
            </w:pPr>
            <w:r w:rsidRPr="00EB0D85">
              <w:rPr>
                <w:rFonts w:ascii="Arial" w:hAnsi="Arial" w:cs="Arial"/>
                <w:b/>
                <w:bCs/>
                <w:lang w:val="en-AU"/>
              </w:rPr>
              <w:t xml:space="preserve">Qualifications of the accountable authority </w:t>
            </w:r>
          </w:p>
          <w:p w14:paraId="23C473B5" w14:textId="77777777" w:rsidR="00EB0D85" w:rsidRPr="00EB0D85" w:rsidRDefault="00EB0D85" w:rsidP="00ED2732">
            <w:pPr>
              <w:pStyle w:val="Financialbodyleft"/>
              <w:rPr>
                <w:rFonts w:ascii="Arial" w:hAnsi="Arial" w:cs="Arial"/>
                <w:szCs w:val="18"/>
                <w:lang w:val="en-AU"/>
              </w:rPr>
            </w:pPr>
            <w:r w:rsidRPr="00EB0D85">
              <w:rPr>
                <w:rFonts w:ascii="Arial" w:hAnsi="Arial" w:cs="Arial"/>
                <w:szCs w:val="18"/>
                <w:lang w:val="en-AU"/>
              </w:rPr>
              <w:t>Bachelor of Arts (Honours) UWA 1987</w:t>
            </w:r>
          </w:p>
          <w:p w14:paraId="4297AD90" w14:textId="77777777" w:rsidR="00EB0D85" w:rsidRPr="00EB0D85" w:rsidRDefault="00EB0D85" w:rsidP="00ED2732">
            <w:pPr>
              <w:pStyle w:val="Financialbodyleft"/>
              <w:rPr>
                <w:rFonts w:ascii="Arial" w:hAnsi="Arial" w:cs="Arial"/>
                <w:szCs w:val="18"/>
                <w:lang w:val="en-AU"/>
              </w:rPr>
            </w:pPr>
            <w:r w:rsidRPr="00EB0D85">
              <w:rPr>
                <w:rFonts w:ascii="Arial" w:hAnsi="Arial" w:cs="Arial"/>
                <w:szCs w:val="18"/>
                <w:lang w:val="en-AU"/>
              </w:rPr>
              <w:t>Cert. Legal Studies ECU 1998</w:t>
            </w:r>
          </w:p>
          <w:p w14:paraId="4FEA39BD" w14:textId="77777777" w:rsidR="00EB0D85" w:rsidRPr="00EB0D85" w:rsidRDefault="00EB0D85" w:rsidP="00ED2732">
            <w:pPr>
              <w:pStyle w:val="Financialbodyleft"/>
              <w:rPr>
                <w:rFonts w:ascii="Arial" w:hAnsi="Arial" w:cs="Arial"/>
                <w:szCs w:val="18"/>
                <w:lang w:val="en-AU"/>
              </w:rPr>
            </w:pPr>
            <w:r w:rsidRPr="00EB0D85">
              <w:rPr>
                <w:rFonts w:ascii="Arial" w:hAnsi="Arial" w:cs="Arial"/>
                <w:szCs w:val="18"/>
                <w:lang w:val="en-AU"/>
              </w:rPr>
              <w:t>Churchill Fellow 1998</w:t>
            </w:r>
          </w:p>
          <w:p w14:paraId="67B5EBFD" w14:textId="77777777" w:rsidR="00EB0D85" w:rsidRPr="00EB0D85" w:rsidRDefault="00EB0D85" w:rsidP="00ED2732">
            <w:pPr>
              <w:pStyle w:val="Financialbodyleft"/>
              <w:spacing w:before="240"/>
              <w:rPr>
                <w:rFonts w:ascii="Arial" w:hAnsi="Arial" w:cs="Arial"/>
                <w:b/>
                <w:bCs/>
                <w:lang w:val="en-AU"/>
              </w:rPr>
            </w:pPr>
            <w:r w:rsidRPr="00EB0D85">
              <w:rPr>
                <w:rFonts w:ascii="Arial" w:hAnsi="Arial" w:cs="Arial"/>
                <w:b/>
                <w:bCs/>
                <w:lang w:val="en-AU"/>
              </w:rPr>
              <w:t xml:space="preserve">Experience of the accountable authority </w:t>
            </w:r>
          </w:p>
          <w:p w14:paraId="492B2B11" w14:textId="77777777" w:rsidR="00EB0D85" w:rsidRPr="00EB0D85" w:rsidRDefault="00EB0D85" w:rsidP="00ED2732">
            <w:pPr>
              <w:spacing w:before="120" w:after="120"/>
              <w:rPr>
                <w:rFonts w:cs="Arial"/>
                <w:sz w:val="18"/>
                <w:szCs w:val="18"/>
              </w:rPr>
            </w:pPr>
            <w:r w:rsidRPr="00EB0D85">
              <w:rPr>
                <w:rFonts w:cs="Arial"/>
                <w:sz w:val="18"/>
                <w:szCs w:val="18"/>
              </w:rPr>
              <w:t>Professor Michael Pervan was appointed as CEO of IHACPA on 1 February 2023. Prior to this, Michael was Secretary of the Department of Natural Resources and Environment Tasmania, the Department of Communities Tasmania and the Department of Health where for nearly a decade he was responsible for designing and implementing major health sector and organisational reforms.</w:t>
            </w:r>
          </w:p>
          <w:p w14:paraId="18200312" w14:textId="77777777" w:rsidR="00EB0D85" w:rsidRPr="00EB0D85" w:rsidRDefault="00EB0D85" w:rsidP="00ED2732">
            <w:pPr>
              <w:spacing w:before="120" w:after="120"/>
              <w:rPr>
                <w:rFonts w:cs="Arial"/>
              </w:rPr>
            </w:pPr>
            <w:r w:rsidRPr="00EB0D85">
              <w:rPr>
                <w:rFonts w:cs="Arial"/>
                <w:sz w:val="18"/>
                <w:szCs w:val="18"/>
              </w:rPr>
              <w:t>Michael has represented Western Australia and Tasmania at the Australian Health Ministers Advisory Council and at the Council of Australian Governments’ working groups on system reform, health workforce and mental health over a number of years.</w:t>
            </w:r>
          </w:p>
        </w:tc>
        <w:tc>
          <w:tcPr>
            <w:tcW w:w="2268" w:type="dxa"/>
            <w:gridSpan w:val="2"/>
            <w:tcBorders>
              <w:top w:val="single" w:sz="18" w:space="0" w:color="104F99" w:themeColor="accent2"/>
            </w:tcBorders>
          </w:tcPr>
          <w:p w14:paraId="1F227F7D" w14:textId="77777777" w:rsidR="00EB0D85" w:rsidRPr="00EB0D85" w:rsidRDefault="00EB0D85" w:rsidP="00ED2732">
            <w:pPr>
              <w:pStyle w:val="Financialbodyleft"/>
              <w:spacing w:before="240"/>
              <w:rPr>
                <w:rFonts w:ascii="Arial" w:hAnsi="Arial" w:cs="Arial"/>
                <w:b/>
                <w:bCs/>
                <w:lang w:val="en-AU"/>
              </w:rPr>
            </w:pPr>
            <w:r w:rsidRPr="00EB0D85">
              <w:rPr>
                <w:rFonts w:ascii="Arial" w:hAnsi="Arial" w:cs="Arial"/>
                <w:b/>
                <w:bCs/>
                <w:lang w:val="en-AU"/>
              </w:rPr>
              <w:t xml:space="preserve">Date of commencement </w:t>
            </w:r>
          </w:p>
          <w:p w14:paraId="0981AFDC" w14:textId="77777777" w:rsidR="00EB0D85" w:rsidRPr="00EB0D85" w:rsidRDefault="00EB0D85" w:rsidP="00ED2732">
            <w:pPr>
              <w:pStyle w:val="Financialbodyleft"/>
              <w:rPr>
                <w:rFonts w:ascii="Arial" w:hAnsi="Arial" w:cs="Arial"/>
                <w:lang w:val="en-AU"/>
              </w:rPr>
            </w:pPr>
            <w:r w:rsidRPr="00EB0D85">
              <w:rPr>
                <w:rFonts w:ascii="Arial" w:hAnsi="Arial" w:cs="Arial"/>
                <w:lang w:val="en-AU"/>
              </w:rPr>
              <w:t>1 February 2023</w:t>
            </w:r>
          </w:p>
          <w:p w14:paraId="4F444F68" w14:textId="77777777" w:rsidR="00EB0D85" w:rsidRPr="00EB0D85" w:rsidRDefault="00EB0D85" w:rsidP="00ED2732">
            <w:pPr>
              <w:pStyle w:val="Financialbodyleft"/>
              <w:spacing w:before="240"/>
              <w:rPr>
                <w:rFonts w:ascii="Arial" w:hAnsi="Arial" w:cs="Arial"/>
                <w:b/>
                <w:bCs/>
                <w:lang w:val="en-AU"/>
              </w:rPr>
            </w:pPr>
            <w:r w:rsidRPr="00EB0D85">
              <w:rPr>
                <w:rFonts w:ascii="Arial" w:hAnsi="Arial" w:cs="Arial"/>
                <w:b/>
                <w:bCs/>
                <w:lang w:val="en-AU"/>
              </w:rPr>
              <w:t xml:space="preserve">Date current appointment ends </w:t>
            </w:r>
          </w:p>
          <w:p w14:paraId="0AA72360" w14:textId="77777777" w:rsidR="00EB0D85" w:rsidRPr="00EB0D85" w:rsidRDefault="00EB0D85" w:rsidP="00ED2732">
            <w:pPr>
              <w:pStyle w:val="Financialbodyleft"/>
              <w:rPr>
                <w:rFonts w:ascii="Arial" w:hAnsi="Arial" w:cs="Arial"/>
                <w:lang w:val="en-AU"/>
              </w:rPr>
            </w:pPr>
            <w:r w:rsidRPr="00EB0D85">
              <w:rPr>
                <w:rFonts w:ascii="Arial" w:hAnsi="Arial" w:cs="Arial"/>
                <w:lang w:val="en-AU"/>
              </w:rPr>
              <w:t>31 January 2028</w:t>
            </w:r>
          </w:p>
          <w:p w14:paraId="4904BE24" w14:textId="77777777" w:rsidR="00EB0D85" w:rsidRPr="00EB0D85" w:rsidRDefault="00EB0D85" w:rsidP="00ED2732">
            <w:pPr>
              <w:pStyle w:val="Financialbodyleft"/>
              <w:spacing w:before="240"/>
              <w:rPr>
                <w:rFonts w:ascii="Arial" w:hAnsi="Arial"/>
                <w:b/>
                <w:lang w:val="en-AU"/>
              </w:rPr>
            </w:pPr>
            <w:r w:rsidRPr="00EB0D85">
              <w:rPr>
                <w:rFonts w:ascii="Arial" w:hAnsi="Arial"/>
                <w:b/>
                <w:lang w:val="en-AU"/>
              </w:rPr>
              <w:t xml:space="preserve">Number of meetings of the Pricing Authority attended </w:t>
            </w:r>
          </w:p>
          <w:p w14:paraId="55FF419F" w14:textId="77777777" w:rsidR="00EB0D85" w:rsidRPr="00EB0D85" w:rsidRDefault="00EB0D85" w:rsidP="00ED2732">
            <w:pPr>
              <w:pStyle w:val="Financialbodyleft"/>
              <w:rPr>
                <w:rFonts w:ascii="Arial" w:hAnsi="Arial" w:cs="Arial"/>
                <w:lang w:val="en-AU"/>
              </w:rPr>
            </w:pPr>
            <w:r w:rsidRPr="00EB0D85">
              <w:rPr>
                <w:rFonts w:ascii="Arial" w:hAnsi="Arial"/>
                <w:lang w:val="en-AU"/>
              </w:rPr>
              <w:t>10</w:t>
            </w:r>
          </w:p>
          <w:p w14:paraId="3C8542BC" w14:textId="77777777" w:rsidR="00EB0D85" w:rsidRPr="00EB0D85" w:rsidRDefault="00EB0D85" w:rsidP="00ED2732">
            <w:pPr>
              <w:pStyle w:val="Financialbodyleft"/>
              <w:spacing w:before="240"/>
              <w:rPr>
                <w:rFonts w:ascii="Arial" w:hAnsi="Arial" w:cs="Arial"/>
                <w:b/>
                <w:bCs/>
                <w:lang w:val="en-AU"/>
              </w:rPr>
            </w:pPr>
            <w:r w:rsidRPr="00EB0D85">
              <w:rPr>
                <w:rFonts w:ascii="Arial" w:hAnsi="Arial" w:cs="Arial"/>
                <w:b/>
                <w:bCs/>
                <w:lang w:val="en-AU"/>
              </w:rPr>
              <w:t>Executive member / Non</w:t>
            </w:r>
            <w:r w:rsidRPr="00EB0D85">
              <w:rPr>
                <w:rFonts w:ascii="Cambria Math" w:hAnsi="Cambria Math" w:cs="Cambria Math"/>
                <w:b/>
                <w:bCs/>
                <w:lang w:val="en-AU"/>
              </w:rPr>
              <w:t>‑</w:t>
            </w:r>
            <w:r w:rsidRPr="00EB0D85">
              <w:rPr>
                <w:rFonts w:ascii="Arial" w:hAnsi="Arial" w:cs="Arial"/>
                <w:b/>
                <w:bCs/>
                <w:lang w:val="en-AU"/>
              </w:rPr>
              <w:t>executive member</w:t>
            </w:r>
          </w:p>
          <w:p w14:paraId="5F5DF532" w14:textId="77777777" w:rsidR="00EB0D85" w:rsidRPr="00EB0D85" w:rsidRDefault="00EB0D85" w:rsidP="00ED2732">
            <w:pPr>
              <w:pStyle w:val="Financialbodyleft"/>
              <w:rPr>
                <w:rFonts w:ascii="Arial" w:hAnsi="Arial" w:cs="Arial"/>
                <w:lang w:val="en-AU"/>
              </w:rPr>
            </w:pPr>
            <w:r w:rsidRPr="00EB0D85">
              <w:rPr>
                <w:rFonts w:ascii="Arial" w:hAnsi="Arial" w:cs="Arial"/>
                <w:lang w:val="en-AU"/>
              </w:rPr>
              <w:t>Executive</w:t>
            </w:r>
          </w:p>
        </w:tc>
      </w:tr>
      <w:bookmarkEnd w:id="13"/>
    </w:tbl>
    <w:p w14:paraId="23E7E8D9" w14:textId="77777777" w:rsidR="00EB0D85" w:rsidRPr="00EB0D85" w:rsidRDefault="00EB0D85" w:rsidP="00EB0D85">
      <w:pPr>
        <w:ind w:firstLine="720"/>
        <w:rPr>
          <w:b/>
          <w:bCs/>
        </w:rPr>
      </w:pPr>
    </w:p>
    <w:p w14:paraId="33860217" w14:textId="77777777" w:rsidR="00EB0D85" w:rsidRPr="00EB0D85" w:rsidRDefault="00EB0D85" w:rsidP="00EB0D85">
      <w:pPr>
        <w:rPr>
          <w:b/>
          <w:bCs/>
        </w:rPr>
      </w:pPr>
    </w:p>
    <w:p w14:paraId="7E1185E6" w14:textId="77777777" w:rsidR="00EB0D85" w:rsidRPr="00EB0D85" w:rsidRDefault="00EB0D85" w:rsidP="00EB0D85">
      <w:pPr>
        <w:sectPr w:rsidR="00EB0D85" w:rsidRPr="00EB0D85" w:rsidSect="00493FE8">
          <w:pgSz w:w="11906" w:h="16838" w:code="9"/>
          <w:pgMar w:top="1440" w:right="1080" w:bottom="1440" w:left="1080" w:header="708" w:footer="708" w:gutter="0"/>
          <w:cols w:space="720"/>
          <w:docGrid w:linePitch="360"/>
        </w:sectPr>
      </w:pPr>
    </w:p>
    <w:p w14:paraId="5EEC1909" w14:textId="77777777" w:rsidR="00EB0D85" w:rsidRPr="00EB0D85" w:rsidRDefault="00EB0D85" w:rsidP="00EB0D85">
      <w:pPr>
        <w:pStyle w:val="Heading1"/>
      </w:pPr>
      <w:bookmarkStart w:id="14" w:name="_Toc200974650"/>
      <w:bookmarkStart w:id="15" w:name="_Toc228267069"/>
      <w:bookmarkStart w:id="16" w:name="_Toc230068286"/>
      <w:bookmarkStart w:id="17" w:name="_Toc233022241"/>
      <w:bookmarkStart w:id="18" w:name="_Toc233023004"/>
      <w:bookmarkStart w:id="19" w:name="_Toc233023339"/>
      <w:bookmarkStart w:id="20" w:name="_Toc233028638"/>
      <w:bookmarkStart w:id="21" w:name="_Toc233028832"/>
      <w:bookmarkStart w:id="22" w:name="_Toc235787387"/>
      <w:bookmarkStart w:id="23" w:name="_Toc235791525"/>
      <w:bookmarkStart w:id="24" w:name="_Toc237872629"/>
      <w:r w:rsidRPr="00EB0D85">
        <w:lastRenderedPageBreak/>
        <w:t>Letter of transmittal</w:t>
      </w:r>
      <w:bookmarkEnd w:id="14"/>
      <w:bookmarkEnd w:id="15"/>
      <w:bookmarkEnd w:id="16"/>
      <w:bookmarkEnd w:id="17"/>
      <w:bookmarkEnd w:id="18"/>
      <w:bookmarkEnd w:id="19"/>
      <w:bookmarkEnd w:id="20"/>
      <w:bookmarkEnd w:id="21"/>
      <w:bookmarkEnd w:id="22"/>
      <w:bookmarkEnd w:id="23"/>
      <w:bookmarkEnd w:id="24"/>
    </w:p>
    <w:p w14:paraId="22895872" w14:textId="77777777" w:rsidR="00EB0D85" w:rsidRPr="00EB0D85" w:rsidRDefault="00EB0D85" w:rsidP="00EB0D85"/>
    <w:p w14:paraId="0A12CFA7" w14:textId="77777777" w:rsidR="00EB0D85" w:rsidRPr="00EB0D85" w:rsidRDefault="00EB0D85" w:rsidP="00EB0D85">
      <w:pPr>
        <w:spacing w:after="0"/>
        <w:rPr>
          <w:rFonts w:cs="Arial"/>
        </w:rPr>
      </w:pPr>
      <w:r w:rsidRPr="00EB0D85">
        <w:rPr>
          <w:rFonts w:cs="Arial"/>
        </w:rPr>
        <w:t>The Hon Mark Butler MP  </w:t>
      </w:r>
    </w:p>
    <w:p w14:paraId="0EB50307" w14:textId="77777777" w:rsidR="00EB0D85" w:rsidRPr="00EB0D85" w:rsidRDefault="00EB0D85" w:rsidP="00EB0D85">
      <w:pPr>
        <w:spacing w:after="0"/>
        <w:rPr>
          <w:rFonts w:cs="Arial"/>
        </w:rPr>
      </w:pPr>
      <w:r w:rsidRPr="00EB0D85">
        <w:rPr>
          <w:rFonts w:cs="Arial"/>
        </w:rPr>
        <w:t>Minister for Health and Ageing</w:t>
      </w:r>
    </w:p>
    <w:p w14:paraId="5141D059" w14:textId="77777777" w:rsidR="00EB0D85" w:rsidRPr="00EB0D85" w:rsidRDefault="00EB0D85" w:rsidP="00EB0D85">
      <w:pPr>
        <w:spacing w:after="0"/>
        <w:rPr>
          <w:rFonts w:cs="Arial"/>
        </w:rPr>
      </w:pPr>
      <w:r w:rsidRPr="00EB0D85">
        <w:rPr>
          <w:rFonts w:cs="Arial"/>
        </w:rPr>
        <w:t>House of Representatives  </w:t>
      </w:r>
      <w:r w:rsidRPr="00EB0D85">
        <w:rPr>
          <w:rFonts w:cs="Arial"/>
        </w:rPr>
        <w:br/>
        <w:t>Parliament House  </w:t>
      </w:r>
      <w:r w:rsidRPr="00EB0D85">
        <w:rPr>
          <w:rFonts w:cs="Arial"/>
        </w:rPr>
        <w:br/>
        <w:t>CANBERRA  ACT  2600  </w:t>
      </w:r>
    </w:p>
    <w:p w14:paraId="64E2D7FF" w14:textId="77777777" w:rsidR="00EB0D85" w:rsidRPr="00EB0D85" w:rsidRDefault="00EB0D85" w:rsidP="00EB0D85">
      <w:pPr>
        <w:spacing w:after="0"/>
        <w:rPr>
          <w:rFonts w:cs="Arial"/>
        </w:rPr>
      </w:pPr>
    </w:p>
    <w:p w14:paraId="6D854087" w14:textId="77777777" w:rsidR="00EB0D85" w:rsidRPr="00EB0D85" w:rsidRDefault="00EB0D85" w:rsidP="00EB0D85"/>
    <w:p w14:paraId="2C0974A7" w14:textId="77777777" w:rsidR="00EB0D85" w:rsidRPr="00EB0D85" w:rsidRDefault="00EB0D85" w:rsidP="00EB0D85"/>
    <w:p w14:paraId="4BDAB5B8" w14:textId="77777777" w:rsidR="006058CF" w:rsidRPr="00EB0D85" w:rsidRDefault="006058CF" w:rsidP="001035A0">
      <w:pPr>
        <w:sectPr w:rsidR="006058CF" w:rsidRPr="00EB0D85" w:rsidSect="00E426C6">
          <w:pgSz w:w="11906" w:h="16838" w:code="9"/>
          <w:pgMar w:top="1440" w:right="1080" w:bottom="1440" w:left="1080" w:header="708" w:footer="708" w:gutter="0"/>
          <w:cols w:space="720"/>
          <w:docGrid w:linePitch="360"/>
        </w:sectPr>
      </w:pPr>
    </w:p>
    <w:p w14:paraId="53A3541B" w14:textId="435F113B" w:rsidR="00E426C6" w:rsidRDefault="00EB0D85" w:rsidP="00702F18">
      <w:pPr>
        <w:pStyle w:val="Heading1"/>
      </w:pPr>
      <w:bookmarkStart w:id="25" w:name="_Toc235787388"/>
      <w:bookmarkStart w:id="26" w:name="_Toc235791526"/>
      <w:bookmarkStart w:id="27" w:name="_Toc237872630"/>
      <w:r w:rsidRPr="00EB0D85">
        <w:lastRenderedPageBreak/>
        <w:t>Contents</w:t>
      </w:r>
      <w:bookmarkEnd w:id="25"/>
      <w:bookmarkEnd w:id="26"/>
      <w:bookmarkEnd w:id="27"/>
      <w:r w:rsidRPr="00EB0D85">
        <w:t xml:space="preserve"> </w:t>
      </w:r>
    </w:p>
    <w:p w14:paraId="655DE317" w14:textId="16FBBA92" w:rsidR="00FF3AAF" w:rsidRPr="005C79A1" w:rsidRDefault="00FF3AAF" w:rsidP="00B43BD6">
      <w:pPr>
        <w:pStyle w:val="TOC1"/>
        <w:rPr>
          <w:rFonts w:asciiTheme="minorHAnsi" w:eastAsiaTheme="minorEastAsia" w:hAnsiTheme="minorHAnsi"/>
          <w:color w:val="auto"/>
          <w:kern w:val="2"/>
          <w:lang w:eastAsia="en-AU"/>
          <w14:ligatures w14:val="standardContextual"/>
        </w:rPr>
      </w:pPr>
      <w:r>
        <w:fldChar w:fldCharType="begin"/>
      </w:r>
      <w:r>
        <w:instrText xml:space="preserve"> TOC \o "1-3" \h \z \u </w:instrText>
      </w:r>
      <w:r>
        <w:fldChar w:fldCharType="separate"/>
      </w:r>
      <w:hyperlink w:anchor="_Toc237872628" w:history="1">
        <w:r w:rsidRPr="005C79A1">
          <w:rPr>
            <w:rStyle w:val="Hyperlink"/>
            <w:bCs w:val="0"/>
          </w:rPr>
          <w:t>Approval by accountable authority</w:t>
        </w:r>
        <w:r w:rsidRPr="005C79A1">
          <w:rPr>
            <w:webHidden/>
          </w:rPr>
          <w:tab/>
        </w:r>
        <w:r w:rsidR="003C3A46" w:rsidRPr="0010351D">
          <w:rPr>
            <w:bCs w:val="0"/>
            <w:webHidden/>
          </w:rPr>
          <w:t>4</w:t>
        </w:r>
      </w:hyperlink>
    </w:p>
    <w:p w14:paraId="5DDDD660" w14:textId="45AA6494" w:rsidR="00FF3AAF" w:rsidRPr="005C79A1" w:rsidRDefault="00FF3AAF" w:rsidP="00B43BD6">
      <w:pPr>
        <w:pStyle w:val="TOC1"/>
        <w:rPr>
          <w:rFonts w:asciiTheme="minorHAnsi" w:eastAsiaTheme="minorEastAsia" w:hAnsiTheme="minorHAnsi"/>
          <w:color w:val="auto"/>
          <w:kern w:val="2"/>
          <w:lang w:eastAsia="en-AU"/>
          <w14:ligatures w14:val="standardContextual"/>
        </w:rPr>
      </w:pPr>
      <w:hyperlink w:anchor="_Toc237872629" w:history="1">
        <w:r w:rsidRPr="005C79A1">
          <w:rPr>
            <w:rStyle w:val="Hyperlink"/>
            <w:bCs w:val="0"/>
          </w:rPr>
          <w:t>Letter of transmittal</w:t>
        </w:r>
        <w:r w:rsidRPr="005C79A1">
          <w:rPr>
            <w:webHidden/>
          </w:rPr>
          <w:tab/>
        </w:r>
        <w:r w:rsidR="003C3A46" w:rsidRPr="0010351D">
          <w:rPr>
            <w:bCs w:val="0"/>
            <w:webHidden/>
          </w:rPr>
          <w:t>6</w:t>
        </w:r>
      </w:hyperlink>
    </w:p>
    <w:p w14:paraId="227605BB" w14:textId="43CF0321" w:rsidR="00FF3AAF" w:rsidRPr="005C79A1" w:rsidRDefault="00FF3AAF" w:rsidP="00B43BD6">
      <w:pPr>
        <w:pStyle w:val="TOC1"/>
        <w:rPr>
          <w:rFonts w:asciiTheme="minorHAnsi" w:eastAsiaTheme="minorEastAsia" w:hAnsiTheme="minorHAnsi"/>
          <w:color w:val="auto"/>
          <w:kern w:val="2"/>
          <w:lang w:eastAsia="en-AU"/>
          <w14:ligatures w14:val="standardContextual"/>
        </w:rPr>
      </w:pPr>
      <w:hyperlink w:anchor="_Toc237872630" w:history="1">
        <w:r w:rsidRPr="005C79A1">
          <w:rPr>
            <w:rStyle w:val="Hyperlink"/>
            <w:bCs w:val="0"/>
          </w:rPr>
          <w:t>Contents</w:t>
        </w:r>
        <w:r w:rsidRPr="005C79A1">
          <w:rPr>
            <w:webHidden/>
          </w:rPr>
          <w:tab/>
        </w:r>
        <w:r w:rsidR="003C3A46" w:rsidRPr="0010351D">
          <w:rPr>
            <w:bCs w:val="0"/>
            <w:webHidden/>
          </w:rPr>
          <w:t>7</w:t>
        </w:r>
      </w:hyperlink>
    </w:p>
    <w:p w14:paraId="24C69D25" w14:textId="383A1D61" w:rsidR="00FF3AAF" w:rsidRPr="005C79A1" w:rsidRDefault="00FF3AAF" w:rsidP="00B43BD6">
      <w:pPr>
        <w:pStyle w:val="TOC1"/>
        <w:rPr>
          <w:rFonts w:asciiTheme="minorHAnsi" w:eastAsiaTheme="minorEastAsia" w:hAnsiTheme="minorHAnsi"/>
          <w:color w:val="auto"/>
          <w:kern w:val="2"/>
          <w:lang w:eastAsia="en-AU"/>
          <w14:ligatures w14:val="standardContextual"/>
        </w:rPr>
      </w:pPr>
      <w:hyperlink w:anchor="_Toc237872631" w:history="1">
        <w:r w:rsidRPr="005C79A1">
          <w:rPr>
            <w:rStyle w:val="Hyperlink"/>
            <w:bCs w:val="0"/>
          </w:rPr>
          <w:t>Welcome from Pricing Authority Chair</w:t>
        </w:r>
        <w:r w:rsidRPr="005C79A1">
          <w:rPr>
            <w:webHidden/>
          </w:rPr>
          <w:tab/>
        </w:r>
        <w:r w:rsidRPr="0010351D">
          <w:rPr>
            <w:bCs w:val="0"/>
            <w:webHidden/>
          </w:rPr>
          <w:fldChar w:fldCharType="begin"/>
        </w:r>
        <w:r w:rsidRPr="0010351D">
          <w:rPr>
            <w:bCs w:val="0"/>
            <w:webHidden/>
          </w:rPr>
          <w:instrText xml:space="preserve"> PAGEREF _Toc237872631 \h </w:instrText>
        </w:r>
        <w:r w:rsidRPr="0010351D">
          <w:rPr>
            <w:bCs w:val="0"/>
            <w:webHidden/>
          </w:rPr>
        </w:r>
        <w:r w:rsidRPr="0010351D">
          <w:rPr>
            <w:bCs w:val="0"/>
            <w:webHidden/>
          </w:rPr>
          <w:fldChar w:fldCharType="separate"/>
        </w:r>
        <w:r w:rsidRPr="0010351D">
          <w:rPr>
            <w:bCs w:val="0"/>
            <w:webHidden/>
          </w:rPr>
          <w:t>1</w:t>
        </w:r>
        <w:r w:rsidR="00085BCC" w:rsidRPr="0010351D">
          <w:rPr>
            <w:bCs w:val="0"/>
            <w:webHidden/>
          </w:rPr>
          <w:t>0</w:t>
        </w:r>
        <w:r w:rsidRPr="0010351D">
          <w:rPr>
            <w:bCs w:val="0"/>
            <w:webHidden/>
          </w:rPr>
          <w:fldChar w:fldCharType="end"/>
        </w:r>
      </w:hyperlink>
    </w:p>
    <w:p w14:paraId="72874F7B" w14:textId="48EE5964" w:rsidR="00FF3AAF" w:rsidRPr="005C79A1" w:rsidRDefault="00FF3AAF" w:rsidP="00B43BD6">
      <w:pPr>
        <w:pStyle w:val="TOC1"/>
        <w:rPr>
          <w:rStyle w:val="Hyperlink"/>
          <w:bCs w:val="0"/>
        </w:rPr>
      </w:pPr>
      <w:hyperlink w:anchor="_Toc237872632" w:history="1">
        <w:r w:rsidRPr="005C79A1">
          <w:rPr>
            <w:rStyle w:val="Hyperlink"/>
            <w:bCs w:val="0"/>
          </w:rPr>
          <w:t>2025–26 highlights</w:t>
        </w:r>
        <w:r w:rsidRPr="005C79A1">
          <w:rPr>
            <w:webHidden/>
          </w:rPr>
          <w:tab/>
        </w:r>
        <w:r w:rsidRPr="0010351D">
          <w:rPr>
            <w:bCs w:val="0"/>
            <w:webHidden/>
          </w:rPr>
          <w:fldChar w:fldCharType="begin"/>
        </w:r>
        <w:r w:rsidRPr="0010351D">
          <w:rPr>
            <w:bCs w:val="0"/>
            <w:webHidden/>
          </w:rPr>
          <w:instrText xml:space="preserve"> PAGEREF _Toc237872632 \h </w:instrText>
        </w:r>
        <w:r w:rsidRPr="0010351D">
          <w:rPr>
            <w:bCs w:val="0"/>
            <w:webHidden/>
          </w:rPr>
        </w:r>
        <w:r w:rsidRPr="0010351D">
          <w:rPr>
            <w:bCs w:val="0"/>
            <w:webHidden/>
          </w:rPr>
          <w:fldChar w:fldCharType="separate"/>
        </w:r>
        <w:r w:rsidRPr="0010351D">
          <w:rPr>
            <w:bCs w:val="0"/>
            <w:webHidden/>
          </w:rPr>
          <w:t>1</w:t>
        </w:r>
        <w:r w:rsidR="00085BCC" w:rsidRPr="0010351D">
          <w:rPr>
            <w:bCs w:val="0"/>
            <w:webHidden/>
          </w:rPr>
          <w:t>2</w:t>
        </w:r>
        <w:r w:rsidRPr="0010351D">
          <w:rPr>
            <w:bCs w:val="0"/>
            <w:webHidden/>
          </w:rPr>
          <w:fldChar w:fldCharType="end"/>
        </w:r>
      </w:hyperlink>
    </w:p>
    <w:p w14:paraId="120AFE2F" w14:textId="34349325" w:rsidR="00702F18" w:rsidRPr="005C79A1" w:rsidRDefault="00702F18" w:rsidP="00702F18">
      <w:pPr>
        <w:rPr>
          <w:bCs/>
          <w:lang w:eastAsia="en-AU"/>
        </w:rPr>
      </w:pPr>
      <w:r w:rsidRPr="0010351D">
        <w:rPr>
          <w:b/>
          <w:lang w:eastAsia="en-AU"/>
        </w:rPr>
        <w:t>01</w:t>
      </w:r>
      <w:r w:rsidRPr="0010351D">
        <w:rPr>
          <w:b/>
          <w:lang w:eastAsia="en-AU"/>
        </w:rPr>
        <w:tab/>
        <w:t>Overview</w:t>
      </w:r>
      <w:r w:rsidRPr="005C79A1">
        <w:rPr>
          <w:bCs/>
          <w:lang w:eastAsia="en-AU"/>
        </w:rPr>
        <w:tab/>
      </w:r>
      <w:r w:rsidRPr="005C79A1">
        <w:rPr>
          <w:bCs/>
          <w:lang w:eastAsia="en-AU"/>
        </w:rPr>
        <w:tab/>
      </w:r>
      <w:r w:rsidRPr="005C79A1">
        <w:rPr>
          <w:bCs/>
          <w:lang w:eastAsia="en-AU"/>
        </w:rPr>
        <w:tab/>
      </w:r>
      <w:r w:rsidRPr="005C79A1">
        <w:rPr>
          <w:bCs/>
          <w:lang w:eastAsia="en-AU"/>
        </w:rPr>
        <w:tab/>
      </w:r>
      <w:r w:rsidRPr="005C79A1">
        <w:rPr>
          <w:bCs/>
          <w:lang w:eastAsia="en-AU"/>
        </w:rPr>
        <w:tab/>
      </w:r>
      <w:r w:rsidRPr="005C79A1">
        <w:rPr>
          <w:bCs/>
          <w:lang w:eastAsia="en-AU"/>
        </w:rPr>
        <w:tab/>
      </w:r>
      <w:r w:rsidRPr="005C79A1">
        <w:rPr>
          <w:bCs/>
          <w:lang w:eastAsia="en-AU"/>
        </w:rPr>
        <w:tab/>
      </w:r>
      <w:r w:rsidRPr="005C79A1">
        <w:rPr>
          <w:bCs/>
          <w:lang w:eastAsia="en-AU"/>
        </w:rPr>
        <w:tab/>
      </w:r>
      <w:r w:rsidRPr="005C79A1">
        <w:rPr>
          <w:bCs/>
          <w:lang w:eastAsia="en-AU"/>
        </w:rPr>
        <w:tab/>
      </w:r>
      <w:r w:rsidRPr="005C79A1">
        <w:rPr>
          <w:bCs/>
          <w:lang w:eastAsia="en-AU"/>
        </w:rPr>
        <w:tab/>
      </w:r>
      <w:r w:rsidRPr="005C79A1">
        <w:rPr>
          <w:bCs/>
          <w:lang w:eastAsia="en-AU"/>
        </w:rPr>
        <w:tab/>
        <w:t xml:space="preserve">  </w:t>
      </w:r>
      <w:r w:rsidRPr="0010351D">
        <w:rPr>
          <w:b/>
          <w:lang w:eastAsia="en-AU"/>
        </w:rPr>
        <w:t>1</w:t>
      </w:r>
      <w:r w:rsidR="00085BCC" w:rsidRPr="0010351D">
        <w:rPr>
          <w:b/>
          <w:lang w:eastAsia="en-AU"/>
        </w:rPr>
        <w:t>4</w:t>
      </w:r>
    </w:p>
    <w:p w14:paraId="135912FC" w14:textId="45FDB550" w:rsidR="00FF3AAF" w:rsidRPr="005C79A1" w:rsidRDefault="00FF3AAF" w:rsidP="00B43BD6">
      <w:pPr>
        <w:pStyle w:val="TOC1"/>
        <w:rPr>
          <w:rFonts w:asciiTheme="minorHAnsi" w:eastAsiaTheme="minorEastAsia" w:hAnsiTheme="minorHAnsi"/>
          <w:color w:val="auto"/>
          <w:kern w:val="2"/>
          <w:lang w:eastAsia="en-AU"/>
          <w14:ligatures w14:val="standardContextual"/>
        </w:rPr>
      </w:pPr>
      <w:hyperlink w:anchor="_Toc237872646" w:history="1">
        <w:r w:rsidRPr="005C79A1">
          <w:rPr>
            <w:rStyle w:val="Hyperlink"/>
            <w:bCs w:val="0"/>
          </w:rPr>
          <w:t>1.1</w:t>
        </w:r>
        <w:r w:rsidRPr="005C79A1">
          <w:rPr>
            <w:rFonts w:asciiTheme="minorHAnsi" w:eastAsiaTheme="minorEastAsia" w:hAnsiTheme="minorHAnsi"/>
            <w:color w:val="auto"/>
            <w:kern w:val="2"/>
            <w:lang w:eastAsia="en-AU"/>
            <w14:ligatures w14:val="standardContextual"/>
          </w:rPr>
          <w:tab/>
        </w:r>
        <w:r w:rsidRPr="005C79A1">
          <w:rPr>
            <w:rStyle w:val="Hyperlink"/>
            <w:bCs w:val="0"/>
          </w:rPr>
          <w:t>Introduction</w:t>
        </w:r>
        <w:r w:rsidRPr="005C79A1">
          <w:rPr>
            <w:webHidden/>
          </w:rPr>
          <w:tab/>
        </w:r>
        <w:r w:rsidR="00085BCC" w:rsidRPr="0010351D">
          <w:rPr>
            <w:bCs w:val="0"/>
            <w:webHidden/>
          </w:rPr>
          <w:t>15</w:t>
        </w:r>
      </w:hyperlink>
    </w:p>
    <w:p w14:paraId="5B3A11E1" w14:textId="2BD64ABD" w:rsidR="00FF3AAF" w:rsidRPr="005C79A1" w:rsidRDefault="00FF3AAF" w:rsidP="00B43BD6">
      <w:pPr>
        <w:pStyle w:val="TOC1"/>
        <w:rPr>
          <w:rFonts w:asciiTheme="minorHAnsi" w:eastAsiaTheme="minorEastAsia" w:hAnsiTheme="minorHAnsi"/>
          <w:color w:val="auto"/>
          <w:kern w:val="2"/>
          <w:lang w:eastAsia="en-AU"/>
          <w14:ligatures w14:val="standardContextual"/>
        </w:rPr>
      </w:pPr>
      <w:hyperlink w:anchor="_Toc237872647" w:history="1">
        <w:r w:rsidRPr="005C79A1">
          <w:rPr>
            <w:rStyle w:val="Hyperlink"/>
            <w:bCs w:val="0"/>
          </w:rPr>
          <w:t>1.2</w:t>
        </w:r>
        <w:r w:rsidRPr="005C79A1">
          <w:rPr>
            <w:rFonts w:asciiTheme="minorHAnsi" w:eastAsiaTheme="minorEastAsia" w:hAnsiTheme="minorHAnsi"/>
            <w:color w:val="auto"/>
            <w:kern w:val="2"/>
            <w:lang w:eastAsia="en-AU"/>
            <w14:ligatures w14:val="standardContextual"/>
          </w:rPr>
          <w:tab/>
        </w:r>
        <w:r w:rsidRPr="005C79A1">
          <w:rPr>
            <w:rStyle w:val="Hyperlink"/>
            <w:bCs w:val="0"/>
          </w:rPr>
          <w:t>What we do</w:t>
        </w:r>
        <w:r w:rsidRPr="005C79A1">
          <w:rPr>
            <w:webHidden/>
          </w:rPr>
          <w:tab/>
        </w:r>
        <w:r w:rsidR="00085BCC" w:rsidRPr="0010351D">
          <w:rPr>
            <w:bCs w:val="0"/>
            <w:webHidden/>
          </w:rPr>
          <w:t>18</w:t>
        </w:r>
      </w:hyperlink>
    </w:p>
    <w:p w14:paraId="5DCCD7C0" w14:textId="38E76ABF"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48" w:history="1">
        <w:r w:rsidRPr="007E5FD7">
          <w:rPr>
            <w:rStyle w:val="Hyperlink"/>
          </w:rPr>
          <w:t>Functions</w:t>
        </w:r>
        <w:r>
          <w:rPr>
            <w:webHidden/>
          </w:rPr>
          <w:tab/>
        </w:r>
        <w:r w:rsidR="00085BCC">
          <w:rPr>
            <w:webHidden/>
          </w:rPr>
          <w:t>18</w:t>
        </w:r>
      </w:hyperlink>
    </w:p>
    <w:p w14:paraId="167DD9FD" w14:textId="6AAA333C" w:rsidR="00FF3AAF" w:rsidRDefault="00FF3AAF">
      <w:pPr>
        <w:pStyle w:val="TOC3"/>
        <w:rPr>
          <w:rFonts w:asciiTheme="minorHAnsi" w:eastAsiaTheme="minorEastAsia" w:hAnsiTheme="minorHAnsi" w:cstheme="minorBidi"/>
          <w:color w:val="auto"/>
          <w:kern w:val="2"/>
          <w:sz w:val="24"/>
          <w:szCs w:val="24"/>
          <w:lang w:eastAsia="en-AU"/>
          <w14:ligatures w14:val="standardContextual"/>
        </w:rPr>
      </w:pPr>
      <w:hyperlink w:anchor="_Toc237872649" w:history="1">
        <w:r w:rsidRPr="007E5FD7">
          <w:rPr>
            <w:rStyle w:val="Hyperlink"/>
            <w:rFonts w:eastAsia="Fira Sans regular"/>
          </w:rPr>
          <w:t>Public hospitals</w:t>
        </w:r>
        <w:r>
          <w:rPr>
            <w:webHidden/>
          </w:rPr>
          <w:tab/>
        </w:r>
        <w:r w:rsidR="00085BCC">
          <w:rPr>
            <w:webHidden/>
          </w:rPr>
          <w:t>18</w:t>
        </w:r>
      </w:hyperlink>
    </w:p>
    <w:p w14:paraId="75206E56" w14:textId="24D087F4" w:rsidR="00FF3AAF" w:rsidRDefault="00FF3AAF">
      <w:pPr>
        <w:pStyle w:val="TOC3"/>
        <w:rPr>
          <w:rFonts w:asciiTheme="minorHAnsi" w:eastAsiaTheme="minorEastAsia" w:hAnsiTheme="minorHAnsi" w:cstheme="minorBidi"/>
          <w:color w:val="auto"/>
          <w:kern w:val="2"/>
          <w:sz w:val="24"/>
          <w:szCs w:val="24"/>
          <w:lang w:eastAsia="en-AU"/>
          <w14:ligatures w14:val="standardContextual"/>
        </w:rPr>
      </w:pPr>
      <w:hyperlink w:anchor="_Toc237872650" w:history="1">
        <w:r w:rsidRPr="007E5FD7">
          <w:rPr>
            <w:rStyle w:val="Hyperlink"/>
            <w:rFonts w:eastAsia="Fira Sans regular"/>
          </w:rPr>
          <w:t>Aged care</w:t>
        </w:r>
        <w:r>
          <w:rPr>
            <w:webHidden/>
          </w:rPr>
          <w:tab/>
        </w:r>
        <w:r w:rsidR="00085BCC">
          <w:rPr>
            <w:webHidden/>
          </w:rPr>
          <w:t>19</w:t>
        </w:r>
      </w:hyperlink>
    </w:p>
    <w:p w14:paraId="7835D89E" w14:textId="675B62ED" w:rsidR="00FF3AAF" w:rsidRDefault="00FF3AAF">
      <w:pPr>
        <w:pStyle w:val="TOC3"/>
        <w:rPr>
          <w:rFonts w:asciiTheme="minorHAnsi" w:eastAsiaTheme="minorEastAsia" w:hAnsiTheme="minorHAnsi" w:cstheme="minorBidi"/>
          <w:color w:val="auto"/>
          <w:kern w:val="2"/>
          <w:sz w:val="24"/>
          <w:szCs w:val="24"/>
          <w:lang w:eastAsia="en-AU"/>
          <w14:ligatures w14:val="standardContextual"/>
        </w:rPr>
      </w:pPr>
      <w:hyperlink w:anchor="_Toc237872651" w:history="1">
        <w:r w:rsidRPr="007E5FD7">
          <w:rPr>
            <w:rStyle w:val="Hyperlink"/>
            <w:rFonts w:eastAsia="Fira Sans regular"/>
          </w:rPr>
          <w:t>Provision of advice to the Australian Government on other health care pricing or costing matters</w:t>
        </w:r>
        <w:r>
          <w:rPr>
            <w:webHidden/>
          </w:rPr>
          <w:tab/>
        </w:r>
        <w:r w:rsidR="00085BCC">
          <w:rPr>
            <w:webHidden/>
          </w:rPr>
          <w:t>19</w:t>
        </w:r>
      </w:hyperlink>
    </w:p>
    <w:p w14:paraId="44C41D82" w14:textId="54AB9A38"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52" w:history="1">
        <w:r w:rsidRPr="007E5FD7">
          <w:rPr>
            <w:rStyle w:val="Hyperlink"/>
          </w:rPr>
          <w:t>Responsible minister</w:t>
        </w:r>
        <w:r>
          <w:rPr>
            <w:webHidden/>
          </w:rPr>
          <w:tab/>
        </w:r>
        <w:r w:rsidR="00085BCC">
          <w:rPr>
            <w:webHidden/>
          </w:rPr>
          <w:t>19</w:t>
        </w:r>
      </w:hyperlink>
    </w:p>
    <w:p w14:paraId="32ACE4A9" w14:textId="0A44A4FB" w:rsidR="00FF3AAF" w:rsidRDefault="00FF3AAF">
      <w:pPr>
        <w:pStyle w:val="TOC2"/>
        <w:rPr>
          <w:rStyle w:val="Hyperlink"/>
        </w:rPr>
      </w:pPr>
      <w:hyperlink w:anchor="_Toc237872653" w:history="1">
        <w:r w:rsidRPr="007E5FD7">
          <w:rPr>
            <w:rStyle w:val="Hyperlink"/>
          </w:rPr>
          <w:t>Ministerial directions and government policy orders</w:t>
        </w:r>
        <w:r>
          <w:rPr>
            <w:webHidden/>
          </w:rPr>
          <w:tab/>
        </w:r>
        <w:r w:rsidR="00085BCC">
          <w:rPr>
            <w:webHidden/>
          </w:rPr>
          <w:t>20</w:t>
        </w:r>
      </w:hyperlink>
    </w:p>
    <w:p w14:paraId="6DCB126E" w14:textId="77777777" w:rsidR="00702F18" w:rsidRPr="00702F18" w:rsidRDefault="00702F18" w:rsidP="00702F18">
      <w:pPr>
        <w:spacing w:after="0"/>
        <w:rPr>
          <w:lang w:eastAsia="en-AU"/>
        </w:rPr>
      </w:pPr>
    </w:p>
    <w:p w14:paraId="2DCCF878" w14:textId="34B30C08" w:rsidR="00FF3AAF" w:rsidRPr="00315CF4" w:rsidRDefault="000B70BA" w:rsidP="00B43BD6">
      <w:pPr>
        <w:pStyle w:val="TOC1"/>
        <w:rPr>
          <w:rStyle w:val="Hyperlink"/>
          <w:b/>
          <w:bCs w:val="0"/>
        </w:rPr>
      </w:pPr>
      <w:hyperlink w:anchor="_Toc237872654" w:history="1">
        <w:r>
          <w:rPr>
            <w:rStyle w:val="Hyperlink"/>
          </w:rPr>
          <w:t>1</w:t>
        </w:r>
        <w:r w:rsidR="00FF3AAF" w:rsidRPr="000B70BA">
          <w:rPr>
            <w:rStyle w:val="Hyperlink"/>
          </w:rPr>
          <w:t>.3</w:t>
        </w:r>
        <w:r w:rsidR="00FF3AAF" w:rsidRPr="00315CF4">
          <w:rPr>
            <w:rFonts w:asciiTheme="minorHAnsi" w:eastAsiaTheme="minorEastAsia" w:hAnsiTheme="minorHAnsi"/>
            <w:color w:val="auto"/>
            <w:kern w:val="2"/>
            <w:lang w:eastAsia="en-AU"/>
            <w14:ligatures w14:val="standardContextual"/>
          </w:rPr>
          <w:tab/>
        </w:r>
        <w:r w:rsidR="00FF3AAF" w:rsidRPr="000B70BA">
          <w:rPr>
            <w:rStyle w:val="Hyperlink"/>
          </w:rPr>
          <w:t>CEO’s year in review</w:t>
        </w:r>
        <w:r w:rsidR="00FF3AAF" w:rsidRPr="00315CF4">
          <w:rPr>
            <w:webHidden/>
          </w:rPr>
          <w:tab/>
        </w:r>
        <w:r w:rsidR="00FF3AAF" w:rsidRPr="00B43BD6">
          <w:rPr>
            <w:webHidden/>
          </w:rPr>
          <w:fldChar w:fldCharType="begin"/>
        </w:r>
        <w:r w:rsidR="00FF3AAF" w:rsidRPr="00B43BD6">
          <w:rPr>
            <w:webHidden/>
          </w:rPr>
          <w:instrText xml:space="preserve"> PAGEREF _Toc237872654 \h </w:instrText>
        </w:r>
        <w:r w:rsidR="00FF3AAF" w:rsidRPr="00B43BD6">
          <w:rPr>
            <w:webHidden/>
          </w:rPr>
        </w:r>
        <w:r w:rsidR="00FF3AAF" w:rsidRPr="00B43BD6">
          <w:rPr>
            <w:webHidden/>
          </w:rPr>
          <w:fldChar w:fldCharType="separate"/>
        </w:r>
        <w:r w:rsidR="00FF3AAF" w:rsidRPr="00B43BD6">
          <w:rPr>
            <w:webHidden/>
          </w:rPr>
          <w:t>2</w:t>
        </w:r>
        <w:r w:rsidR="00E23EB4" w:rsidRPr="00B43BD6">
          <w:rPr>
            <w:webHidden/>
          </w:rPr>
          <w:t>1</w:t>
        </w:r>
        <w:r w:rsidR="00FF3AAF" w:rsidRPr="00B43BD6">
          <w:rPr>
            <w:webHidden/>
          </w:rPr>
          <w:fldChar w:fldCharType="end"/>
        </w:r>
      </w:hyperlink>
    </w:p>
    <w:p w14:paraId="6F9AE7A6" w14:textId="1144493F" w:rsidR="00702F18" w:rsidRPr="00702F18" w:rsidRDefault="00702F18" w:rsidP="00702F18">
      <w:pPr>
        <w:rPr>
          <w:b/>
          <w:bCs/>
          <w:lang w:eastAsia="en-AU"/>
        </w:rPr>
      </w:pPr>
      <w:r w:rsidRPr="00702F18">
        <w:rPr>
          <w:b/>
          <w:bCs/>
          <w:lang w:eastAsia="en-AU"/>
        </w:rPr>
        <w:t>02</w:t>
      </w:r>
      <w:r w:rsidRPr="00702F18">
        <w:rPr>
          <w:b/>
          <w:bCs/>
          <w:lang w:eastAsia="en-AU"/>
        </w:rPr>
        <w:tab/>
        <w:t>Our agency</w:t>
      </w:r>
      <w:r>
        <w:rPr>
          <w:b/>
          <w:bCs/>
          <w:lang w:eastAsia="en-AU"/>
        </w:rPr>
        <w:tab/>
      </w:r>
      <w:r>
        <w:rPr>
          <w:b/>
          <w:bCs/>
          <w:lang w:eastAsia="en-AU"/>
        </w:rPr>
        <w:tab/>
      </w:r>
      <w:r>
        <w:rPr>
          <w:b/>
          <w:bCs/>
          <w:lang w:eastAsia="en-AU"/>
        </w:rPr>
        <w:tab/>
      </w:r>
      <w:r>
        <w:rPr>
          <w:b/>
          <w:bCs/>
          <w:lang w:eastAsia="en-AU"/>
        </w:rPr>
        <w:tab/>
      </w:r>
      <w:r>
        <w:rPr>
          <w:b/>
          <w:bCs/>
          <w:lang w:eastAsia="en-AU"/>
        </w:rPr>
        <w:tab/>
      </w:r>
      <w:r>
        <w:rPr>
          <w:b/>
          <w:bCs/>
          <w:lang w:eastAsia="en-AU"/>
        </w:rPr>
        <w:tab/>
      </w:r>
      <w:r>
        <w:rPr>
          <w:b/>
          <w:bCs/>
          <w:lang w:eastAsia="en-AU"/>
        </w:rPr>
        <w:tab/>
      </w:r>
      <w:r>
        <w:rPr>
          <w:b/>
          <w:bCs/>
          <w:lang w:eastAsia="en-AU"/>
        </w:rPr>
        <w:tab/>
      </w:r>
      <w:r>
        <w:rPr>
          <w:b/>
          <w:bCs/>
          <w:lang w:eastAsia="en-AU"/>
        </w:rPr>
        <w:tab/>
      </w:r>
      <w:r>
        <w:rPr>
          <w:b/>
          <w:bCs/>
          <w:lang w:eastAsia="en-AU"/>
        </w:rPr>
        <w:tab/>
      </w:r>
      <w:r>
        <w:rPr>
          <w:b/>
          <w:bCs/>
          <w:lang w:eastAsia="en-AU"/>
        </w:rPr>
        <w:tab/>
        <w:t xml:space="preserve"> </w:t>
      </w:r>
      <w:r w:rsidR="00E23EB4">
        <w:rPr>
          <w:b/>
          <w:bCs/>
          <w:lang w:eastAsia="en-AU"/>
        </w:rPr>
        <w:t xml:space="preserve"> 23</w:t>
      </w:r>
    </w:p>
    <w:p w14:paraId="2B64DB9A" w14:textId="2E087F95" w:rsidR="00FF3AAF" w:rsidRPr="005C79A1" w:rsidRDefault="0007559F" w:rsidP="00B43BD6">
      <w:pPr>
        <w:pStyle w:val="TOC1"/>
        <w:rPr>
          <w:rFonts w:asciiTheme="minorHAnsi" w:eastAsiaTheme="minorEastAsia" w:hAnsiTheme="minorHAnsi"/>
          <w:color w:val="auto"/>
          <w:kern w:val="2"/>
          <w:lang w:eastAsia="en-AU"/>
          <w14:ligatures w14:val="standardContextual"/>
        </w:rPr>
      </w:pPr>
      <w:hyperlink w:anchor="_Toc237872655" w:history="1">
        <w:r>
          <w:rPr>
            <w:rStyle w:val="Hyperlink"/>
          </w:rPr>
          <w:t>2</w:t>
        </w:r>
        <w:r w:rsidR="00FF3AAF" w:rsidRPr="0007559F">
          <w:rPr>
            <w:rStyle w:val="Hyperlink"/>
          </w:rPr>
          <w:t>.1</w:t>
        </w:r>
        <w:r w:rsidR="00FF3AAF" w:rsidRPr="005C79A1">
          <w:rPr>
            <w:rFonts w:asciiTheme="minorHAnsi" w:eastAsiaTheme="minorEastAsia" w:hAnsiTheme="minorHAnsi"/>
            <w:color w:val="auto"/>
            <w:kern w:val="2"/>
            <w:lang w:eastAsia="en-AU"/>
            <w14:ligatures w14:val="standardContextual"/>
          </w:rPr>
          <w:tab/>
        </w:r>
        <w:r w:rsidR="00FF3AAF" w:rsidRPr="000B70BA">
          <w:rPr>
            <w:rStyle w:val="Hyperlink"/>
          </w:rPr>
          <w:t>Organisational structure</w:t>
        </w:r>
        <w:r w:rsidR="00FF3AAF" w:rsidRPr="005C79A1">
          <w:rPr>
            <w:webHidden/>
          </w:rPr>
          <w:tab/>
        </w:r>
        <w:r w:rsidR="00021CC9" w:rsidRPr="000B70BA">
          <w:rPr>
            <w:bCs w:val="0"/>
            <w:webHidden/>
          </w:rPr>
          <w:t>24</w:t>
        </w:r>
      </w:hyperlink>
    </w:p>
    <w:p w14:paraId="57496BC6" w14:textId="2E70E27A" w:rsidR="00FF3AAF" w:rsidRPr="005C79A1" w:rsidRDefault="00E83680" w:rsidP="00B43BD6">
      <w:pPr>
        <w:pStyle w:val="TOC1"/>
        <w:rPr>
          <w:rFonts w:asciiTheme="minorHAnsi" w:eastAsiaTheme="minorEastAsia" w:hAnsiTheme="minorHAnsi"/>
          <w:color w:val="auto"/>
          <w:kern w:val="2"/>
          <w:lang w:eastAsia="en-AU"/>
          <w14:ligatures w14:val="standardContextual"/>
        </w:rPr>
      </w:pPr>
      <w:hyperlink w:anchor="_Toc237872656" w:history="1">
        <w:r>
          <w:rPr>
            <w:rStyle w:val="Hyperlink"/>
          </w:rPr>
          <w:t>2</w:t>
        </w:r>
        <w:r w:rsidR="00FF3AAF" w:rsidRPr="00E83680">
          <w:rPr>
            <w:rStyle w:val="Hyperlink"/>
          </w:rPr>
          <w:t>.2</w:t>
        </w:r>
        <w:r w:rsidR="00FF3AAF" w:rsidRPr="005C79A1">
          <w:rPr>
            <w:rFonts w:asciiTheme="minorHAnsi" w:eastAsiaTheme="minorEastAsia" w:hAnsiTheme="minorHAnsi"/>
            <w:color w:val="auto"/>
            <w:kern w:val="2"/>
            <w:lang w:eastAsia="en-AU"/>
            <w14:ligatures w14:val="standardContextual"/>
          </w:rPr>
          <w:tab/>
        </w:r>
        <w:r w:rsidR="00FF3AAF" w:rsidRPr="000B70BA">
          <w:rPr>
            <w:rStyle w:val="Hyperlink"/>
          </w:rPr>
          <w:t>Management of human resources</w:t>
        </w:r>
        <w:r w:rsidR="00FF3AAF" w:rsidRPr="005C79A1">
          <w:rPr>
            <w:webHidden/>
          </w:rPr>
          <w:tab/>
        </w:r>
        <w:r w:rsidR="00021CC9" w:rsidRPr="000B70BA">
          <w:rPr>
            <w:bCs w:val="0"/>
            <w:webHidden/>
          </w:rPr>
          <w:t>25</w:t>
        </w:r>
      </w:hyperlink>
    </w:p>
    <w:p w14:paraId="36B87A0D" w14:textId="36FF5422"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57" w:history="1">
        <w:r w:rsidRPr="007E5FD7">
          <w:rPr>
            <w:rStyle w:val="Hyperlink"/>
          </w:rPr>
          <w:t>Our workforce statistics at a glance</w:t>
        </w:r>
        <w:r>
          <w:rPr>
            <w:webHidden/>
          </w:rPr>
          <w:tab/>
        </w:r>
        <w:r w:rsidR="00021CC9">
          <w:rPr>
            <w:webHidden/>
          </w:rPr>
          <w:t>25</w:t>
        </w:r>
      </w:hyperlink>
    </w:p>
    <w:p w14:paraId="5E2F0682" w14:textId="5E72E5C1"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58" w:history="1">
        <w:r w:rsidRPr="007E5FD7">
          <w:rPr>
            <w:rStyle w:val="Hyperlink"/>
          </w:rPr>
          <w:t>Staff development</w:t>
        </w:r>
        <w:r>
          <w:rPr>
            <w:webHidden/>
          </w:rPr>
          <w:tab/>
        </w:r>
        <w:r w:rsidR="00021CC9">
          <w:rPr>
            <w:webHidden/>
          </w:rPr>
          <w:t>26</w:t>
        </w:r>
      </w:hyperlink>
    </w:p>
    <w:p w14:paraId="4D19957F" w14:textId="6F5FC07A" w:rsidR="00FF3AAF" w:rsidRDefault="00FF3AAF">
      <w:pPr>
        <w:pStyle w:val="TOC3"/>
        <w:rPr>
          <w:rFonts w:asciiTheme="minorHAnsi" w:eastAsiaTheme="minorEastAsia" w:hAnsiTheme="minorHAnsi" w:cstheme="minorBidi"/>
          <w:color w:val="auto"/>
          <w:kern w:val="2"/>
          <w:sz w:val="24"/>
          <w:szCs w:val="24"/>
          <w:lang w:eastAsia="en-AU"/>
          <w14:ligatures w14:val="standardContextual"/>
        </w:rPr>
      </w:pPr>
      <w:hyperlink w:anchor="_Toc237872659" w:history="1">
        <w:r w:rsidRPr="007E5FD7">
          <w:rPr>
            <w:rStyle w:val="Hyperlink"/>
          </w:rPr>
          <w:t>Education and training</w:t>
        </w:r>
        <w:r>
          <w:rPr>
            <w:webHidden/>
          </w:rPr>
          <w:tab/>
        </w:r>
        <w:r w:rsidR="00021CC9">
          <w:rPr>
            <w:webHidden/>
          </w:rPr>
          <w:t>26</w:t>
        </w:r>
      </w:hyperlink>
    </w:p>
    <w:p w14:paraId="69891508" w14:textId="1984C7CE"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60" w:history="1">
        <w:r w:rsidRPr="007E5FD7">
          <w:rPr>
            <w:rStyle w:val="Hyperlink"/>
          </w:rPr>
          <w:t>Work health and safety</w:t>
        </w:r>
        <w:r>
          <w:rPr>
            <w:webHidden/>
          </w:rPr>
          <w:tab/>
        </w:r>
        <w:r w:rsidR="00021CC9">
          <w:rPr>
            <w:webHidden/>
          </w:rPr>
          <w:t>26</w:t>
        </w:r>
      </w:hyperlink>
    </w:p>
    <w:p w14:paraId="4AF8C353" w14:textId="41863B62"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61" w:history="1">
        <w:r w:rsidRPr="007E5FD7">
          <w:rPr>
            <w:rStyle w:val="Hyperlink"/>
          </w:rPr>
          <w:t>Advertising and marketing research</w:t>
        </w:r>
        <w:r>
          <w:rPr>
            <w:webHidden/>
          </w:rPr>
          <w:tab/>
        </w:r>
        <w:r w:rsidR="00021CC9">
          <w:rPr>
            <w:webHidden/>
          </w:rPr>
          <w:t>27</w:t>
        </w:r>
      </w:hyperlink>
    </w:p>
    <w:p w14:paraId="446A24D0" w14:textId="42810CE2" w:rsidR="00FF3AAF" w:rsidRDefault="00FF3AAF" w:rsidP="005C79A1">
      <w:pPr>
        <w:pStyle w:val="TOC2"/>
        <w:spacing w:after="240"/>
        <w:rPr>
          <w:rFonts w:asciiTheme="minorHAnsi" w:eastAsiaTheme="minorEastAsia" w:hAnsiTheme="minorHAnsi" w:cstheme="minorBidi"/>
          <w:color w:val="auto"/>
          <w:kern w:val="2"/>
          <w:sz w:val="24"/>
          <w:szCs w:val="24"/>
          <w:lang w:eastAsia="en-AU"/>
          <w14:ligatures w14:val="standardContextual"/>
        </w:rPr>
      </w:pPr>
      <w:hyperlink w:anchor="_Toc237872662" w:history="1">
        <w:r w:rsidRPr="007E5FD7">
          <w:rPr>
            <w:rStyle w:val="Hyperlink"/>
          </w:rPr>
          <w:t>Key management personnel</w:t>
        </w:r>
        <w:r>
          <w:rPr>
            <w:webHidden/>
          </w:rPr>
          <w:tab/>
        </w:r>
        <w:r w:rsidR="00021CC9">
          <w:rPr>
            <w:webHidden/>
          </w:rPr>
          <w:t>27</w:t>
        </w:r>
      </w:hyperlink>
    </w:p>
    <w:p w14:paraId="37131B5A" w14:textId="3A1CEED7" w:rsidR="00FF3AAF" w:rsidRPr="00315CF4" w:rsidRDefault="00484798" w:rsidP="00B43BD6">
      <w:pPr>
        <w:pStyle w:val="TOC1"/>
        <w:rPr>
          <w:rFonts w:asciiTheme="minorHAnsi" w:eastAsiaTheme="minorEastAsia" w:hAnsiTheme="minorHAnsi"/>
          <w:color w:val="auto"/>
          <w:kern w:val="2"/>
          <w:lang w:eastAsia="en-AU"/>
          <w14:ligatures w14:val="standardContextual"/>
        </w:rPr>
      </w:pPr>
      <w:hyperlink w:anchor="_Toc237872663" w:history="1">
        <w:r>
          <w:rPr>
            <w:rStyle w:val="Hyperlink"/>
          </w:rPr>
          <w:t>2</w:t>
        </w:r>
        <w:r w:rsidR="00FF3AAF" w:rsidRPr="00484798">
          <w:rPr>
            <w:rStyle w:val="Hyperlink"/>
          </w:rPr>
          <w:t>.3</w:t>
        </w:r>
        <w:r w:rsidR="00FF3AAF" w:rsidRPr="00315CF4">
          <w:rPr>
            <w:rFonts w:asciiTheme="minorHAnsi" w:eastAsiaTheme="minorEastAsia" w:hAnsiTheme="minorHAnsi"/>
            <w:color w:val="auto"/>
            <w:kern w:val="2"/>
            <w:lang w:eastAsia="en-AU"/>
            <w14:ligatures w14:val="standardContextual"/>
          </w:rPr>
          <w:tab/>
        </w:r>
        <w:r w:rsidR="00FF3AAF" w:rsidRPr="00484798">
          <w:rPr>
            <w:rStyle w:val="Hyperlink"/>
          </w:rPr>
          <w:t>Closing the Gap</w:t>
        </w:r>
        <w:r w:rsidR="00FF3AAF" w:rsidRPr="00315CF4">
          <w:rPr>
            <w:webHidden/>
          </w:rPr>
          <w:tab/>
        </w:r>
        <w:r w:rsidR="00021CC9" w:rsidRPr="00484798">
          <w:rPr>
            <w:bCs w:val="0"/>
            <w:webHidden/>
          </w:rPr>
          <w:t>29</w:t>
        </w:r>
      </w:hyperlink>
    </w:p>
    <w:p w14:paraId="730D12B9" w14:textId="164516F2" w:rsidR="00FF3AAF" w:rsidRDefault="00FF3AAF" w:rsidP="0010351D">
      <w:pPr>
        <w:pStyle w:val="TOC2"/>
        <w:spacing w:after="240"/>
        <w:rPr>
          <w:rStyle w:val="Hyperlink"/>
          <w:sz w:val="22"/>
          <w:szCs w:val="22"/>
        </w:rPr>
      </w:pPr>
      <w:hyperlink w:anchor="_Toc237872664" w:history="1">
        <w:r w:rsidRPr="00702F18">
          <w:rPr>
            <w:rStyle w:val="Hyperlink"/>
            <w:sz w:val="22"/>
            <w:szCs w:val="22"/>
          </w:rPr>
          <w:t>Priority Reforms</w:t>
        </w:r>
        <w:r w:rsidRPr="00702F18">
          <w:rPr>
            <w:webHidden/>
            <w:sz w:val="22"/>
            <w:szCs w:val="22"/>
          </w:rPr>
          <w:tab/>
        </w:r>
        <w:r w:rsidR="00021CC9">
          <w:rPr>
            <w:webHidden/>
            <w:sz w:val="22"/>
            <w:szCs w:val="22"/>
          </w:rPr>
          <w:t>29</w:t>
        </w:r>
      </w:hyperlink>
    </w:p>
    <w:p w14:paraId="63FEDC91" w14:textId="28790A16" w:rsidR="00702F18" w:rsidRPr="003C3A46" w:rsidRDefault="00702F18" w:rsidP="0010351D">
      <w:pPr>
        <w:spacing w:after="240"/>
        <w:rPr>
          <w:b/>
          <w:bCs/>
          <w:lang w:eastAsia="en-AU"/>
        </w:rPr>
      </w:pPr>
      <w:r w:rsidRPr="003C3A46">
        <w:rPr>
          <w:b/>
          <w:bCs/>
          <w:lang w:eastAsia="en-AU"/>
        </w:rPr>
        <w:t>03</w:t>
      </w:r>
      <w:r w:rsidRPr="003C3A46">
        <w:rPr>
          <w:b/>
          <w:bCs/>
          <w:lang w:eastAsia="en-AU"/>
        </w:rPr>
        <w:tab/>
        <w:t>Governance and accountability</w:t>
      </w:r>
      <w:r w:rsidRPr="003C3A46">
        <w:rPr>
          <w:b/>
          <w:bCs/>
          <w:lang w:eastAsia="en-AU"/>
        </w:rPr>
        <w:tab/>
      </w:r>
      <w:r w:rsidRPr="003C3A46">
        <w:rPr>
          <w:b/>
          <w:bCs/>
          <w:lang w:eastAsia="en-AU"/>
        </w:rPr>
        <w:tab/>
      </w:r>
      <w:r w:rsidRPr="003C3A46">
        <w:rPr>
          <w:b/>
          <w:bCs/>
          <w:lang w:eastAsia="en-AU"/>
        </w:rPr>
        <w:tab/>
      </w:r>
      <w:r w:rsidRPr="003C3A46">
        <w:rPr>
          <w:b/>
          <w:bCs/>
          <w:lang w:eastAsia="en-AU"/>
        </w:rPr>
        <w:tab/>
      </w:r>
      <w:r w:rsidRPr="003C3A46">
        <w:rPr>
          <w:b/>
          <w:bCs/>
          <w:lang w:eastAsia="en-AU"/>
        </w:rPr>
        <w:tab/>
      </w:r>
      <w:r w:rsidRPr="003C3A46">
        <w:rPr>
          <w:b/>
          <w:bCs/>
          <w:lang w:eastAsia="en-AU"/>
        </w:rPr>
        <w:tab/>
      </w:r>
      <w:r w:rsidRPr="003C3A46">
        <w:rPr>
          <w:b/>
          <w:bCs/>
          <w:lang w:eastAsia="en-AU"/>
        </w:rPr>
        <w:tab/>
      </w:r>
      <w:r w:rsidRPr="003C3A46">
        <w:rPr>
          <w:b/>
          <w:bCs/>
          <w:lang w:eastAsia="en-AU"/>
        </w:rPr>
        <w:tab/>
      </w:r>
      <w:r w:rsidR="003C3A46" w:rsidRPr="003C3A46">
        <w:rPr>
          <w:b/>
          <w:bCs/>
          <w:lang w:eastAsia="en-AU"/>
        </w:rPr>
        <w:t xml:space="preserve">  3</w:t>
      </w:r>
      <w:r w:rsidR="00021CC9">
        <w:rPr>
          <w:b/>
          <w:bCs/>
          <w:lang w:eastAsia="en-AU"/>
        </w:rPr>
        <w:t>0</w:t>
      </w:r>
    </w:p>
    <w:p w14:paraId="28746F38" w14:textId="25151FD9" w:rsidR="00FF3AAF" w:rsidRPr="00B43BD6" w:rsidRDefault="00484798" w:rsidP="00484798">
      <w:pPr>
        <w:pStyle w:val="TOC1"/>
        <w:spacing w:after="0"/>
        <w:rPr>
          <w:rFonts w:asciiTheme="minorHAnsi" w:eastAsiaTheme="minorEastAsia" w:hAnsiTheme="minorHAnsi"/>
          <w:color w:val="auto"/>
          <w:kern w:val="2"/>
          <w:lang w:eastAsia="en-AU"/>
          <w14:ligatures w14:val="standardContextual"/>
        </w:rPr>
      </w:pPr>
      <w:hyperlink w:anchor="_Toc237872665" w:history="1">
        <w:r>
          <w:rPr>
            <w:rStyle w:val="Hyperlink"/>
          </w:rPr>
          <w:t>3</w:t>
        </w:r>
        <w:r w:rsidR="00FF3AAF" w:rsidRPr="00484798">
          <w:rPr>
            <w:rStyle w:val="Hyperlink"/>
          </w:rPr>
          <w:t>.1</w:t>
        </w:r>
        <w:r w:rsidR="00FF3AAF" w:rsidRPr="00B43BD6">
          <w:rPr>
            <w:rFonts w:asciiTheme="minorHAnsi" w:eastAsiaTheme="minorEastAsia" w:hAnsiTheme="minorHAnsi"/>
            <w:color w:val="auto"/>
            <w:kern w:val="2"/>
            <w:lang w:eastAsia="en-AU"/>
            <w14:ligatures w14:val="standardContextual"/>
          </w:rPr>
          <w:tab/>
        </w:r>
        <w:r w:rsidR="00FF3AAF" w:rsidRPr="00484798">
          <w:rPr>
            <w:rStyle w:val="Hyperlink"/>
          </w:rPr>
          <w:t>The Pricing Authority</w:t>
        </w:r>
        <w:r w:rsidR="00FF3AAF" w:rsidRPr="00B43BD6">
          <w:rPr>
            <w:webHidden/>
          </w:rPr>
          <w:tab/>
        </w:r>
        <w:r w:rsidR="00393E07" w:rsidRPr="00B43BD6">
          <w:rPr>
            <w:webHidden/>
          </w:rPr>
          <w:t>31</w:t>
        </w:r>
      </w:hyperlink>
    </w:p>
    <w:p w14:paraId="15DB8965" w14:textId="7FB02BA2" w:rsidR="00FF3AAF" w:rsidRDefault="00FF3AAF" w:rsidP="00484798">
      <w:pPr>
        <w:pStyle w:val="TOC2"/>
        <w:spacing w:before="240" w:after="240"/>
        <w:rPr>
          <w:rFonts w:asciiTheme="minorHAnsi" w:eastAsiaTheme="minorEastAsia" w:hAnsiTheme="minorHAnsi" w:cstheme="minorBidi"/>
          <w:color w:val="auto"/>
          <w:kern w:val="2"/>
          <w:sz w:val="24"/>
          <w:szCs w:val="24"/>
          <w:lang w:eastAsia="en-AU"/>
          <w14:ligatures w14:val="standardContextual"/>
        </w:rPr>
      </w:pPr>
      <w:hyperlink w:anchor="_Toc237872674" w:history="1">
        <w:r w:rsidRPr="007E5FD7">
          <w:rPr>
            <w:rStyle w:val="Hyperlink"/>
          </w:rPr>
          <w:t>Meetings of the Pricing Authority 2025–26</w:t>
        </w:r>
        <w:r>
          <w:rPr>
            <w:webHidden/>
          </w:rPr>
          <w:tab/>
        </w:r>
        <w:r w:rsidR="000E1AB2">
          <w:rPr>
            <w:webHidden/>
          </w:rPr>
          <w:t>34</w:t>
        </w:r>
      </w:hyperlink>
    </w:p>
    <w:p w14:paraId="22329733" w14:textId="66A539DC" w:rsidR="00FF3AAF" w:rsidRDefault="00FF3AAF" w:rsidP="00484798">
      <w:pPr>
        <w:pStyle w:val="TOC1"/>
        <w:spacing w:after="0"/>
        <w:rPr>
          <w:rFonts w:asciiTheme="minorHAnsi" w:eastAsiaTheme="minorEastAsia" w:hAnsiTheme="minorHAnsi"/>
          <w:b/>
          <w:color w:val="auto"/>
          <w:kern w:val="2"/>
          <w:sz w:val="24"/>
          <w:szCs w:val="24"/>
          <w:lang w:eastAsia="en-AU"/>
          <w14:ligatures w14:val="standardContextual"/>
        </w:rPr>
      </w:pPr>
      <w:hyperlink w:anchor="_Toc237872675" w:history="1">
        <w:r w:rsidRPr="007E5FD7">
          <w:rPr>
            <w:rStyle w:val="Hyperlink"/>
          </w:rPr>
          <w:t>3.2</w:t>
        </w:r>
        <w:r>
          <w:rPr>
            <w:rFonts w:asciiTheme="minorHAnsi" w:eastAsiaTheme="minorEastAsia" w:hAnsiTheme="minorHAnsi"/>
            <w:b/>
            <w:color w:val="auto"/>
            <w:kern w:val="2"/>
            <w:sz w:val="24"/>
            <w:szCs w:val="24"/>
            <w:lang w:eastAsia="en-AU"/>
            <w14:ligatures w14:val="standardContextual"/>
          </w:rPr>
          <w:tab/>
        </w:r>
        <w:r w:rsidRPr="00484798">
          <w:rPr>
            <w:rStyle w:val="Hyperlink"/>
          </w:rPr>
          <w:t>Committees and working groups</w:t>
        </w:r>
        <w:r>
          <w:rPr>
            <w:webHidden/>
          </w:rPr>
          <w:tab/>
        </w:r>
        <w:r w:rsidR="000E1AB2" w:rsidRPr="00484798">
          <w:rPr>
            <w:bCs w:val="0"/>
            <w:webHidden/>
          </w:rPr>
          <w:t>35</w:t>
        </w:r>
      </w:hyperlink>
    </w:p>
    <w:p w14:paraId="54F9A4B3" w14:textId="5AF76C93" w:rsidR="003C3A46" w:rsidRPr="003C3A46" w:rsidRDefault="00FF3AAF" w:rsidP="00484798">
      <w:pPr>
        <w:pStyle w:val="TOC3"/>
        <w:spacing w:before="240"/>
        <w:rPr>
          <w:color w:val="0080C4" w:themeColor="hyperlink"/>
          <w:u w:val="single"/>
        </w:rPr>
      </w:pPr>
      <w:hyperlink w:anchor="_Toc237872676" w:history="1">
        <w:r w:rsidRPr="007E5FD7">
          <w:rPr>
            <w:rStyle w:val="Hyperlink"/>
          </w:rPr>
          <w:t>Jurisdictional Advisory Committee</w:t>
        </w:r>
        <w:r>
          <w:rPr>
            <w:webHidden/>
          </w:rPr>
          <w:tab/>
        </w:r>
        <w:r w:rsidR="000E1AB2">
          <w:rPr>
            <w:webHidden/>
          </w:rPr>
          <w:t>36</w:t>
        </w:r>
      </w:hyperlink>
    </w:p>
    <w:p w14:paraId="53A0346E" w14:textId="013E481A" w:rsidR="00FF3AAF" w:rsidRDefault="00FF3AAF" w:rsidP="00484798">
      <w:pPr>
        <w:pStyle w:val="TOC1"/>
        <w:spacing w:before="240" w:after="0"/>
        <w:rPr>
          <w:rFonts w:asciiTheme="minorHAnsi" w:eastAsiaTheme="minorEastAsia" w:hAnsiTheme="minorHAnsi"/>
          <w:b/>
          <w:color w:val="auto"/>
          <w:kern w:val="2"/>
          <w:sz w:val="24"/>
          <w:szCs w:val="24"/>
          <w:lang w:eastAsia="en-AU"/>
          <w14:ligatures w14:val="standardContextual"/>
        </w:rPr>
      </w:pPr>
      <w:hyperlink w:anchor="_Toc237872677" w:history="1">
        <w:r w:rsidRPr="007E5FD7">
          <w:rPr>
            <w:rStyle w:val="Hyperlink"/>
          </w:rPr>
          <w:t>3.3</w:t>
        </w:r>
        <w:r>
          <w:rPr>
            <w:rFonts w:asciiTheme="minorHAnsi" w:eastAsiaTheme="minorEastAsia" w:hAnsiTheme="minorHAnsi"/>
            <w:b/>
            <w:color w:val="auto"/>
            <w:kern w:val="2"/>
            <w:sz w:val="24"/>
            <w:szCs w:val="24"/>
            <w:lang w:eastAsia="en-AU"/>
            <w14:ligatures w14:val="standardContextual"/>
          </w:rPr>
          <w:tab/>
        </w:r>
        <w:r w:rsidRPr="00484798">
          <w:rPr>
            <w:rStyle w:val="Hyperlink"/>
          </w:rPr>
          <w:t>Clinical Advisory Committee</w:t>
        </w:r>
        <w:r>
          <w:rPr>
            <w:webHidden/>
          </w:rPr>
          <w:tab/>
        </w:r>
        <w:r w:rsidR="00AC209C" w:rsidRPr="00484798">
          <w:rPr>
            <w:bCs w:val="0"/>
            <w:webHidden/>
          </w:rPr>
          <w:t>37</w:t>
        </w:r>
      </w:hyperlink>
    </w:p>
    <w:p w14:paraId="440840B2" w14:textId="75579490" w:rsidR="00FF3AAF" w:rsidRDefault="00FF3AAF" w:rsidP="00484798">
      <w:pPr>
        <w:pStyle w:val="TOC2"/>
        <w:rPr>
          <w:rFonts w:asciiTheme="minorHAnsi" w:eastAsiaTheme="minorEastAsia" w:hAnsiTheme="minorHAnsi" w:cstheme="minorBidi"/>
          <w:color w:val="auto"/>
          <w:kern w:val="2"/>
          <w:sz w:val="24"/>
          <w:szCs w:val="24"/>
          <w:lang w:eastAsia="en-AU"/>
          <w14:ligatures w14:val="standardContextual"/>
        </w:rPr>
      </w:pPr>
      <w:hyperlink w:anchor="_Toc237872678" w:history="1">
        <w:r w:rsidRPr="007E5FD7">
          <w:rPr>
            <w:rStyle w:val="Hyperlink"/>
          </w:rPr>
          <w:t>Letter from the Chair</w:t>
        </w:r>
        <w:r>
          <w:rPr>
            <w:webHidden/>
          </w:rPr>
          <w:tab/>
        </w:r>
        <w:r w:rsidR="00AC209C">
          <w:rPr>
            <w:webHidden/>
          </w:rPr>
          <w:t>37</w:t>
        </w:r>
      </w:hyperlink>
    </w:p>
    <w:p w14:paraId="0BA6B340" w14:textId="3EE8F3C6" w:rsidR="00FF3AAF" w:rsidRDefault="00FF3AAF" w:rsidP="00880E02">
      <w:pPr>
        <w:pStyle w:val="TOC2"/>
        <w:spacing w:after="240"/>
        <w:rPr>
          <w:rFonts w:asciiTheme="minorHAnsi" w:eastAsiaTheme="minorEastAsia" w:hAnsiTheme="minorHAnsi" w:cstheme="minorBidi"/>
          <w:color w:val="auto"/>
          <w:kern w:val="2"/>
          <w:sz w:val="24"/>
          <w:szCs w:val="24"/>
          <w:lang w:eastAsia="en-AU"/>
          <w14:ligatures w14:val="standardContextual"/>
        </w:rPr>
      </w:pPr>
      <w:hyperlink w:anchor="_Toc237872679" w:history="1">
        <w:r w:rsidRPr="007E5FD7">
          <w:rPr>
            <w:rStyle w:val="Hyperlink"/>
          </w:rPr>
          <w:t>About the Clinical Advisory Committee</w:t>
        </w:r>
        <w:r>
          <w:rPr>
            <w:webHidden/>
          </w:rPr>
          <w:tab/>
        </w:r>
        <w:r w:rsidR="00AC209C">
          <w:rPr>
            <w:webHidden/>
          </w:rPr>
          <w:t>38</w:t>
        </w:r>
      </w:hyperlink>
    </w:p>
    <w:p w14:paraId="153755C6" w14:textId="73725839" w:rsidR="00FF3AAF" w:rsidRDefault="00FF3AAF" w:rsidP="00880E02">
      <w:pPr>
        <w:pStyle w:val="TOC1"/>
        <w:spacing w:after="0"/>
        <w:rPr>
          <w:rFonts w:asciiTheme="minorHAnsi" w:eastAsiaTheme="minorEastAsia" w:hAnsiTheme="minorHAnsi"/>
          <w:color w:val="auto"/>
          <w:kern w:val="2"/>
          <w:sz w:val="24"/>
          <w:szCs w:val="24"/>
          <w:lang w:eastAsia="en-AU"/>
          <w14:ligatures w14:val="standardContextual"/>
        </w:rPr>
      </w:pPr>
      <w:hyperlink w:anchor="_Toc237872680" w:history="1">
        <w:r w:rsidRPr="007E5FD7">
          <w:rPr>
            <w:rStyle w:val="Hyperlink"/>
          </w:rPr>
          <w:t>3.4</w:t>
        </w:r>
        <w:r>
          <w:rPr>
            <w:rFonts w:asciiTheme="minorHAnsi" w:eastAsiaTheme="minorEastAsia" w:hAnsiTheme="minorHAnsi"/>
            <w:color w:val="auto"/>
            <w:kern w:val="2"/>
            <w:sz w:val="24"/>
            <w:szCs w:val="24"/>
            <w:lang w:eastAsia="en-AU"/>
            <w14:ligatures w14:val="standardContextual"/>
          </w:rPr>
          <w:tab/>
        </w:r>
        <w:r w:rsidRPr="00880E02">
          <w:rPr>
            <w:rStyle w:val="Hyperlink"/>
          </w:rPr>
          <w:t>Aged Care Advisory Committee</w:t>
        </w:r>
        <w:r>
          <w:rPr>
            <w:webHidden/>
          </w:rPr>
          <w:tab/>
        </w:r>
        <w:r w:rsidRPr="00B12419">
          <w:rPr>
            <w:webHidden/>
          </w:rPr>
          <w:fldChar w:fldCharType="begin"/>
        </w:r>
        <w:r w:rsidRPr="00B12419">
          <w:rPr>
            <w:webHidden/>
          </w:rPr>
          <w:instrText xml:space="preserve"> PAGEREF _Toc237872680 \h </w:instrText>
        </w:r>
        <w:r w:rsidRPr="00B12419">
          <w:rPr>
            <w:webHidden/>
          </w:rPr>
        </w:r>
        <w:r w:rsidRPr="00B12419">
          <w:rPr>
            <w:webHidden/>
          </w:rPr>
          <w:fldChar w:fldCharType="separate"/>
        </w:r>
        <w:r w:rsidRPr="00B12419">
          <w:rPr>
            <w:webHidden/>
          </w:rPr>
          <w:t>4</w:t>
        </w:r>
        <w:r w:rsidR="00AC209C" w:rsidRPr="00B12419">
          <w:rPr>
            <w:webHidden/>
          </w:rPr>
          <w:t>0</w:t>
        </w:r>
        <w:r w:rsidRPr="00B12419">
          <w:rPr>
            <w:webHidden/>
          </w:rPr>
          <w:fldChar w:fldCharType="end"/>
        </w:r>
      </w:hyperlink>
    </w:p>
    <w:p w14:paraId="06E25743" w14:textId="5A948988" w:rsidR="00FF3AAF" w:rsidRDefault="00FF3AAF" w:rsidP="00880E02">
      <w:pPr>
        <w:pStyle w:val="TOC2"/>
        <w:rPr>
          <w:rFonts w:asciiTheme="minorHAnsi" w:eastAsiaTheme="minorEastAsia" w:hAnsiTheme="minorHAnsi" w:cstheme="minorBidi"/>
          <w:color w:val="auto"/>
          <w:kern w:val="2"/>
          <w:sz w:val="24"/>
          <w:szCs w:val="24"/>
          <w:lang w:eastAsia="en-AU"/>
          <w14:ligatures w14:val="standardContextual"/>
        </w:rPr>
      </w:pPr>
      <w:hyperlink w:anchor="_Toc237872681" w:history="1">
        <w:r w:rsidRPr="007E5FD7">
          <w:rPr>
            <w:rStyle w:val="Hyperlink"/>
          </w:rPr>
          <w:t>Letter from the Chair</w:t>
        </w:r>
        <w:r>
          <w:rPr>
            <w:webHidden/>
          </w:rPr>
          <w:tab/>
        </w:r>
        <w:r>
          <w:rPr>
            <w:webHidden/>
          </w:rPr>
          <w:fldChar w:fldCharType="begin"/>
        </w:r>
        <w:r>
          <w:rPr>
            <w:webHidden/>
          </w:rPr>
          <w:instrText xml:space="preserve"> PAGEREF _Toc237872681 \h </w:instrText>
        </w:r>
        <w:r>
          <w:rPr>
            <w:webHidden/>
          </w:rPr>
        </w:r>
        <w:r>
          <w:rPr>
            <w:webHidden/>
          </w:rPr>
          <w:fldChar w:fldCharType="separate"/>
        </w:r>
        <w:r>
          <w:rPr>
            <w:webHidden/>
          </w:rPr>
          <w:t>4</w:t>
        </w:r>
        <w:r w:rsidR="00AC209C">
          <w:rPr>
            <w:webHidden/>
          </w:rPr>
          <w:t>0</w:t>
        </w:r>
        <w:r>
          <w:rPr>
            <w:webHidden/>
          </w:rPr>
          <w:fldChar w:fldCharType="end"/>
        </w:r>
      </w:hyperlink>
    </w:p>
    <w:p w14:paraId="343A6002" w14:textId="1D0BE5ED" w:rsidR="00FF3AAF" w:rsidRDefault="00FF3AAF" w:rsidP="002266B0">
      <w:pPr>
        <w:pStyle w:val="TOC2"/>
        <w:spacing w:after="240"/>
        <w:rPr>
          <w:rFonts w:asciiTheme="minorHAnsi" w:eastAsiaTheme="minorEastAsia" w:hAnsiTheme="minorHAnsi" w:cstheme="minorBidi"/>
          <w:color w:val="auto"/>
          <w:kern w:val="2"/>
          <w:sz w:val="24"/>
          <w:szCs w:val="24"/>
          <w:lang w:eastAsia="en-AU"/>
          <w14:ligatures w14:val="standardContextual"/>
        </w:rPr>
      </w:pPr>
      <w:hyperlink w:anchor="_Toc237872682" w:history="1">
        <w:r w:rsidRPr="007E5FD7">
          <w:rPr>
            <w:rStyle w:val="Hyperlink"/>
          </w:rPr>
          <w:t>About the Aged Care Advisory Committee</w:t>
        </w:r>
        <w:r>
          <w:rPr>
            <w:webHidden/>
          </w:rPr>
          <w:tab/>
        </w:r>
        <w:r w:rsidR="007839DE">
          <w:rPr>
            <w:webHidden/>
          </w:rPr>
          <w:t>42</w:t>
        </w:r>
      </w:hyperlink>
    </w:p>
    <w:p w14:paraId="3E820F2F" w14:textId="788E15EE" w:rsidR="00FF3AAF" w:rsidRPr="00B43BD6" w:rsidRDefault="00700183" w:rsidP="00B43BD6">
      <w:pPr>
        <w:pStyle w:val="TOC1"/>
        <w:rPr>
          <w:rFonts w:asciiTheme="minorHAnsi" w:eastAsiaTheme="minorEastAsia" w:hAnsiTheme="minorHAnsi"/>
          <w:color w:val="auto"/>
          <w:kern w:val="2"/>
          <w:lang w:eastAsia="en-AU"/>
          <w14:ligatures w14:val="standardContextual"/>
        </w:rPr>
      </w:pPr>
      <w:hyperlink w:anchor="_Toc237872683" w:history="1">
        <w:r>
          <w:rPr>
            <w:rStyle w:val="Hyperlink"/>
          </w:rPr>
          <w:t>3</w:t>
        </w:r>
        <w:r w:rsidR="00FF3AAF" w:rsidRPr="00700183">
          <w:rPr>
            <w:rStyle w:val="Hyperlink"/>
          </w:rPr>
          <w:t>.5</w:t>
        </w:r>
        <w:r w:rsidR="00FF3AAF" w:rsidRPr="00B43BD6">
          <w:rPr>
            <w:rFonts w:asciiTheme="minorHAnsi" w:eastAsiaTheme="minorEastAsia" w:hAnsiTheme="minorHAnsi"/>
            <w:color w:val="auto"/>
            <w:kern w:val="2"/>
            <w:lang w:eastAsia="en-AU"/>
            <w14:ligatures w14:val="standardContextual"/>
          </w:rPr>
          <w:tab/>
        </w:r>
        <w:r w:rsidR="00FF3AAF" w:rsidRPr="00700183">
          <w:rPr>
            <w:rStyle w:val="Hyperlink"/>
          </w:rPr>
          <w:t>Key corporate governance practices</w:t>
        </w:r>
        <w:r w:rsidR="00FF3AAF" w:rsidRPr="00B43BD6">
          <w:rPr>
            <w:webHidden/>
          </w:rPr>
          <w:tab/>
        </w:r>
        <w:r w:rsidR="007839DE" w:rsidRPr="00B43BD6">
          <w:rPr>
            <w:webHidden/>
          </w:rPr>
          <w:t>43</w:t>
        </w:r>
      </w:hyperlink>
    </w:p>
    <w:p w14:paraId="1E8D4B7A" w14:textId="34BA188D" w:rsidR="00FF3AAF" w:rsidRDefault="00FF3AAF" w:rsidP="002266B0">
      <w:pPr>
        <w:pStyle w:val="TOC2"/>
        <w:rPr>
          <w:rFonts w:asciiTheme="minorHAnsi" w:eastAsiaTheme="minorEastAsia" w:hAnsiTheme="minorHAnsi" w:cstheme="minorBidi"/>
          <w:color w:val="auto"/>
          <w:kern w:val="2"/>
          <w:sz w:val="24"/>
          <w:szCs w:val="24"/>
          <w:lang w:eastAsia="en-AU"/>
          <w14:ligatures w14:val="standardContextual"/>
        </w:rPr>
      </w:pPr>
      <w:hyperlink w:anchor="_Toc237872684" w:history="1">
        <w:r w:rsidRPr="007E5FD7">
          <w:rPr>
            <w:rStyle w:val="Hyperlink"/>
          </w:rPr>
          <w:t>Audit, Risk and Compliance Committee</w:t>
        </w:r>
        <w:r>
          <w:rPr>
            <w:webHidden/>
          </w:rPr>
          <w:tab/>
        </w:r>
        <w:r w:rsidR="00501B11">
          <w:rPr>
            <w:webHidden/>
          </w:rPr>
          <w:t>43</w:t>
        </w:r>
      </w:hyperlink>
    </w:p>
    <w:p w14:paraId="2D955326" w14:textId="12E4A0A2"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85" w:history="1">
        <w:r w:rsidRPr="007E5FD7">
          <w:rPr>
            <w:rStyle w:val="Hyperlink"/>
          </w:rPr>
          <w:t>Risk management</w:t>
        </w:r>
        <w:r>
          <w:rPr>
            <w:webHidden/>
          </w:rPr>
          <w:tab/>
        </w:r>
        <w:r w:rsidR="00501B11">
          <w:rPr>
            <w:webHidden/>
          </w:rPr>
          <w:t>45</w:t>
        </w:r>
      </w:hyperlink>
    </w:p>
    <w:p w14:paraId="54A3ABC0" w14:textId="01E1B4B8"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86" w:history="1">
        <w:r w:rsidRPr="007E5FD7">
          <w:rPr>
            <w:rStyle w:val="Hyperlink"/>
          </w:rPr>
          <w:t>Compliance</w:t>
        </w:r>
        <w:r>
          <w:rPr>
            <w:webHidden/>
          </w:rPr>
          <w:tab/>
        </w:r>
        <w:r w:rsidR="00501B11">
          <w:rPr>
            <w:webHidden/>
          </w:rPr>
          <w:t>46</w:t>
        </w:r>
      </w:hyperlink>
    </w:p>
    <w:p w14:paraId="2600C183" w14:textId="4BAABE70"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87" w:history="1">
        <w:r w:rsidRPr="007E5FD7">
          <w:rPr>
            <w:rStyle w:val="Hyperlink"/>
          </w:rPr>
          <w:t>Assurance</w:t>
        </w:r>
        <w:r>
          <w:rPr>
            <w:webHidden/>
          </w:rPr>
          <w:tab/>
        </w:r>
        <w:r w:rsidR="00501B11">
          <w:rPr>
            <w:webHidden/>
          </w:rPr>
          <w:t>47</w:t>
        </w:r>
      </w:hyperlink>
    </w:p>
    <w:p w14:paraId="060C937D" w14:textId="2E93E724"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88" w:history="1">
        <w:r w:rsidRPr="007E5FD7">
          <w:rPr>
            <w:rStyle w:val="Hyperlink"/>
          </w:rPr>
          <w:t>Procurement performance</w:t>
        </w:r>
        <w:r>
          <w:rPr>
            <w:webHidden/>
          </w:rPr>
          <w:tab/>
        </w:r>
        <w:r w:rsidR="00501B11">
          <w:rPr>
            <w:webHidden/>
          </w:rPr>
          <w:t>47</w:t>
        </w:r>
      </w:hyperlink>
    </w:p>
    <w:p w14:paraId="2B82CE2B" w14:textId="649E61B1"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89" w:history="1">
        <w:r w:rsidRPr="007E5FD7">
          <w:rPr>
            <w:rStyle w:val="Hyperlink"/>
          </w:rPr>
          <w:t>Significant non-compliance issues with finance law</w:t>
        </w:r>
        <w:r>
          <w:rPr>
            <w:webHidden/>
          </w:rPr>
          <w:tab/>
        </w:r>
        <w:r w:rsidR="00501B11">
          <w:rPr>
            <w:webHidden/>
          </w:rPr>
          <w:t>47</w:t>
        </w:r>
      </w:hyperlink>
    </w:p>
    <w:p w14:paraId="542C2475" w14:textId="61D7C219"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90" w:history="1">
        <w:r w:rsidRPr="007E5FD7">
          <w:rPr>
            <w:rStyle w:val="Hyperlink"/>
          </w:rPr>
          <w:t>Financial authorisation</w:t>
        </w:r>
        <w:r>
          <w:rPr>
            <w:webHidden/>
          </w:rPr>
          <w:tab/>
        </w:r>
        <w:r w:rsidR="00501B11">
          <w:rPr>
            <w:webHidden/>
          </w:rPr>
          <w:t>47</w:t>
        </w:r>
      </w:hyperlink>
    </w:p>
    <w:p w14:paraId="3C7F785E" w14:textId="7912FEE4"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691" w:history="1">
        <w:r w:rsidRPr="007E5FD7">
          <w:rPr>
            <w:rStyle w:val="Hyperlink"/>
          </w:rPr>
          <w:t>Fraud and corruption control plan</w:t>
        </w:r>
        <w:r>
          <w:rPr>
            <w:webHidden/>
          </w:rPr>
          <w:tab/>
        </w:r>
        <w:r w:rsidR="00501B11">
          <w:rPr>
            <w:webHidden/>
          </w:rPr>
          <w:t>47</w:t>
        </w:r>
      </w:hyperlink>
    </w:p>
    <w:p w14:paraId="01397C27" w14:textId="4D43D473" w:rsidR="00FF3AAF" w:rsidRDefault="00FF3AAF" w:rsidP="00722DDA">
      <w:pPr>
        <w:pStyle w:val="TOC2"/>
        <w:spacing w:after="240"/>
        <w:rPr>
          <w:rStyle w:val="Hyperlink"/>
        </w:rPr>
      </w:pPr>
      <w:hyperlink w:anchor="_Toc237872692" w:history="1">
        <w:r w:rsidRPr="007E5FD7">
          <w:rPr>
            <w:rStyle w:val="Hyperlink"/>
          </w:rPr>
          <w:t>Inter-agency financial activity</w:t>
        </w:r>
        <w:r>
          <w:rPr>
            <w:webHidden/>
          </w:rPr>
          <w:tab/>
        </w:r>
        <w:r w:rsidR="00501B11">
          <w:rPr>
            <w:webHidden/>
          </w:rPr>
          <w:t>48</w:t>
        </w:r>
      </w:hyperlink>
    </w:p>
    <w:p w14:paraId="229BBEEF" w14:textId="7C981E0D" w:rsidR="003C3A46" w:rsidRPr="003C3A46" w:rsidRDefault="003C3A46" w:rsidP="00722DDA">
      <w:pPr>
        <w:spacing w:after="240"/>
        <w:rPr>
          <w:b/>
          <w:bCs/>
          <w:lang w:eastAsia="en-AU"/>
        </w:rPr>
      </w:pPr>
      <w:r w:rsidRPr="003C3A46">
        <w:rPr>
          <w:b/>
          <w:bCs/>
          <w:lang w:eastAsia="en-AU"/>
        </w:rPr>
        <w:t>04</w:t>
      </w:r>
      <w:r w:rsidRPr="003C3A46">
        <w:rPr>
          <w:b/>
          <w:bCs/>
          <w:lang w:eastAsia="en-AU"/>
        </w:rPr>
        <w:tab/>
        <w:t xml:space="preserve">Annual performance statements </w:t>
      </w:r>
      <w:r w:rsidRPr="003C3A46">
        <w:rPr>
          <w:b/>
          <w:bCs/>
          <w:lang w:eastAsia="en-AU"/>
        </w:rPr>
        <w:tab/>
      </w:r>
      <w:r w:rsidRPr="003C3A46">
        <w:rPr>
          <w:b/>
          <w:bCs/>
          <w:lang w:eastAsia="en-AU"/>
        </w:rPr>
        <w:tab/>
      </w:r>
      <w:r w:rsidRPr="003C3A46">
        <w:rPr>
          <w:b/>
          <w:bCs/>
          <w:lang w:eastAsia="en-AU"/>
        </w:rPr>
        <w:tab/>
      </w:r>
      <w:r w:rsidRPr="003C3A46">
        <w:rPr>
          <w:b/>
          <w:bCs/>
          <w:lang w:eastAsia="en-AU"/>
        </w:rPr>
        <w:tab/>
      </w:r>
      <w:r w:rsidRPr="003C3A46">
        <w:rPr>
          <w:b/>
          <w:bCs/>
          <w:lang w:eastAsia="en-AU"/>
        </w:rPr>
        <w:tab/>
      </w:r>
      <w:r w:rsidRPr="003C3A46">
        <w:rPr>
          <w:b/>
          <w:bCs/>
          <w:lang w:eastAsia="en-AU"/>
        </w:rPr>
        <w:tab/>
      </w:r>
      <w:r w:rsidRPr="003C3A46">
        <w:rPr>
          <w:b/>
          <w:bCs/>
          <w:lang w:eastAsia="en-AU"/>
        </w:rPr>
        <w:tab/>
      </w:r>
      <w:r w:rsidRPr="003C3A46">
        <w:rPr>
          <w:b/>
          <w:bCs/>
          <w:lang w:eastAsia="en-AU"/>
        </w:rPr>
        <w:tab/>
        <w:t xml:space="preserve">  </w:t>
      </w:r>
      <w:r w:rsidR="003563FB">
        <w:rPr>
          <w:b/>
          <w:bCs/>
          <w:lang w:eastAsia="en-AU"/>
        </w:rPr>
        <w:t>49</w:t>
      </w:r>
      <w:r w:rsidRPr="003C3A46">
        <w:rPr>
          <w:b/>
          <w:bCs/>
          <w:lang w:eastAsia="en-AU"/>
        </w:rPr>
        <w:t xml:space="preserve"> </w:t>
      </w:r>
    </w:p>
    <w:p w14:paraId="155C9B05" w14:textId="2B8CD402" w:rsidR="00FF3AAF" w:rsidRPr="00315CF4" w:rsidRDefault="002D70F0" w:rsidP="00B43BD6">
      <w:pPr>
        <w:pStyle w:val="TOC1"/>
        <w:rPr>
          <w:rFonts w:asciiTheme="minorHAnsi" w:eastAsiaTheme="minorEastAsia" w:hAnsiTheme="minorHAnsi"/>
          <w:color w:val="auto"/>
          <w:kern w:val="2"/>
          <w:sz w:val="24"/>
          <w:szCs w:val="24"/>
          <w:lang w:eastAsia="en-AU"/>
          <w14:ligatures w14:val="standardContextual"/>
        </w:rPr>
      </w:pPr>
      <w:hyperlink w:anchor="_Toc237872693" w:history="1">
        <w:r>
          <w:rPr>
            <w:rStyle w:val="Hyperlink"/>
          </w:rPr>
          <w:t>4</w:t>
        </w:r>
        <w:r w:rsidR="00FF3AAF" w:rsidRPr="00315CF4">
          <w:rPr>
            <w:rStyle w:val="Hyperlink"/>
          </w:rPr>
          <w:t>.1</w:t>
        </w:r>
        <w:r w:rsidR="00FF3AAF" w:rsidRPr="00315CF4">
          <w:rPr>
            <w:rFonts w:asciiTheme="minorHAnsi" w:eastAsiaTheme="minorEastAsia" w:hAnsiTheme="minorHAnsi"/>
            <w:color w:val="auto"/>
            <w:kern w:val="2"/>
            <w:sz w:val="24"/>
            <w:szCs w:val="24"/>
            <w:lang w:eastAsia="en-AU"/>
            <w14:ligatures w14:val="standardContextual"/>
          </w:rPr>
          <w:tab/>
        </w:r>
        <w:r w:rsidR="00FF3AAF" w:rsidRPr="00315CF4">
          <w:rPr>
            <w:rStyle w:val="Hyperlink"/>
          </w:rPr>
          <w:t>Introductory statement</w:t>
        </w:r>
        <w:r w:rsidR="00FF3AAF" w:rsidRPr="00315CF4">
          <w:rPr>
            <w:webHidden/>
          </w:rPr>
          <w:tab/>
        </w:r>
        <w:r w:rsidR="00FF3AAF" w:rsidRPr="00315CF4">
          <w:rPr>
            <w:webHidden/>
          </w:rPr>
          <w:fldChar w:fldCharType="begin"/>
        </w:r>
        <w:r w:rsidR="00FF3AAF" w:rsidRPr="00315CF4">
          <w:rPr>
            <w:webHidden/>
          </w:rPr>
          <w:instrText xml:space="preserve"> PAGEREF _Toc237872693 \h </w:instrText>
        </w:r>
        <w:r w:rsidR="00FF3AAF" w:rsidRPr="00315CF4">
          <w:rPr>
            <w:webHidden/>
          </w:rPr>
        </w:r>
        <w:r w:rsidR="00FF3AAF" w:rsidRPr="00315CF4">
          <w:rPr>
            <w:webHidden/>
          </w:rPr>
          <w:fldChar w:fldCharType="separate"/>
        </w:r>
        <w:r w:rsidR="00FF3AAF" w:rsidRPr="00315CF4">
          <w:rPr>
            <w:webHidden/>
          </w:rPr>
          <w:t>5</w:t>
        </w:r>
        <w:r w:rsidR="003563FB" w:rsidRPr="00315CF4">
          <w:rPr>
            <w:webHidden/>
          </w:rPr>
          <w:t>0</w:t>
        </w:r>
        <w:r w:rsidR="00FF3AAF" w:rsidRPr="00315CF4">
          <w:rPr>
            <w:webHidden/>
          </w:rPr>
          <w:fldChar w:fldCharType="end"/>
        </w:r>
      </w:hyperlink>
    </w:p>
    <w:p w14:paraId="1CB3C0CC" w14:textId="398881FC"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694" w:history="1">
        <w:r w:rsidRPr="007E5FD7">
          <w:rPr>
            <w:rStyle w:val="Hyperlink"/>
          </w:rPr>
          <w:t>4.2</w:t>
        </w:r>
        <w:r>
          <w:rPr>
            <w:rFonts w:asciiTheme="minorHAnsi" w:eastAsiaTheme="minorEastAsia" w:hAnsiTheme="minorHAnsi"/>
            <w:b/>
            <w:color w:val="auto"/>
            <w:kern w:val="2"/>
            <w:sz w:val="24"/>
            <w:szCs w:val="24"/>
            <w:lang w:eastAsia="en-AU"/>
            <w14:ligatures w14:val="standardContextual"/>
          </w:rPr>
          <w:tab/>
        </w:r>
        <w:r w:rsidRPr="007E5FD7">
          <w:rPr>
            <w:rStyle w:val="Hyperlink"/>
          </w:rPr>
          <w:t>Performance in 2025–26 – Portfolio Budget Statements</w:t>
        </w:r>
        <w:r>
          <w:rPr>
            <w:webHidden/>
          </w:rPr>
          <w:tab/>
        </w:r>
        <w:r>
          <w:rPr>
            <w:webHidden/>
          </w:rPr>
          <w:fldChar w:fldCharType="begin"/>
        </w:r>
        <w:r>
          <w:rPr>
            <w:webHidden/>
          </w:rPr>
          <w:instrText xml:space="preserve"> PAGEREF _Toc237872694 \h </w:instrText>
        </w:r>
        <w:r>
          <w:rPr>
            <w:webHidden/>
          </w:rPr>
        </w:r>
        <w:r>
          <w:rPr>
            <w:webHidden/>
          </w:rPr>
          <w:fldChar w:fldCharType="separate"/>
        </w:r>
        <w:r>
          <w:rPr>
            <w:webHidden/>
          </w:rPr>
          <w:t>5</w:t>
        </w:r>
        <w:r w:rsidR="003563FB">
          <w:rPr>
            <w:webHidden/>
          </w:rPr>
          <w:t>0</w:t>
        </w:r>
        <w:r>
          <w:rPr>
            <w:webHidden/>
          </w:rPr>
          <w:fldChar w:fldCharType="end"/>
        </w:r>
      </w:hyperlink>
    </w:p>
    <w:p w14:paraId="36F81702" w14:textId="2EAAA281"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695" w:history="1">
        <w:r w:rsidRPr="007E5FD7">
          <w:rPr>
            <w:rStyle w:val="Hyperlink"/>
          </w:rPr>
          <w:t>4.3</w:t>
        </w:r>
        <w:r>
          <w:rPr>
            <w:rFonts w:asciiTheme="minorHAnsi" w:eastAsiaTheme="minorEastAsia" w:hAnsiTheme="minorHAnsi"/>
            <w:b/>
            <w:color w:val="auto"/>
            <w:kern w:val="2"/>
            <w:sz w:val="24"/>
            <w:szCs w:val="24"/>
            <w:lang w:eastAsia="en-AU"/>
            <w14:ligatures w14:val="standardContextual"/>
          </w:rPr>
          <w:tab/>
        </w:r>
        <w:r w:rsidRPr="007E5FD7">
          <w:rPr>
            <w:rStyle w:val="Hyperlink"/>
          </w:rPr>
          <w:t>Strategic objective one: Perform pricing functions</w:t>
        </w:r>
        <w:r>
          <w:rPr>
            <w:webHidden/>
          </w:rPr>
          <w:tab/>
        </w:r>
        <w:r w:rsidR="003C3A46">
          <w:rPr>
            <w:webHidden/>
          </w:rPr>
          <w:t>5</w:t>
        </w:r>
        <w:r w:rsidR="003563FB">
          <w:rPr>
            <w:webHidden/>
          </w:rPr>
          <w:t>2</w:t>
        </w:r>
      </w:hyperlink>
    </w:p>
    <w:p w14:paraId="3DCBEBD5" w14:textId="4ABD0AD5" w:rsidR="00FF3AAF" w:rsidRPr="00B43BD6" w:rsidRDefault="002D70F0" w:rsidP="00B43BD6">
      <w:pPr>
        <w:pStyle w:val="TOC1"/>
        <w:rPr>
          <w:rFonts w:asciiTheme="minorHAnsi" w:eastAsiaTheme="minorEastAsia" w:hAnsiTheme="minorHAnsi"/>
          <w:color w:val="auto"/>
          <w:kern w:val="2"/>
          <w:sz w:val="24"/>
          <w:szCs w:val="24"/>
          <w:lang w:eastAsia="en-AU"/>
          <w14:ligatures w14:val="standardContextual"/>
        </w:rPr>
      </w:pPr>
      <w:hyperlink w:anchor="_Toc237872703" w:history="1">
        <w:r>
          <w:rPr>
            <w:rStyle w:val="Hyperlink"/>
          </w:rPr>
          <w:t>4</w:t>
        </w:r>
        <w:r w:rsidR="00FF3AAF" w:rsidRPr="00B43BD6">
          <w:rPr>
            <w:rStyle w:val="Hyperlink"/>
          </w:rPr>
          <w:t>.4</w:t>
        </w:r>
        <w:r w:rsidR="00FF3AAF" w:rsidRPr="00B43BD6">
          <w:rPr>
            <w:rFonts w:asciiTheme="minorHAnsi" w:eastAsiaTheme="minorEastAsia" w:hAnsiTheme="minorHAnsi"/>
            <w:color w:val="auto"/>
            <w:kern w:val="2"/>
            <w:sz w:val="24"/>
            <w:szCs w:val="24"/>
            <w:lang w:eastAsia="en-AU"/>
            <w14:ligatures w14:val="standardContextual"/>
          </w:rPr>
          <w:tab/>
        </w:r>
        <w:r w:rsidR="00FF3AAF" w:rsidRPr="00B43BD6">
          <w:rPr>
            <w:rStyle w:val="Hyperlink"/>
          </w:rPr>
          <w:t>Strategic objective two: Refine and develop hospital and aged care classification systems</w:t>
        </w:r>
        <w:r w:rsidR="00FF3AAF" w:rsidRPr="00B43BD6">
          <w:rPr>
            <w:webHidden/>
          </w:rPr>
          <w:tab/>
        </w:r>
        <w:r w:rsidR="003C3A46" w:rsidRPr="00B43BD6">
          <w:rPr>
            <w:webHidden/>
          </w:rPr>
          <w:t>5</w:t>
        </w:r>
        <w:r w:rsidR="003563FB" w:rsidRPr="00B43BD6">
          <w:rPr>
            <w:webHidden/>
          </w:rPr>
          <w:t>7</w:t>
        </w:r>
      </w:hyperlink>
    </w:p>
    <w:p w14:paraId="0E7AB937" w14:textId="0100603A"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14" w:history="1">
        <w:r w:rsidRPr="007E5FD7">
          <w:rPr>
            <w:rStyle w:val="Hyperlink"/>
          </w:rPr>
          <w:t>4.5</w:t>
        </w:r>
        <w:r>
          <w:rPr>
            <w:rFonts w:asciiTheme="minorHAnsi" w:eastAsiaTheme="minorEastAsia" w:hAnsiTheme="minorHAnsi"/>
            <w:b/>
            <w:color w:val="auto"/>
            <w:kern w:val="2"/>
            <w:sz w:val="24"/>
            <w:szCs w:val="24"/>
            <w:lang w:eastAsia="en-AU"/>
            <w14:ligatures w14:val="standardContextual"/>
          </w:rPr>
          <w:tab/>
        </w:r>
        <w:r w:rsidRPr="007E5FD7">
          <w:rPr>
            <w:rStyle w:val="Hyperlink"/>
          </w:rPr>
          <w:t>Strategic objective three: Refine and improve hospital and aged care costing</w:t>
        </w:r>
        <w:r>
          <w:rPr>
            <w:webHidden/>
          </w:rPr>
          <w:tab/>
        </w:r>
        <w:r w:rsidR="00BA40C0">
          <w:rPr>
            <w:webHidden/>
          </w:rPr>
          <w:t>6</w:t>
        </w:r>
        <w:r w:rsidR="003563FB">
          <w:rPr>
            <w:webHidden/>
          </w:rPr>
          <w:t>2</w:t>
        </w:r>
      </w:hyperlink>
    </w:p>
    <w:p w14:paraId="61C5FF5B" w14:textId="4D8050D4"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21" w:history="1">
        <w:r w:rsidRPr="007E5FD7">
          <w:rPr>
            <w:rStyle w:val="Hyperlink"/>
          </w:rPr>
          <w:t>4.6</w:t>
        </w:r>
        <w:r>
          <w:rPr>
            <w:rFonts w:asciiTheme="minorHAnsi" w:eastAsiaTheme="minorEastAsia" w:hAnsiTheme="minorHAnsi"/>
            <w:b/>
            <w:color w:val="auto"/>
            <w:kern w:val="2"/>
            <w:sz w:val="24"/>
            <w:szCs w:val="24"/>
            <w:lang w:eastAsia="en-AU"/>
            <w14:ligatures w14:val="standardContextual"/>
          </w:rPr>
          <w:tab/>
        </w:r>
        <w:r w:rsidRPr="007E5FD7">
          <w:rPr>
            <w:rStyle w:val="Hyperlink"/>
          </w:rPr>
          <w:t>Strategic objective four: Determine data requirements and collect data</w:t>
        </w:r>
        <w:r>
          <w:rPr>
            <w:webHidden/>
          </w:rPr>
          <w:tab/>
        </w:r>
        <w:r w:rsidR="00BA40C0">
          <w:rPr>
            <w:webHidden/>
          </w:rPr>
          <w:t>6</w:t>
        </w:r>
        <w:r w:rsidR="003563FB">
          <w:rPr>
            <w:webHidden/>
          </w:rPr>
          <w:t>5</w:t>
        </w:r>
      </w:hyperlink>
    </w:p>
    <w:p w14:paraId="19EDB2AE" w14:textId="5DA186F7"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23" w:history="1">
        <w:r w:rsidRPr="007E5FD7">
          <w:rPr>
            <w:rStyle w:val="Hyperlink"/>
          </w:rPr>
          <w:t>4.7</w:t>
        </w:r>
        <w:r>
          <w:rPr>
            <w:rFonts w:asciiTheme="minorHAnsi" w:eastAsiaTheme="minorEastAsia" w:hAnsiTheme="minorHAnsi"/>
            <w:b/>
            <w:color w:val="auto"/>
            <w:kern w:val="2"/>
            <w:sz w:val="24"/>
            <w:szCs w:val="24"/>
            <w:lang w:eastAsia="en-AU"/>
            <w14:ligatures w14:val="standardContextual"/>
          </w:rPr>
          <w:tab/>
        </w:r>
        <w:r w:rsidRPr="007E5FD7">
          <w:rPr>
            <w:rStyle w:val="Hyperlink"/>
          </w:rPr>
          <w:t>Strategic objective five: Investigate and make recommendations concerning cost-shifting and cross-border disputes between states and territories in relation to public hospitals</w:t>
        </w:r>
        <w:r>
          <w:rPr>
            <w:webHidden/>
          </w:rPr>
          <w:tab/>
        </w:r>
        <w:r w:rsidR="00250CC1">
          <w:rPr>
            <w:webHidden/>
          </w:rPr>
          <w:t>6</w:t>
        </w:r>
        <w:r w:rsidR="003563FB">
          <w:rPr>
            <w:webHidden/>
          </w:rPr>
          <w:t>7</w:t>
        </w:r>
      </w:hyperlink>
    </w:p>
    <w:p w14:paraId="60BCF552" w14:textId="76510D5A"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25" w:history="1">
        <w:r w:rsidRPr="007E5FD7">
          <w:rPr>
            <w:rStyle w:val="Hyperlink"/>
          </w:rPr>
          <w:t>4.8</w:t>
        </w:r>
        <w:r>
          <w:rPr>
            <w:rFonts w:asciiTheme="minorHAnsi" w:eastAsiaTheme="minorEastAsia" w:hAnsiTheme="minorHAnsi"/>
            <w:b/>
            <w:color w:val="auto"/>
            <w:kern w:val="2"/>
            <w:sz w:val="24"/>
            <w:szCs w:val="24"/>
            <w:lang w:eastAsia="en-AU"/>
            <w14:ligatures w14:val="standardContextual"/>
          </w:rPr>
          <w:tab/>
        </w:r>
        <w:r w:rsidRPr="007E5FD7">
          <w:rPr>
            <w:rStyle w:val="Hyperlink"/>
          </w:rPr>
          <w:t>Strategic objective six:  Conduct independent and transparent decision-making and engage</w:t>
        </w:r>
        <w:r w:rsidR="00250CC1">
          <w:rPr>
            <w:rStyle w:val="Hyperlink"/>
          </w:rPr>
          <w:t xml:space="preserve"> </w:t>
        </w:r>
        <w:r w:rsidRPr="007E5FD7">
          <w:rPr>
            <w:rStyle w:val="Hyperlink"/>
          </w:rPr>
          <w:t>with stakeholders</w:t>
        </w:r>
        <w:r>
          <w:rPr>
            <w:webHidden/>
          </w:rPr>
          <w:tab/>
        </w:r>
        <w:r w:rsidR="00BE248A">
          <w:rPr>
            <w:webHidden/>
          </w:rPr>
          <w:t>69</w:t>
        </w:r>
      </w:hyperlink>
    </w:p>
    <w:p w14:paraId="7336B24C" w14:textId="4F6481E4" w:rsidR="00FF3AAF" w:rsidRDefault="00FF3AAF" w:rsidP="00B43BD6">
      <w:pPr>
        <w:pStyle w:val="TOC1"/>
        <w:rPr>
          <w:rStyle w:val="Hyperlink"/>
        </w:rPr>
      </w:pPr>
      <w:hyperlink w:anchor="_Toc237872727" w:history="1">
        <w:r w:rsidRPr="007E5FD7">
          <w:rPr>
            <w:rStyle w:val="Hyperlink"/>
          </w:rPr>
          <w:t>4.9</w:t>
        </w:r>
        <w:r>
          <w:rPr>
            <w:rFonts w:asciiTheme="minorHAnsi" w:eastAsiaTheme="minorEastAsia" w:hAnsiTheme="minorHAnsi"/>
            <w:b/>
            <w:color w:val="auto"/>
            <w:kern w:val="2"/>
            <w:sz w:val="24"/>
            <w:szCs w:val="24"/>
            <w:lang w:eastAsia="en-AU"/>
            <w14:ligatures w14:val="standardContextual"/>
          </w:rPr>
          <w:tab/>
        </w:r>
        <w:r w:rsidRPr="007E5FD7">
          <w:rPr>
            <w:rStyle w:val="Hyperlink"/>
          </w:rPr>
          <w:t>IHACPA’s assessment of refundable accommodation deposits</w:t>
        </w:r>
        <w:r>
          <w:rPr>
            <w:webHidden/>
          </w:rPr>
          <w:tab/>
        </w:r>
        <w:r w:rsidR="00250CC1">
          <w:rPr>
            <w:webHidden/>
          </w:rPr>
          <w:t>7</w:t>
        </w:r>
        <w:r w:rsidR="00BE248A">
          <w:rPr>
            <w:webHidden/>
          </w:rPr>
          <w:t>1</w:t>
        </w:r>
      </w:hyperlink>
    </w:p>
    <w:p w14:paraId="61F07321" w14:textId="41B0A3FC" w:rsidR="00250CC1" w:rsidRPr="00250CC1" w:rsidRDefault="00250CC1" w:rsidP="00250CC1">
      <w:pPr>
        <w:rPr>
          <w:b/>
          <w:bCs/>
        </w:rPr>
      </w:pPr>
      <w:r w:rsidRPr="00250CC1">
        <w:rPr>
          <w:b/>
          <w:bCs/>
        </w:rPr>
        <w:t>05</w:t>
      </w:r>
      <w:r w:rsidRPr="00250CC1">
        <w:rPr>
          <w:b/>
          <w:bCs/>
        </w:rPr>
        <w:tab/>
        <w:t>Financial management</w:t>
      </w:r>
      <w:r w:rsidRPr="00250CC1">
        <w:rPr>
          <w:b/>
          <w:bCs/>
        </w:rPr>
        <w:tab/>
      </w:r>
      <w:r w:rsidRPr="00250CC1">
        <w:rPr>
          <w:b/>
          <w:bCs/>
        </w:rPr>
        <w:tab/>
      </w:r>
      <w:r w:rsidRPr="00250CC1">
        <w:rPr>
          <w:b/>
          <w:bCs/>
        </w:rPr>
        <w:tab/>
      </w:r>
      <w:r w:rsidRPr="00250CC1">
        <w:rPr>
          <w:b/>
          <w:bCs/>
        </w:rPr>
        <w:tab/>
      </w:r>
      <w:r w:rsidRPr="00250CC1">
        <w:rPr>
          <w:b/>
          <w:bCs/>
        </w:rPr>
        <w:tab/>
      </w:r>
      <w:r w:rsidRPr="00250CC1">
        <w:rPr>
          <w:b/>
          <w:bCs/>
        </w:rPr>
        <w:tab/>
      </w:r>
      <w:r w:rsidRPr="00250CC1">
        <w:rPr>
          <w:b/>
          <w:bCs/>
        </w:rPr>
        <w:tab/>
      </w:r>
      <w:r w:rsidRPr="00250CC1">
        <w:rPr>
          <w:b/>
          <w:bCs/>
        </w:rPr>
        <w:tab/>
      </w:r>
      <w:r w:rsidRPr="00250CC1">
        <w:rPr>
          <w:b/>
          <w:bCs/>
        </w:rPr>
        <w:tab/>
        <w:t xml:space="preserve">  7</w:t>
      </w:r>
      <w:r w:rsidR="00BE248A">
        <w:rPr>
          <w:b/>
          <w:bCs/>
        </w:rPr>
        <w:t>2</w:t>
      </w:r>
    </w:p>
    <w:p w14:paraId="36945C34" w14:textId="1B4EEF0F"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29" w:history="1">
        <w:r w:rsidRPr="007E5FD7">
          <w:rPr>
            <w:rStyle w:val="Hyperlink"/>
          </w:rPr>
          <w:t>5.1</w:t>
        </w:r>
        <w:r>
          <w:rPr>
            <w:rFonts w:asciiTheme="minorHAnsi" w:eastAsiaTheme="minorEastAsia" w:hAnsiTheme="minorHAnsi"/>
            <w:b/>
            <w:color w:val="auto"/>
            <w:kern w:val="2"/>
            <w:sz w:val="24"/>
            <w:szCs w:val="24"/>
            <w:lang w:eastAsia="en-AU"/>
            <w14:ligatures w14:val="standardContextual"/>
          </w:rPr>
          <w:tab/>
        </w:r>
        <w:r w:rsidRPr="007E5FD7">
          <w:rPr>
            <w:rStyle w:val="Hyperlink"/>
          </w:rPr>
          <w:t>Financial statements</w:t>
        </w:r>
        <w:r>
          <w:rPr>
            <w:webHidden/>
          </w:rPr>
          <w:tab/>
        </w:r>
        <w:r w:rsidR="00250CC1">
          <w:rPr>
            <w:webHidden/>
          </w:rPr>
          <w:t>7</w:t>
        </w:r>
        <w:r w:rsidR="00BE248A">
          <w:rPr>
            <w:webHidden/>
          </w:rPr>
          <w:t>3</w:t>
        </w:r>
      </w:hyperlink>
    </w:p>
    <w:p w14:paraId="74A217D8" w14:textId="710E0AFA"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30" w:history="1">
        <w:r w:rsidRPr="007E5FD7">
          <w:rPr>
            <w:rStyle w:val="Hyperlink"/>
          </w:rPr>
          <w:t>5.2</w:t>
        </w:r>
        <w:r>
          <w:rPr>
            <w:rFonts w:asciiTheme="minorHAnsi" w:eastAsiaTheme="minorEastAsia" w:hAnsiTheme="minorHAnsi"/>
            <w:b/>
            <w:color w:val="auto"/>
            <w:kern w:val="2"/>
            <w:sz w:val="24"/>
            <w:szCs w:val="24"/>
            <w:lang w:eastAsia="en-AU"/>
            <w14:ligatures w14:val="standardContextual"/>
          </w:rPr>
          <w:tab/>
        </w:r>
        <w:r w:rsidRPr="007E5FD7">
          <w:rPr>
            <w:rStyle w:val="Hyperlink"/>
          </w:rPr>
          <w:t>Independent auditor’s report</w:t>
        </w:r>
        <w:r>
          <w:rPr>
            <w:webHidden/>
          </w:rPr>
          <w:tab/>
        </w:r>
        <w:r w:rsidR="00250CC1">
          <w:rPr>
            <w:webHidden/>
          </w:rPr>
          <w:t>7</w:t>
        </w:r>
        <w:r w:rsidR="00BE248A">
          <w:rPr>
            <w:webHidden/>
          </w:rPr>
          <w:t>5</w:t>
        </w:r>
      </w:hyperlink>
    </w:p>
    <w:p w14:paraId="0979BB53" w14:textId="114F6EB0"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31" w:history="1">
        <w:r w:rsidRPr="007E5FD7">
          <w:rPr>
            <w:rStyle w:val="Hyperlink"/>
          </w:rPr>
          <w:t>5.3</w:t>
        </w:r>
        <w:r>
          <w:rPr>
            <w:rFonts w:asciiTheme="minorHAnsi" w:eastAsiaTheme="minorEastAsia" w:hAnsiTheme="minorHAnsi"/>
            <w:b/>
            <w:color w:val="auto"/>
            <w:kern w:val="2"/>
            <w:sz w:val="24"/>
            <w:szCs w:val="24"/>
            <w:lang w:eastAsia="en-AU"/>
            <w14:ligatures w14:val="standardContextual"/>
          </w:rPr>
          <w:tab/>
        </w:r>
        <w:r w:rsidRPr="007E5FD7">
          <w:rPr>
            <w:rStyle w:val="Hyperlink"/>
          </w:rPr>
          <w:t>Statement by the Chief Executive Officer and the Chief Financial Officer</w:t>
        </w:r>
        <w:r>
          <w:rPr>
            <w:webHidden/>
          </w:rPr>
          <w:tab/>
        </w:r>
        <w:r w:rsidR="00250CC1">
          <w:rPr>
            <w:webHidden/>
          </w:rPr>
          <w:t>7</w:t>
        </w:r>
        <w:r w:rsidR="00BE248A">
          <w:rPr>
            <w:webHidden/>
          </w:rPr>
          <w:t>6</w:t>
        </w:r>
      </w:hyperlink>
    </w:p>
    <w:p w14:paraId="1E140A63" w14:textId="114129DE" w:rsidR="00FF3AAF" w:rsidRDefault="00FF3AAF" w:rsidP="00B43BD6">
      <w:pPr>
        <w:pStyle w:val="TOC1"/>
        <w:rPr>
          <w:rStyle w:val="Hyperlink"/>
        </w:rPr>
      </w:pPr>
      <w:hyperlink w:anchor="_Toc237872732" w:history="1">
        <w:r w:rsidRPr="007E5FD7">
          <w:rPr>
            <w:rStyle w:val="Hyperlink"/>
          </w:rPr>
          <w:t>5.4</w:t>
        </w:r>
        <w:r>
          <w:rPr>
            <w:rFonts w:asciiTheme="minorHAnsi" w:eastAsiaTheme="minorEastAsia" w:hAnsiTheme="minorHAnsi"/>
            <w:b/>
            <w:color w:val="auto"/>
            <w:kern w:val="2"/>
            <w:sz w:val="24"/>
            <w:szCs w:val="24"/>
            <w:lang w:eastAsia="en-AU"/>
            <w14:ligatures w14:val="standardContextual"/>
          </w:rPr>
          <w:tab/>
        </w:r>
        <w:r w:rsidRPr="007E5FD7">
          <w:rPr>
            <w:rStyle w:val="Hyperlink"/>
          </w:rPr>
          <w:t>Primary financial statements</w:t>
        </w:r>
        <w:r>
          <w:rPr>
            <w:webHidden/>
          </w:rPr>
          <w:tab/>
        </w:r>
        <w:r w:rsidR="00250CC1">
          <w:rPr>
            <w:webHidden/>
          </w:rPr>
          <w:t>7</w:t>
        </w:r>
        <w:r w:rsidR="00BE248A">
          <w:rPr>
            <w:webHidden/>
          </w:rPr>
          <w:t>7</w:t>
        </w:r>
      </w:hyperlink>
    </w:p>
    <w:p w14:paraId="76ED4D7E" w14:textId="097D3FAD" w:rsidR="00250CC1" w:rsidRPr="00250CC1" w:rsidRDefault="00250CC1" w:rsidP="00250CC1">
      <w:pPr>
        <w:rPr>
          <w:b/>
          <w:bCs/>
        </w:rPr>
      </w:pPr>
      <w:r w:rsidRPr="00250CC1">
        <w:rPr>
          <w:b/>
          <w:bCs/>
        </w:rPr>
        <w:t>06</w:t>
      </w:r>
      <w:r w:rsidRPr="00250CC1">
        <w:rPr>
          <w:b/>
          <w:bCs/>
        </w:rPr>
        <w:tab/>
        <w:t>Appendices</w:t>
      </w:r>
      <w:r w:rsidRPr="00250CC1">
        <w:rPr>
          <w:b/>
          <w:bCs/>
        </w:rPr>
        <w:tab/>
      </w:r>
      <w:r w:rsidRPr="00250CC1">
        <w:rPr>
          <w:b/>
          <w:bCs/>
        </w:rPr>
        <w:tab/>
      </w:r>
      <w:r w:rsidRPr="00250CC1">
        <w:rPr>
          <w:b/>
          <w:bCs/>
        </w:rPr>
        <w:tab/>
      </w:r>
      <w:r w:rsidRPr="00250CC1">
        <w:rPr>
          <w:b/>
          <w:bCs/>
        </w:rPr>
        <w:tab/>
      </w:r>
      <w:r w:rsidRPr="00250CC1">
        <w:rPr>
          <w:b/>
          <w:bCs/>
        </w:rPr>
        <w:tab/>
      </w:r>
      <w:r w:rsidRPr="00250CC1">
        <w:rPr>
          <w:b/>
          <w:bCs/>
        </w:rPr>
        <w:tab/>
      </w:r>
      <w:r w:rsidRPr="00250CC1">
        <w:rPr>
          <w:b/>
          <w:bCs/>
        </w:rPr>
        <w:tab/>
      </w:r>
      <w:r w:rsidRPr="00250CC1">
        <w:rPr>
          <w:b/>
          <w:bCs/>
        </w:rPr>
        <w:tab/>
      </w:r>
      <w:r w:rsidRPr="00250CC1">
        <w:rPr>
          <w:b/>
          <w:bCs/>
        </w:rPr>
        <w:tab/>
      </w:r>
      <w:r w:rsidRPr="00250CC1">
        <w:rPr>
          <w:b/>
          <w:bCs/>
        </w:rPr>
        <w:tab/>
      </w:r>
      <w:r w:rsidRPr="00250CC1">
        <w:rPr>
          <w:b/>
          <w:bCs/>
        </w:rPr>
        <w:tab/>
      </w:r>
      <w:r w:rsidR="00BE248A">
        <w:rPr>
          <w:b/>
          <w:bCs/>
        </w:rPr>
        <w:t xml:space="preserve">  99</w:t>
      </w:r>
    </w:p>
    <w:p w14:paraId="5D56323F" w14:textId="62D5DB93" w:rsidR="00FF3AAF" w:rsidRPr="00B43BD6" w:rsidRDefault="00B43BD6" w:rsidP="00B43BD6">
      <w:pPr>
        <w:pStyle w:val="TOC1"/>
        <w:rPr>
          <w:rFonts w:asciiTheme="minorHAnsi" w:eastAsiaTheme="minorEastAsia" w:hAnsiTheme="minorHAnsi"/>
          <w:color w:val="auto"/>
          <w:kern w:val="2"/>
          <w:sz w:val="24"/>
          <w:szCs w:val="24"/>
          <w:lang w:eastAsia="en-AU"/>
          <w14:ligatures w14:val="standardContextual"/>
        </w:rPr>
      </w:pPr>
      <w:hyperlink w:anchor="_Toc237872756" w:history="1">
        <w:r>
          <w:rPr>
            <w:rStyle w:val="Hyperlink"/>
          </w:rPr>
          <w:t>A</w:t>
        </w:r>
        <w:r w:rsidR="00FF3AAF" w:rsidRPr="00B43BD6">
          <w:rPr>
            <w:rStyle w:val="Hyperlink"/>
          </w:rPr>
          <w:t xml:space="preserve">ppendix A </w:t>
        </w:r>
        <w:r w:rsidR="00FF3AAF" w:rsidRPr="00B43BD6">
          <w:rPr>
            <w:rStyle w:val="Hyperlink"/>
            <w:u w:val="none"/>
          </w:rPr>
          <w:t>–</w:t>
        </w:r>
        <w:r w:rsidR="00FF3AAF" w:rsidRPr="00B43BD6">
          <w:rPr>
            <w:rStyle w:val="Hyperlink"/>
          </w:rPr>
          <w:t xml:space="preserve"> Figures and tables</w:t>
        </w:r>
        <w:r w:rsidR="00FF3AAF" w:rsidRPr="00B43BD6">
          <w:rPr>
            <w:webHidden/>
          </w:rPr>
          <w:tab/>
        </w:r>
        <w:r w:rsidR="00FF3AAF" w:rsidRPr="00B43BD6">
          <w:rPr>
            <w:webHidden/>
          </w:rPr>
          <w:fldChar w:fldCharType="begin"/>
        </w:r>
        <w:r w:rsidR="00FF3AAF" w:rsidRPr="00B43BD6">
          <w:rPr>
            <w:webHidden/>
          </w:rPr>
          <w:instrText xml:space="preserve"> PAGEREF _Toc237872756 \h </w:instrText>
        </w:r>
        <w:r w:rsidR="00FF3AAF" w:rsidRPr="00B43BD6">
          <w:rPr>
            <w:webHidden/>
          </w:rPr>
        </w:r>
        <w:r w:rsidR="00FF3AAF" w:rsidRPr="00B43BD6">
          <w:rPr>
            <w:webHidden/>
          </w:rPr>
          <w:fldChar w:fldCharType="separate"/>
        </w:r>
        <w:r w:rsidR="00FF3AAF" w:rsidRPr="00B43BD6">
          <w:rPr>
            <w:webHidden/>
          </w:rPr>
          <w:t>10</w:t>
        </w:r>
        <w:r w:rsidR="000B0F84" w:rsidRPr="00B43BD6">
          <w:rPr>
            <w:webHidden/>
          </w:rPr>
          <w:t>0</w:t>
        </w:r>
        <w:r w:rsidR="00FF3AAF" w:rsidRPr="00B43BD6">
          <w:rPr>
            <w:webHidden/>
          </w:rPr>
          <w:fldChar w:fldCharType="end"/>
        </w:r>
      </w:hyperlink>
    </w:p>
    <w:p w14:paraId="4ED28BBA" w14:textId="762EAE86"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57" w:history="1">
        <w:r w:rsidRPr="007E5FD7">
          <w:rPr>
            <w:rStyle w:val="Hyperlink"/>
          </w:rPr>
          <w:t>Appendix B – Acronyms and abbreviations</w:t>
        </w:r>
        <w:r>
          <w:rPr>
            <w:webHidden/>
          </w:rPr>
          <w:tab/>
        </w:r>
        <w:r>
          <w:rPr>
            <w:webHidden/>
          </w:rPr>
          <w:fldChar w:fldCharType="begin"/>
        </w:r>
        <w:r>
          <w:rPr>
            <w:webHidden/>
          </w:rPr>
          <w:instrText xml:space="preserve"> PAGEREF _Toc237872757 \h </w:instrText>
        </w:r>
        <w:r>
          <w:rPr>
            <w:webHidden/>
          </w:rPr>
        </w:r>
        <w:r>
          <w:rPr>
            <w:webHidden/>
          </w:rPr>
          <w:fldChar w:fldCharType="separate"/>
        </w:r>
        <w:r>
          <w:rPr>
            <w:webHidden/>
          </w:rPr>
          <w:t>1</w:t>
        </w:r>
        <w:r w:rsidR="00250CC1">
          <w:rPr>
            <w:webHidden/>
          </w:rPr>
          <w:t>0</w:t>
        </w:r>
        <w:r w:rsidR="000B0F84">
          <w:rPr>
            <w:webHidden/>
          </w:rPr>
          <w:t>1</w:t>
        </w:r>
        <w:r>
          <w:rPr>
            <w:webHidden/>
          </w:rPr>
          <w:fldChar w:fldCharType="end"/>
        </w:r>
      </w:hyperlink>
    </w:p>
    <w:p w14:paraId="7E474D89" w14:textId="728C8EBE"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58" w:history="1">
        <w:r w:rsidRPr="007E5FD7">
          <w:rPr>
            <w:rStyle w:val="Hyperlink"/>
          </w:rPr>
          <w:t>Appendix C – Workforce statistics 2025–26</w:t>
        </w:r>
        <w:r>
          <w:rPr>
            <w:webHidden/>
          </w:rPr>
          <w:tab/>
        </w:r>
        <w:r>
          <w:rPr>
            <w:webHidden/>
          </w:rPr>
          <w:fldChar w:fldCharType="begin"/>
        </w:r>
        <w:r>
          <w:rPr>
            <w:webHidden/>
          </w:rPr>
          <w:instrText xml:space="preserve"> PAGEREF _Toc237872758 \h </w:instrText>
        </w:r>
        <w:r>
          <w:rPr>
            <w:webHidden/>
          </w:rPr>
        </w:r>
        <w:r>
          <w:rPr>
            <w:webHidden/>
          </w:rPr>
          <w:fldChar w:fldCharType="separate"/>
        </w:r>
        <w:r>
          <w:rPr>
            <w:webHidden/>
          </w:rPr>
          <w:t>1</w:t>
        </w:r>
        <w:r w:rsidR="00250CC1">
          <w:rPr>
            <w:webHidden/>
          </w:rPr>
          <w:t>0</w:t>
        </w:r>
        <w:r w:rsidR="000B0F84">
          <w:rPr>
            <w:webHidden/>
          </w:rPr>
          <w:t>3</w:t>
        </w:r>
        <w:r>
          <w:rPr>
            <w:webHidden/>
          </w:rPr>
          <w:fldChar w:fldCharType="end"/>
        </w:r>
      </w:hyperlink>
    </w:p>
    <w:p w14:paraId="1076815A" w14:textId="26BECB40" w:rsidR="00FF3AAF" w:rsidRDefault="00FF3AAF" w:rsidP="00315CF4">
      <w:pPr>
        <w:pStyle w:val="TOC2"/>
        <w:spacing w:after="240"/>
        <w:rPr>
          <w:rFonts w:asciiTheme="minorHAnsi" w:eastAsiaTheme="minorEastAsia" w:hAnsiTheme="minorHAnsi" w:cstheme="minorBidi"/>
          <w:color w:val="auto"/>
          <w:kern w:val="2"/>
          <w:sz w:val="24"/>
          <w:szCs w:val="24"/>
          <w:lang w:eastAsia="en-AU"/>
          <w14:ligatures w14:val="standardContextual"/>
        </w:rPr>
      </w:pPr>
      <w:hyperlink w:anchor="_Toc237872759" w:history="1">
        <w:r w:rsidRPr="007E5FD7">
          <w:rPr>
            <w:rStyle w:val="Hyperlink"/>
          </w:rPr>
          <w:t>Ongoing and non-ongoing employees</w:t>
        </w:r>
        <w:r>
          <w:rPr>
            <w:webHidden/>
          </w:rPr>
          <w:tab/>
        </w:r>
        <w:r>
          <w:rPr>
            <w:webHidden/>
          </w:rPr>
          <w:fldChar w:fldCharType="begin"/>
        </w:r>
        <w:r>
          <w:rPr>
            <w:webHidden/>
          </w:rPr>
          <w:instrText xml:space="preserve"> PAGEREF _Toc237872759 \h </w:instrText>
        </w:r>
        <w:r>
          <w:rPr>
            <w:webHidden/>
          </w:rPr>
        </w:r>
        <w:r>
          <w:rPr>
            <w:webHidden/>
          </w:rPr>
          <w:fldChar w:fldCharType="separate"/>
        </w:r>
        <w:r>
          <w:rPr>
            <w:webHidden/>
          </w:rPr>
          <w:t>1</w:t>
        </w:r>
        <w:r w:rsidR="00250CC1">
          <w:rPr>
            <w:webHidden/>
          </w:rPr>
          <w:t>0</w:t>
        </w:r>
        <w:r w:rsidR="007711F8">
          <w:rPr>
            <w:webHidden/>
          </w:rPr>
          <w:t>3</w:t>
        </w:r>
        <w:r>
          <w:rPr>
            <w:webHidden/>
          </w:rPr>
          <w:fldChar w:fldCharType="end"/>
        </w:r>
      </w:hyperlink>
    </w:p>
    <w:p w14:paraId="2D4D017C" w14:textId="7F7F4401"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60" w:history="1">
        <w:r w:rsidRPr="007E5FD7">
          <w:rPr>
            <w:rStyle w:val="Hyperlink"/>
          </w:rPr>
          <w:t>Appendix D – Climate statement</w:t>
        </w:r>
        <w:r>
          <w:rPr>
            <w:webHidden/>
          </w:rPr>
          <w:tab/>
        </w:r>
        <w:r>
          <w:rPr>
            <w:webHidden/>
          </w:rPr>
          <w:fldChar w:fldCharType="begin"/>
        </w:r>
        <w:r>
          <w:rPr>
            <w:webHidden/>
          </w:rPr>
          <w:instrText xml:space="preserve"> PAGEREF _Toc237872760 \h </w:instrText>
        </w:r>
        <w:r>
          <w:rPr>
            <w:webHidden/>
          </w:rPr>
        </w:r>
        <w:r>
          <w:rPr>
            <w:webHidden/>
          </w:rPr>
          <w:fldChar w:fldCharType="separate"/>
        </w:r>
        <w:r>
          <w:rPr>
            <w:webHidden/>
          </w:rPr>
          <w:t>1</w:t>
        </w:r>
        <w:r w:rsidR="00250CC1">
          <w:rPr>
            <w:webHidden/>
          </w:rPr>
          <w:t>0</w:t>
        </w:r>
        <w:r w:rsidR="007711F8">
          <w:rPr>
            <w:webHidden/>
          </w:rPr>
          <w:t>8</w:t>
        </w:r>
        <w:r>
          <w:rPr>
            <w:webHidden/>
          </w:rPr>
          <w:fldChar w:fldCharType="end"/>
        </w:r>
      </w:hyperlink>
    </w:p>
    <w:p w14:paraId="7E3EB6D4" w14:textId="2DC4F45D" w:rsidR="00FF3AAF" w:rsidRDefault="00FF3AAF">
      <w:pPr>
        <w:pStyle w:val="TOC2"/>
        <w:rPr>
          <w:rFonts w:asciiTheme="minorHAnsi" w:eastAsiaTheme="minorEastAsia" w:hAnsiTheme="minorHAnsi" w:cstheme="minorBidi"/>
          <w:color w:val="auto"/>
          <w:kern w:val="2"/>
          <w:sz w:val="24"/>
          <w:szCs w:val="24"/>
          <w:lang w:eastAsia="en-AU"/>
          <w14:ligatures w14:val="standardContextual"/>
        </w:rPr>
      </w:pPr>
      <w:hyperlink w:anchor="_Toc237872761" w:history="1">
        <w:r w:rsidRPr="007E5FD7">
          <w:rPr>
            <w:rStyle w:val="Hyperlink"/>
          </w:rPr>
          <w:t>Ecologically sustainable development and environmental performance</w:t>
        </w:r>
        <w:r>
          <w:rPr>
            <w:webHidden/>
          </w:rPr>
          <w:tab/>
        </w:r>
        <w:r>
          <w:rPr>
            <w:webHidden/>
          </w:rPr>
          <w:fldChar w:fldCharType="begin"/>
        </w:r>
        <w:r>
          <w:rPr>
            <w:webHidden/>
          </w:rPr>
          <w:instrText xml:space="preserve"> PAGEREF _Toc237872761 \h </w:instrText>
        </w:r>
        <w:r>
          <w:rPr>
            <w:webHidden/>
          </w:rPr>
        </w:r>
        <w:r>
          <w:rPr>
            <w:webHidden/>
          </w:rPr>
          <w:fldChar w:fldCharType="separate"/>
        </w:r>
        <w:r>
          <w:rPr>
            <w:webHidden/>
          </w:rPr>
          <w:t>1</w:t>
        </w:r>
        <w:r w:rsidR="00250CC1">
          <w:rPr>
            <w:webHidden/>
          </w:rPr>
          <w:t>0</w:t>
        </w:r>
        <w:r w:rsidR="007711F8">
          <w:rPr>
            <w:webHidden/>
          </w:rPr>
          <w:t>8</w:t>
        </w:r>
        <w:r>
          <w:rPr>
            <w:webHidden/>
          </w:rPr>
          <w:fldChar w:fldCharType="end"/>
        </w:r>
      </w:hyperlink>
    </w:p>
    <w:p w14:paraId="46F8D97A" w14:textId="4F8C1B2B" w:rsidR="00FF3AAF" w:rsidRDefault="00FF3AAF" w:rsidP="00315CF4">
      <w:pPr>
        <w:pStyle w:val="TOC2"/>
        <w:spacing w:after="240"/>
        <w:rPr>
          <w:rFonts w:asciiTheme="minorHAnsi" w:eastAsiaTheme="minorEastAsia" w:hAnsiTheme="minorHAnsi" w:cstheme="minorBidi"/>
          <w:color w:val="auto"/>
          <w:kern w:val="2"/>
          <w:sz w:val="24"/>
          <w:szCs w:val="24"/>
          <w:lang w:eastAsia="en-AU"/>
          <w14:ligatures w14:val="standardContextual"/>
        </w:rPr>
      </w:pPr>
      <w:hyperlink w:anchor="_Toc237872762" w:history="1">
        <w:r w:rsidRPr="007E5FD7">
          <w:rPr>
            <w:rStyle w:val="Hyperlink"/>
          </w:rPr>
          <w:t>Australian Public Service Net Zero 2030</w:t>
        </w:r>
        <w:r>
          <w:rPr>
            <w:webHidden/>
          </w:rPr>
          <w:tab/>
        </w:r>
        <w:r>
          <w:rPr>
            <w:webHidden/>
          </w:rPr>
          <w:fldChar w:fldCharType="begin"/>
        </w:r>
        <w:r>
          <w:rPr>
            <w:webHidden/>
          </w:rPr>
          <w:instrText xml:space="preserve"> PAGEREF _Toc237872762 \h </w:instrText>
        </w:r>
        <w:r>
          <w:rPr>
            <w:webHidden/>
          </w:rPr>
        </w:r>
        <w:r>
          <w:rPr>
            <w:webHidden/>
          </w:rPr>
          <w:fldChar w:fldCharType="separate"/>
        </w:r>
        <w:r>
          <w:rPr>
            <w:webHidden/>
          </w:rPr>
          <w:t>1</w:t>
        </w:r>
        <w:r w:rsidR="00250CC1">
          <w:rPr>
            <w:webHidden/>
          </w:rPr>
          <w:t>0</w:t>
        </w:r>
        <w:r w:rsidR="007711F8">
          <w:rPr>
            <w:webHidden/>
          </w:rPr>
          <w:t>8</w:t>
        </w:r>
        <w:r>
          <w:rPr>
            <w:webHidden/>
          </w:rPr>
          <w:fldChar w:fldCharType="end"/>
        </w:r>
      </w:hyperlink>
    </w:p>
    <w:p w14:paraId="53BBFDE7" w14:textId="5B800C84"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63" w:history="1">
        <w:r w:rsidRPr="007E5FD7">
          <w:rPr>
            <w:rStyle w:val="Hyperlink"/>
          </w:rPr>
          <w:t>Appendix E – Glossary</w:t>
        </w:r>
        <w:r>
          <w:rPr>
            <w:webHidden/>
          </w:rPr>
          <w:tab/>
        </w:r>
        <w:r>
          <w:rPr>
            <w:webHidden/>
          </w:rPr>
          <w:fldChar w:fldCharType="begin"/>
        </w:r>
        <w:r>
          <w:rPr>
            <w:webHidden/>
          </w:rPr>
          <w:instrText xml:space="preserve"> PAGEREF _Toc237872763 \h </w:instrText>
        </w:r>
        <w:r>
          <w:rPr>
            <w:webHidden/>
          </w:rPr>
        </w:r>
        <w:r>
          <w:rPr>
            <w:webHidden/>
          </w:rPr>
          <w:fldChar w:fldCharType="separate"/>
        </w:r>
        <w:r>
          <w:rPr>
            <w:webHidden/>
          </w:rPr>
          <w:t>1</w:t>
        </w:r>
        <w:r w:rsidR="00250CC1">
          <w:rPr>
            <w:webHidden/>
          </w:rPr>
          <w:t>1</w:t>
        </w:r>
        <w:r w:rsidR="007711F8">
          <w:rPr>
            <w:webHidden/>
          </w:rPr>
          <w:t>1</w:t>
        </w:r>
        <w:r>
          <w:rPr>
            <w:webHidden/>
          </w:rPr>
          <w:fldChar w:fldCharType="end"/>
        </w:r>
      </w:hyperlink>
    </w:p>
    <w:p w14:paraId="5E495506" w14:textId="24A70B85"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79" w:history="1">
        <w:r w:rsidRPr="007E5FD7">
          <w:rPr>
            <w:rStyle w:val="Hyperlink"/>
          </w:rPr>
          <w:t>Appendix F – Compliance index</w:t>
        </w:r>
        <w:r>
          <w:rPr>
            <w:webHidden/>
          </w:rPr>
          <w:tab/>
        </w:r>
        <w:r>
          <w:rPr>
            <w:webHidden/>
          </w:rPr>
          <w:fldChar w:fldCharType="begin"/>
        </w:r>
        <w:r>
          <w:rPr>
            <w:webHidden/>
          </w:rPr>
          <w:instrText xml:space="preserve"> PAGEREF _Toc237872779 \h </w:instrText>
        </w:r>
        <w:r>
          <w:rPr>
            <w:webHidden/>
          </w:rPr>
        </w:r>
        <w:r>
          <w:rPr>
            <w:webHidden/>
          </w:rPr>
          <w:fldChar w:fldCharType="separate"/>
        </w:r>
        <w:r>
          <w:rPr>
            <w:webHidden/>
          </w:rPr>
          <w:t>1</w:t>
        </w:r>
        <w:r w:rsidR="00250CC1">
          <w:rPr>
            <w:webHidden/>
          </w:rPr>
          <w:t>1</w:t>
        </w:r>
        <w:r w:rsidR="007711F8">
          <w:rPr>
            <w:webHidden/>
          </w:rPr>
          <w:t>4</w:t>
        </w:r>
        <w:r>
          <w:rPr>
            <w:webHidden/>
          </w:rPr>
          <w:fldChar w:fldCharType="end"/>
        </w:r>
      </w:hyperlink>
    </w:p>
    <w:p w14:paraId="3E4FA49E" w14:textId="53D6C1AC" w:rsidR="00FF3AAF" w:rsidRDefault="00FF3AAF" w:rsidP="00B43BD6">
      <w:pPr>
        <w:pStyle w:val="TOC1"/>
        <w:rPr>
          <w:rFonts w:asciiTheme="minorHAnsi" w:eastAsiaTheme="minorEastAsia" w:hAnsiTheme="minorHAnsi"/>
          <w:b/>
          <w:color w:val="auto"/>
          <w:kern w:val="2"/>
          <w:sz w:val="24"/>
          <w:szCs w:val="24"/>
          <w:lang w:eastAsia="en-AU"/>
          <w14:ligatures w14:val="standardContextual"/>
        </w:rPr>
      </w:pPr>
      <w:hyperlink w:anchor="_Toc237872780" w:history="1">
        <w:r w:rsidRPr="007E5FD7">
          <w:rPr>
            <w:rStyle w:val="Hyperlink"/>
          </w:rPr>
          <w:t>Appendix – Index</w:t>
        </w:r>
        <w:r>
          <w:rPr>
            <w:webHidden/>
          </w:rPr>
          <w:tab/>
        </w:r>
        <w:r>
          <w:rPr>
            <w:webHidden/>
          </w:rPr>
          <w:fldChar w:fldCharType="begin"/>
        </w:r>
        <w:r>
          <w:rPr>
            <w:webHidden/>
          </w:rPr>
          <w:instrText xml:space="preserve"> PAGEREF _Toc237872780 \h </w:instrText>
        </w:r>
        <w:r>
          <w:rPr>
            <w:webHidden/>
          </w:rPr>
        </w:r>
        <w:r>
          <w:rPr>
            <w:webHidden/>
          </w:rPr>
          <w:fldChar w:fldCharType="separate"/>
        </w:r>
        <w:r>
          <w:rPr>
            <w:webHidden/>
          </w:rPr>
          <w:t>1</w:t>
        </w:r>
        <w:r w:rsidR="00250CC1">
          <w:rPr>
            <w:webHidden/>
          </w:rPr>
          <w:t>17</w:t>
        </w:r>
        <w:r>
          <w:rPr>
            <w:webHidden/>
          </w:rPr>
          <w:fldChar w:fldCharType="end"/>
        </w:r>
      </w:hyperlink>
    </w:p>
    <w:p w14:paraId="0CE1EC61" w14:textId="106B0849" w:rsidR="00FF3AAF" w:rsidRPr="00EB0D85" w:rsidRDefault="00FF3AAF" w:rsidP="006058CF">
      <w:pPr>
        <w:sectPr w:rsidR="00FF3AAF" w:rsidRPr="00EB0D85" w:rsidSect="00C5503B">
          <w:pgSz w:w="11906" w:h="16838" w:code="9"/>
          <w:pgMar w:top="1440" w:right="1080" w:bottom="1440" w:left="1080" w:header="708" w:footer="708" w:gutter="0"/>
          <w:cols w:space="708"/>
          <w:docGrid w:linePitch="360"/>
        </w:sectPr>
      </w:pPr>
      <w:r>
        <w:fldChar w:fldCharType="end"/>
      </w:r>
    </w:p>
    <w:p w14:paraId="601B9D86" w14:textId="77777777" w:rsidR="00EB0D85" w:rsidRPr="00EB0D85" w:rsidRDefault="00EB0D85" w:rsidP="00EB0D85">
      <w:pPr>
        <w:pStyle w:val="Heading1"/>
      </w:pPr>
      <w:bookmarkStart w:id="28" w:name="_Toc233022243"/>
      <w:bookmarkStart w:id="29" w:name="_Toc233023006"/>
      <w:bookmarkStart w:id="30" w:name="_Toc233023341"/>
      <w:bookmarkStart w:id="31" w:name="_Toc233028640"/>
      <w:bookmarkStart w:id="32" w:name="_Toc233028834"/>
      <w:bookmarkStart w:id="33" w:name="_Toc235787389"/>
      <w:bookmarkStart w:id="34" w:name="_Toc235791527"/>
      <w:bookmarkStart w:id="35" w:name="_Toc237872631"/>
      <w:r w:rsidRPr="00EB0D85">
        <w:lastRenderedPageBreak/>
        <w:t>Welcome from Pricing Authority Chair</w:t>
      </w:r>
      <w:bookmarkEnd w:id="28"/>
      <w:bookmarkEnd w:id="29"/>
      <w:bookmarkEnd w:id="30"/>
      <w:bookmarkEnd w:id="31"/>
      <w:bookmarkEnd w:id="32"/>
      <w:bookmarkEnd w:id="33"/>
      <w:bookmarkEnd w:id="34"/>
      <w:bookmarkEnd w:id="35"/>
      <w:r w:rsidRPr="00EB0D85">
        <w:t xml:space="preserve"> </w:t>
      </w:r>
    </w:p>
    <w:p w14:paraId="1E77187D" w14:textId="77777777" w:rsidR="00EB0D85" w:rsidRPr="00EB0D85" w:rsidRDefault="00EB0D85" w:rsidP="00EB0D85">
      <w:r w:rsidRPr="00EB0D85">
        <w:t xml:space="preserve">I am pleased to present the Independent Health and Aged Care Pricing Authority’s (IHACPA) Annual Report for 2025–26. </w:t>
      </w:r>
    </w:p>
    <w:p w14:paraId="59F34215" w14:textId="77777777" w:rsidR="00EB0D85" w:rsidRPr="00EB0D85" w:rsidRDefault="00EB0D85" w:rsidP="00EB0D85">
      <w:r w:rsidRPr="00EB0D85">
        <w:t xml:space="preserve">As Chair of the Pricing Authority, it has been a pleasure to guide the agency through another year as it commits to achieving its vision of a sustainable Australian care system that is accessible, resilient and delivers quality care outcomes for everyone. </w:t>
      </w:r>
    </w:p>
    <w:p w14:paraId="643B1531" w14:textId="77777777" w:rsidR="00EB0D85" w:rsidRPr="00EB0D85" w:rsidRDefault="00EB0D85" w:rsidP="00EB0D85">
      <w:pPr>
        <w:rPr>
          <w:b/>
          <w:bCs/>
        </w:rPr>
      </w:pPr>
      <w:r w:rsidRPr="00EB0D85">
        <w:rPr>
          <w:b/>
          <w:bCs/>
        </w:rPr>
        <w:t xml:space="preserve">National efficient price and cost determinations for public hospitals </w:t>
      </w:r>
    </w:p>
    <w:p w14:paraId="49A8D26A" w14:textId="77777777" w:rsidR="00EB0D85" w:rsidRPr="00EB0D85" w:rsidRDefault="00EB0D85" w:rsidP="00EB0D85">
      <w:r w:rsidRPr="00EB0D85">
        <w:t xml:space="preserve">Guided by comprehensive consultation with the jurisdictions and the public, IHACPA released its 2026–27 national efficient price and national efficient cost determinations in March. </w:t>
      </w:r>
    </w:p>
    <w:p w14:paraId="6C9D0FA3" w14:textId="77777777" w:rsidR="00EB0D85" w:rsidRPr="00EB0D85" w:rsidRDefault="00EB0D85" w:rsidP="00EB0D85">
      <w:r w:rsidRPr="00EB0D85">
        <w:t>The determinations reflect updates to key classifications to ensure they remain clinically relevant and aligned with current practice. This included refinements to pricing for admitted acute care such as new groupings for maternal care, organ donation after death, and new principles for consistent grouping of intervention-based episodes of care. It also saw the introduction of new classes for hospital-based, non-admitted voluntary assisted dying services.</w:t>
      </w:r>
    </w:p>
    <w:p w14:paraId="606DC5F7" w14:textId="77777777" w:rsidR="00EB0D85" w:rsidRPr="00EB0D85" w:rsidRDefault="00EB0D85" w:rsidP="00EB0D85">
      <w:r w:rsidRPr="00EB0D85">
        <w:t>Temporary measures to account for the impact of coronavirus disease (COVID-19) on public hospitals were removed from the determinations, reflecting that current activity and cost data now captures COVID-19 pandemic impacts. Another change that more accurately removes Pharmaceutical Benefits Scheme benefits from data collections has also been implemented, improving the alignment between prices and reported cost data.</w:t>
      </w:r>
    </w:p>
    <w:p w14:paraId="6E508858" w14:textId="77777777" w:rsidR="00EB0D85" w:rsidRPr="00EB0D85" w:rsidRDefault="00EB0D85" w:rsidP="00EB0D85">
      <w:pPr>
        <w:rPr>
          <w:b/>
          <w:bCs/>
        </w:rPr>
      </w:pPr>
      <w:r w:rsidRPr="00EB0D85">
        <w:rPr>
          <w:b/>
          <w:bCs/>
        </w:rPr>
        <w:t xml:space="preserve">Aged care pricing and costing advice </w:t>
      </w:r>
    </w:p>
    <w:p w14:paraId="228B7C3A" w14:textId="77777777" w:rsidR="00EB0D85" w:rsidRPr="00EB0D85" w:rsidRDefault="00EB0D85" w:rsidP="00EB0D85">
      <w:r w:rsidRPr="00EB0D85">
        <w:t xml:space="preserve">IHACPA’s role in aged care pricing and costing advice remains essential to supporting high-quality, accessible care for older Australians. </w:t>
      </w:r>
    </w:p>
    <w:p w14:paraId="5C29720B" w14:textId="77777777" w:rsidR="00EB0D85" w:rsidRPr="00EB0D85" w:rsidRDefault="00EB0D85" w:rsidP="00EB0D85">
      <w:r w:rsidRPr="00EB0D85">
        <w:t xml:space="preserve">IHACPA continues to strengthen its evidence base through ongoing collections and meaningful engagements across the aged care sector, supporting the development of pricing advice that more accurately reflects the cost of delivering residential and in-home aged care services. </w:t>
      </w:r>
    </w:p>
    <w:p w14:paraId="3D08F9F2" w14:textId="77777777" w:rsidR="00EB0D85" w:rsidRPr="00EB0D85" w:rsidRDefault="00EB0D85" w:rsidP="00EB0D85">
      <w:r w:rsidRPr="00EB0D85">
        <w:t xml:space="preserve">I am pleased with IHACPA’s progress in refining its approach to its aged care pricing and costing methodologies. Through strong collaboration and evidence-based decision making, IHACPA is responding to the evolving needs of Australia’s ageing population. </w:t>
      </w:r>
    </w:p>
    <w:p w14:paraId="1C698C9D" w14:textId="77777777" w:rsidR="00EB0D85" w:rsidRPr="00EB0D85" w:rsidRDefault="00EB0D85" w:rsidP="00EB0D85">
      <w:pPr>
        <w:rPr>
          <w:b/>
          <w:bCs/>
        </w:rPr>
      </w:pPr>
      <w:r w:rsidRPr="00EB0D85">
        <w:rPr>
          <w:b/>
          <w:bCs/>
        </w:rPr>
        <w:t xml:space="preserve">Commendations </w:t>
      </w:r>
    </w:p>
    <w:p w14:paraId="18441265" w14:textId="77777777" w:rsidR="00EB0D85" w:rsidRPr="00EB0D85" w:rsidRDefault="00EB0D85" w:rsidP="00EB0D85">
      <w:r w:rsidRPr="00EB0D85">
        <w:t xml:space="preserve">This year the Pricing Authority farewelled Mr Glenn Appleyard, who was a founding member of the Pricing Authority. His support and expertise made a significant contribution to IHACPA, and he was instrumental in establishing the strength of the Pricing Authority’s processes and advice. I wish Mr Appleyard all the best in his future endeavours. </w:t>
      </w:r>
    </w:p>
    <w:p w14:paraId="06825861" w14:textId="77777777" w:rsidR="00EB0D85" w:rsidRPr="00EB0D85" w:rsidRDefault="00EB0D85" w:rsidP="00EB0D85">
      <w:r w:rsidRPr="00EB0D85">
        <w:lastRenderedPageBreak/>
        <w:t xml:space="preserve">I extend my thanks to the members of the Pricing Authority for their engagement, sound judgment, time and expertise. I also recognise the many individuals and organisations, including Australian governments, public hospitals, aged care providers and other stakeholders, whose input supports IHACPA’s efforts. </w:t>
      </w:r>
    </w:p>
    <w:p w14:paraId="518530BE" w14:textId="77777777" w:rsidR="00EB0D85" w:rsidRPr="00EB0D85" w:rsidRDefault="00EB0D85" w:rsidP="00EB0D85">
      <w:r w:rsidRPr="00EB0D85">
        <w:t xml:space="preserve">I would like to highlight the outstanding contributions made by our Aged Care Advisory Committee, Clinical Advisory Committee and Jurisdictional Advisory Committee, whose expert advice is essential to the decisions we make. </w:t>
      </w:r>
    </w:p>
    <w:p w14:paraId="7DABC901" w14:textId="77777777" w:rsidR="00EB0D85" w:rsidRPr="00EB0D85" w:rsidRDefault="00EB0D85" w:rsidP="00EB0D85">
      <w:r w:rsidRPr="00EB0D85">
        <w:t xml:space="preserve">On behalf of the Pricing Authority, I extend my sincere thanks to all the staff at IHACPA and IHACPA’s CEO. Their dedication, expertise and continued commitment to IHACPA’s goals and vision have been instrumental in progressing the agency forward as a trusted price-setting institution in the care economy. </w:t>
      </w:r>
    </w:p>
    <w:p w14:paraId="424B1F5A" w14:textId="77777777" w:rsidR="00EB0D85" w:rsidRPr="00EB0D85" w:rsidRDefault="00EB0D85" w:rsidP="00EB0D85">
      <w:r w:rsidRPr="00EB0D85">
        <w:t xml:space="preserve">I look forward to working with the Pricing Authority, IHACPA CEO and staff, and our stakeholders to contribute further to the delivery of transparent, sustainable, efficient and high-quality hospital and aged care services for all Australians. </w:t>
      </w:r>
    </w:p>
    <w:p w14:paraId="56FEA06D" w14:textId="77777777" w:rsidR="00EB0D85" w:rsidRPr="00EB0D85" w:rsidRDefault="00EB0D85" w:rsidP="00EB0D85"/>
    <w:p w14:paraId="015D628C" w14:textId="77777777" w:rsidR="00EB0D85" w:rsidRPr="00EB0D85" w:rsidRDefault="00EB0D85" w:rsidP="00EB0D85"/>
    <w:p w14:paraId="769A4C61" w14:textId="77777777" w:rsidR="00EB0D85" w:rsidRPr="00EB0D85" w:rsidRDefault="00EB0D85" w:rsidP="00EB0D85">
      <w:pPr>
        <w:rPr>
          <w:b/>
          <w:bCs/>
        </w:rPr>
      </w:pPr>
      <w:r w:rsidRPr="00EB0D85">
        <w:rPr>
          <w:b/>
          <w:bCs/>
        </w:rPr>
        <w:t>Mr David Tune AO PSM</w:t>
      </w:r>
    </w:p>
    <w:p w14:paraId="187115EF" w14:textId="77777777" w:rsidR="00EB0D85" w:rsidRPr="00EB0D85" w:rsidRDefault="00EB0D85" w:rsidP="00EB0D85">
      <w:r w:rsidRPr="00EB0D85">
        <w:t xml:space="preserve">Chair, Independent Health and Aged Care Pricing Authority </w:t>
      </w:r>
    </w:p>
    <w:p w14:paraId="72247D13" w14:textId="77777777" w:rsidR="000B5951" w:rsidRPr="00EB0D85" w:rsidRDefault="000B5951" w:rsidP="006058CF"/>
    <w:p w14:paraId="542E7949" w14:textId="77777777" w:rsidR="00C93CE9" w:rsidRPr="00EB0D85" w:rsidRDefault="00C93CE9" w:rsidP="006058CF">
      <w:pPr>
        <w:sectPr w:rsidR="00C93CE9" w:rsidRPr="00EB0D85" w:rsidSect="00C5503B">
          <w:pgSz w:w="11906" w:h="16838" w:code="9"/>
          <w:pgMar w:top="1440" w:right="1080" w:bottom="1440" w:left="1080" w:header="708" w:footer="708" w:gutter="0"/>
          <w:cols w:space="708"/>
          <w:docGrid w:linePitch="360"/>
        </w:sectPr>
      </w:pPr>
    </w:p>
    <w:p w14:paraId="4DFFDE4F" w14:textId="77777777" w:rsidR="00EB0D85" w:rsidRPr="00EB0D85" w:rsidRDefault="00EB0D85" w:rsidP="00EB0D85">
      <w:pPr>
        <w:pStyle w:val="Heading1"/>
      </w:pPr>
      <w:bookmarkStart w:id="36" w:name="_Toc233022244"/>
      <w:bookmarkStart w:id="37" w:name="_Toc233023007"/>
      <w:bookmarkStart w:id="38" w:name="_Toc233023342"/>
      <w:bookmarkStart w:id="39" w:name="_Toc233028641"/>
      <w:bookmarkStart w:id="40" w:name="_Toc233028835"/>
      <w:bookmarkStart w:id="41" w:name="_Toc235787390"/>
      <w:bookmarkStart w:id="42" w:name="_Toc235791528"/>
      <w:bookmarkStart w:id="43" w:name="_Toc237872632"/>
      <w:r w:rsidRPr="00EB0D85">
        <w:lastRenderedPageBreak/>
        <w:t>2025–26 highlights</w:t>
      </w:r>
      <w:bookmarkEnd w:id="36"/>
      <w:bookmarkEnd w:id="37"/>
      <w:bookmarkEnd w:id="38"/>
      <w:bookmarkEnd w:id="39"/>
      <w:bookmarkEnd w:id="40"/>
      <w:bookmarkEnd w:id="41"/>
      <w:bookmarkEnd w:id="42"/>
      <w:bookmarkEnd w:id="43"/>
      <w:r w:rsidRPr="00EB0D85">
        <w:t xml:space="preserve"> </w:t>
      </w:r>
    </w:p>
    <w:p w14:paraId="6C0057E2" w14:textId="77777777" w:rsidR="00EB0D85" w:rsidRPr="00EB0D85" w:rsidRDefault="00EB0D85" w:rsidP="00EB0D85">
      <w:r w:rsidRPr="00EB0D85">
        <w:t xml:space="preserve">These are some of the key achievements from IHACPA’s Work Program for 2025–26. </w:t>
      </w:r>
    </w:p>
    <w:p w14:paraId="64387B7A" w14:textId="77777777" w:rsidR="00EB0D85" w:rsidRPr="00EB0D85" w:rsidRDefault="00EB0D85" w:rsidP="00EB0D85">
      <w:pPr>
        <w:rPr>
          <w:b/>
          <w:bCs/>
        </w:rPr>
      </w:pPr>
      <w:r w:rsidRPr="00EB0D85">
        <w:rPr>
          <w:b/>
          <w:bCs/>
        </w:rPr>
        <w:t xml:space="preserve">Figure 1: 2025–26 highlights </w:t>
      </w:r>
    </w:p>
    <w:p w14:paraId="65E5D341" w14:textId="77777777" w:rsidR="00EB0D85" w:rsidRPr="00EB0D85" w:rsidRDefault="00EB0D85" w:rsidP="00EB0D85">
      <w:pPr>
        <w:pStyle w:val="Heading2"/>
      </w:pPr>
      <w:bookmarkStart w:id="44" w:name="_Toc233021794"/>
      <w:bookmarkStart w:id="45" w:name="_Toc233022245"/>
      <w:bookmarkStart w:id="46" w:name="_Toc233023008"/>
      <w:bookmarkStart w:id="47" w:name="_Toc233023343"/>
      <w:bookmarkStart w:id="48" w:name="_Toc233023466"/>
      <w:bookmarkStart w:id="49" w:name="_Toc233028642"/>
      <w:bookmarkStart w:id="50" w:name="_Toc233028836"/>
      <w:bookmarkStart w:id="51" w:name="_Toc235786060"/>
      <w:bookmarkStart w:id="52" w:name="_Toc235787391"/>
      <w:bookmarkStart w:id="53" w:name="_Toc235791529"/>
      <w:bookmarkStart w:id="54" w:name="_Toc237872633"/>
      <w:r w:rsidRPr="00EB0D85">
        <w:t>2025</w:t>
      </w:r>
      <w:bookmarkEnd w:id="44"/>
      <w:bookmarkEnd w:id="45"/>
      <w:bookmarkEnd w:id="46"/>
      <w:bookmarkEnd w:id="47"/>
      <w:bookmarkEnd w:id="48"/>
      <w:bookmarkEnd w:id="49"/>
      <w:bookmarkEnd w:id="50"/>
      <w:bookmarkEnd w:id="51"/>
      <w:bookmarkEnd w:id="52"/>
      <w:bookmarkEnd w:id="53"/>
      <w:bookmarkEnd w:id="54"/>
    </w:p>
    <w:p w14:paraId="3CE65FF2" w14:textId="77777777" w:rsidR="00EB0D85" w:rsidRPr="00EB0D85" w:rsidRDefault="00EB0D85" w:rsidP="00EB0D85">
      <w:pPr>
        <w:rPr>
          <w:rStyle w:val="Heading3Char"/>
        </w:rPr>
      </w:pPr>
      <w:bookmarkStart w:id="55" w:name="_Toc233022246"/>
      <w:bookmarkStart w:id="56" w:name="_Toc233023009"/>
      <w:bookmarkStart w:id="57" w:name="_Toc233023344"/>
      <w:bookmarkStart w:id="58" w:name="_Toc233023467"/>
      <w:bookmarkStart w:id="59" w:name="_Toc233028643"/>
      <w:bookmarkStart w:id="60" w:name="_Toc233028837"/>
      <w:bookmarkStart w:id="61" w:name="_Toc235786061"/>
      <w:bookmarkStart w:id="62" w:name="_Toc235787392"/>
      <w:bookmarkStart w:id="63" w:name="_Toc235791530"/>
      <w:bookmarkStart w:id="64" w:name="_Toc237872634"/>
      <w:r w:rsidRPr="00EB0D85">
        <w:rPr>
          <w:rStyle w:val="Heading3Char"/>
        </w:rPr>
        <w:t>July</w:t>
      </w:r>
      <w:bookmarkEnd w:id="55"/>
      <w:bookmarkEnd w:id="56"/>
      <w:bookmarkEnd w:id="57"/>
      <w:bookmarkEnd w:id="58"/>
      <w:bookmarkEnd w:id="59"/>
      <w:bookmarkEnd w:id="60"/>
      <w:bookmarkEnd w:id="61"/>
      <w:bookmarkEnd w:id="62"/>
      <w:bookmarkEnd w:id="63"/>
      <w:bookmarkEnd w:id="64"/>
    </w:p>
    <w:p w14:paraId="6CFBA000" w14:textId="77777777" w:rsidR="00EB0D85" w:rsidRPr="00EB0D85" w:rsidRDefault="00EB0D85" w:rsidP="00EB0D85">
      <w:pPr>
        <w:pStyle w:val="ListLevel1"/>
      </w:pPr>
      <w:r w:rsidRPr="00EB0D85">
        <w:t xml:space="preserve">Emergency Care International Statistical Classification of Diseases and Related Health Problems, Tenth Revision, Australian Modification (ICD-10-AM) Thirteenth Edition Principal Diagnosis Short List implemented. </w:t>
      </w:r>
    </w:p>
    <w:p w14:paraId="0C361F15" w14:textId="77777777" w:rsidR="00EB0D85" w:rsidRPr="00EB0D85" w:rsidRDefault="00EB0D85" w:rsidP="00EB0D85">
      <w:pPr>
        <w:pStyle w:val="ListLevel1"/>
      </w:pPr>
      <w:r w:rsidRPr="00EB0D85">
        <w:t xml:space="preserve">International Statistical Classification of Diseases and Related Health Problems, Tenth Revision, Australian Modification, Australian Classification of Health Interventions and Australian Coding Standards Thirteenth Edition implemented. </w:t>
      </w:r>
    </w:p>
    <w:p w14:paraId="13531E81" w14:textId="77777777" w:rsidR="00EB0D85" w:rsidRPr="00EB0D85" w:rsidRDefault="00EB0D85" w:rsidP="00EB0D85">
      <w:pPr>
        <w:pStyle w:val="ListLevel1"/>
      </w:pPr>
      <w:r w:rsidRPr="00EB0D85">
        <w:t xml:space="preserve">Australian Refined Diagnosis Related Groups Version 12.0 released. </w:t>
      </w:r>
    </w:p>
    <w:p w14:paraId="76C60557" w14:textId="77777777" w:rsidR="00EB0D85" w:rsidRPr="00EB0D85" w:rsidRDefault="00EB0D85" w:rsidP="00EB0D85">
      <w:pPr>
        <w:pStyle w:val="ListLevel1"/>
      </w:pPr>
      <w:r w:rsidRPr="00EB0D85">
        <w:t xml:space="preserve">Australian Emergency Care Classification Version 1.1 implemented. </w:t>
      </w:r>
    </w:p>
    <w:p w14:paraId="25C7C994" w14:textId="77777777" w:rsidR="00EB0D85" w:rsidRPr="00EB0D85" w:rsidRDefault="00EB0D85" w:rsidP="00EB0D85">
      <w:pPr>
        <w:pStyle w:val="ListLevel1"/>
      </w:pPr>
      <w:r w:rsidRPr="00EB0D85">
        <w:t xml:space="preserve">Consultation Paper on the Pricing Framework for Australian Residential Aged Care Services 2026–27 released. </w:t>
      </w:r>
    </w:p>
    <w:p w14:paraId="7C8CE6B0" w14:textId="77777777" w:rsidR="00EB0D85" w:rsidRPr="00EB0D85" w:rsidRDefault="00EB0D85" w:rsidP="00EB0D85">
      <w:pPr>
        <w:pStyle w:val="ListLevel1"/>
      </w:pPr>
      <w:r w:rsidRPr="00EB0D85">
        <w:t xml:space="preserve">Community mental health transitioned from block funding arrangements to activity-based funding using the Australian Mental Health Care Classification Version 1.1. </w:t>
      </w:r>
    </w:p>
    <w:p w14:paraId="447AE96B" w14:textId="77777777" w:rsidR="00EB0D85" w:rsidRPr="00EB0D85" w:rsidRDefault="00EB0D85" w:rsidP="00EB0D85">
      <w:pPr>
        <w:rPr>
          <w:rStyle w:val="Heading3Char"/>
        </w:rPr>
      </w:pPr>
      <w:bookmarkStart w:id="65" w:name="_Toc233022247"/>
      <w:bookmarkStart w:id="66" w:name="_Toc233023010"/>
      <w:bookmarkStart w:id="67" w:name="_Toc233023345"/>
      <w:bookmarkStart w:id="68" w:name="_Toc233023468"/>
      <w:bookmarkStart w:id="69" w:name="_Toc233028644"/>
      <w:bookmarkStart w:id="70" w:name="_Toc233028838"/>
      <w:bookmarkStart w:id="71" w:name="_Toc235786062"/>
      <w:bookmarkStart w:id="72" w:name="_Toc235787393"/>
      <w:bookmarkStart w:id="73" w:name="_Toc235791531"/>
      <w:bookmarkStart w:id="74" w:name="_Toc237872635"/>
      <w:r w:rsidRPr="00EB0D85">
        <w:rPr>
          <w:rStyle w:val="Heading3Char"/>
        </w:rPr>
        <w:t>August</w:t>
      </w:r>
      <w:bookmarkEnd w:id="65"/>
      <w:bookmarkEnd w:id="66"/>
      <w:bookmarkEnd w:id="67"/>
      <w:bookmarkEnd w:id="68"/>
      <w:bookmarkEnd w:id="69"/>
      <w:bookmarkEnd w:id="70"/>
      <w:bookmarkEnd w:id="71"/>
      <w:bookmarkEnd w:id="72"/>
      <w:bookmarkEnd w:id="73"/>
      <w:bookmarkEnd w:id="74"/>
    </w:p>
    <w:p w14:paraId="3A5994E6" w14:textId="77777777" w:rsidR="00EB0D85" w:rsidRPr="00EB0D85" w:rsidRDefault="00EB0D85" w:rsidP="00EB0D85">
      <w:pPr>
        <w:pStyle w:val="ListParagraph"/>
        <w:numPr>
          <w:ilvl w:val="0"/>
          <w:numId w:val="8"/>
        </w:numPr>
      </w:pPr>
      <w:r w:rsidRPr="00EB0D85">
        <w:t xml:space="preserve">IHACPA Strategic Plan 2025–30 released. </w:t>
      </w:r>
    </w:p>
    <w:p w14:paraId="19B20C08" w14:textId="77777777" w:rsidR="00EB0D85" w:rsidRPr="00EB0D85" w:rsidRDefault="00EB0D85" w:rsidP="00EB0D85">
      <w:pPr>
        <w:pStyle w:val="ListParagraph"/>
        <w:numPr>
          <w:ilvl w:val="0"/>
          <w:numId w:val="8"/>
        </w:numPr>
      </w:pPr>
      <w:r w:rsidRPr="00EB0D85">
        <w:t xml:space="preserve">IHACPA Conference 2025 delivered. </w:t>
      </w:r>
    </w:p>
    <w:p w14:paraId="5E844587" w14:textId="77777777" w:rsidR="00EB0D85" w:rsidRPr="00EB0D85" w:rsidRDefault="00EB0D85" w:rsidP="00EB0D85">
      <w:pPr>
        <w:rPr>
          <w:rStyle w:val="Heading3Char"/>
        </w:rPr>
      </w:pPr>
      <w:bookmarkStart w:id="75" w:name="_Toc233022248"/>
      <w:bookmarkStart w:id="76" w:name="_Toc233023011"/>
      <w:bookmarkStart w:id="77" w:name="_Toc233023346"/>
      <w:bookmarkStart w:id="78" w:name="_Toc233023469"/>
      <w:bookmarkStart w:id="79" w:name="_Toc233028645"/>
      <w:bookmarkStart w:id="80" w:name="_Toc233028839"/>
      <w:bookmarkStart w:id="81" w:name="_Toc235786063"/>
      <w:bookmarkStart w:id="82" w:name="_Toc235787394"/>
      <w:bookmarkStart w:id="83" w:name="_Toc235791532"/>
      <w:bookmarkStart w:id="84" w:name="_Toc237872636"/>
      <w:r w:rsidRPr="00EB0D85">
        <w:rPr>
          <w:rStyle w:val="Heading3Char"/>
        </w:rPr>
        <w:t>September</w:t>
      </w:r>
      <w:bookmarkEnd w:id="75"/>
      <w:bookmarkEnd w:id="76"/>
      <w:bookmarkEnd w:id="77"/>
      <w:bookmarkEnd w:id="78"/>
      <w:bookmarkEnd w:id="79"/>
      <w:bookmarkEnd w:id="80"/>
      <w:bookmarkEnd w:id="81"/>
      <w:bookmarkEnd w:id="82"/>
      <w:bookmarkEnd w:id="83"/>
      <w:bookmarkEnd w:id="84"/>
    </w:p>
    <w:p w14:paraId="136C35D8" w14:textId="77777777" w:rsidR="00EB0D85" w:rsidRPr="00EB0D85" w:rsidRDefault="00EB0D85" w:rsidP="00EB0D85">
      <w:pPr>
        <w:pStyle w:val="ListParagraph"/>
        <w:numPr>
          <w:ilvl w:val="0"/>
          <w:numId w:val="9"/>
        </w:numPr>
      </w:pPr>
      <w:r w:rsidRPr="00EB0D85">
        <w:t xml:space="preserve">Residential Aged Care Pricing Advice 2025–26 released. </w:t>
      </w:r>
    </w:p>
    <w:p w14:paraId="395A653A" w14:textId="77777777" w:rsidR="00EB0D85" w:rsidRPr="00EB0D85" w:rsidRDefault="00EB0D85" w:rsidP="00EB0D85">
      <w:pPr>
        <w:pStyle w:val="ListParagraph"/>
        <w:numPr>
          <w:ilvl w:val="0"/>
          <w:numId w:val="9"/>
        </w:numPr>
      </w:pPr>
      <w:r w:rsidRPr="00EB0D85">
        <w:t xml:space="preserve">Aged Care Pricing Policy released. </w:t>
      </w:r>
    </w:p>
    <w:p w14:paraId="5BEA4007" w14:textId="77777777" w:rsidR="00EB0D85" w:rsidRPr="00EB0D85" w:rsidRDefault="00EB0D85" w:rsidP="00EB0D85">
      <w:pPr>
        <w:pStyle w:val="Heading3"/>
      </w:pPr>
      <w:bookmarkStart w:id="85" w:name="_Toc233022249"/>
      <w:bookmarkStart w:id="86" w:name="_Toc233023012"/>
      <w:bookmarkStart w:id="87" w:name="_Toc233023347"/>
      <w:bookmarkStart w:id="88" w:name="_Toc233023470"/>
      <w:bookmarkStart w:id="89" w:name="_Toc233028646"/>
      <w:bookmarkStart w:id="90" w:name="_Toc233028840"/>
      <w:bookmarkStart w:id="91" w:name="_Toc235786064"/>
      <w:bookmarkStart w:id="92" w:name="_Toc235787395"/>
      <w:bookmarkStart w:id="93" w:name="_Toc235791533"/>
      <w:bookmarkStart w:id="94" w:name="_Toc237872637"/>
      <w:r w:rsidRPr="00EB0D85">
        <w:t>October</w:t>
      </w:r>
      <w:bookmarkEnd w:id="85"/>
      <w:bookmarkEnd w:id="86"/>
      <w:bookmarkEnd w:id="87"/>
      <w:bookmarkEnd w:id="88"/>
      <w:bookmarkEnd w:id="89"/>
      <w:bookmarkEnd w:id="90"/>
      <w:bookmarkEnd w:id="91"/>
      <w:bookmarkEnd w:id="92"/>
      <w:bookmarkEnd w:id="93"/>
      <w:bookmarkEnd w:id="94"/>
    </w:p>
    <w:p w14:paraId="44A74434" w14:textId="77777777" w:rsidR="00EB0D85" w:rsidRPr="00EB0D85" w:rsidRDefault="00EB0D85" w:rsidP="00EB0D85">
      <w:pPr>
        <w:pStyle w:val="ListParagraph"/>
        <w:numPr>
          <w:ilvl w:val="0"/>
          <w:numId w:val="10"/>
        </w:numPr>
      </w:pPr>
      <w:r w:rsidRPr="00EB0D85">
        <w:t xml:space="preserve">Data Quality Framework released. </w:t>
      </w:r>
    </w:p>
    <w:p w14:paraId="5FF05BCD" w14:textId="77777777" w:rsidR="00EB0D85" w:rsidRPr="00EB0D85" w:rsidRDefault="00EB0D85" w:rsidP="00EB0D85">
      <w:pPr>
        <w:pStyle w:val="ListParagraph"/>
        <w:numPr>
          <w:ilvl w:val="0"/>
          <w:numId w:val="10"/>
        </w:numPr>
      </w:pPr>
      <w:r w:rsidRPr="00EB0D85">
        <w:t>Consultation Paper on the Future of IHACPA Classifications released.</w:t>
      </w:r>
    </w:p>
    <w:p w14:paraId="22FEAA4E" w14:textId="77777777" w:rsidR="00EB0D85" w:rsidRPr="00EB0D85" w:rsidRDefault="00EB0D85" w:rsidP="00EB0D85">
      <w:pPr>
        <w:pStyle w:val="Heading3"/>
      </w:pPr>
      <w:bookmarkStart w:id="95" w:name="_Toc233022250"/>
      <w:bookmarkStart w:id="96" w:name="_Toc233023013"/>
      <w:bookmarkStart w:id="97" w:name="_Toc233023348"/>
      <w:bookmarkStart w:id="98" w:name="_Toc233023471"/>
      <w:bookmarkStart w:id="99" w:name="_Toc233028647"/>
      <w:bookmarkStart w:id="100" w:name="_Toc233028841"/>
      <w:bookmarkStart w:id="101" w:name="_Toc235786065"/>
      <w:bookmarkStart w:id="102" w:name="_Toc235787396"/>
      <w:bookmarkStart w:id="103" w:name="_Toc235791534"/>
      <w:bookmarkStart w:id="104" w:name="_Toc237872638"/>
      <w:r w:rsidRPr="00EB0D85">
        <w:t>November</w:t>
      </w:r>
      <w:bookmarkEnd w:id="95"/>
      <w:bookmarkEnd w:id="96"/>
      <w:bookmarkEnd w:id="97"/>
      <w:bookmarkEnd w:id="98"/>
      <w:bookmarkEnd w:id="99"/>
      <w:bookmarkEnd w:id="100"/>
      <w:bookmarkEnd w:id="101"/>
      <w:bookmarkEnd w:id="102"/>
      <w:bookmarkEnd w:id="103"/>
      <w:bookmarkEnd w:id="104"/>
      <w:r w:rsidRPr="00EB0D85">
        <w:t xml:space="preserve"> </w:t>
      </w:r>
    </w:p>
    <w:p w14:paraId="1ED83C38" w14:textId="77777777" w:rsidR="00EB0D85" w:rsidRPr="00EB0D85" w:rsidRDefault="00EB0D85" w:rsidP="00EB0D85">
      <w:pPr>
        <w:pStyle w:val="ListParagraph"/>
        <w:numPr>
          <w:ilvl w:val="0"/>
          <w:numId w:val="10"/>
        </w:numPr>
      </w:pPr>
      <w:r w:rsidRPr="00EB0D85">
        <w:t xml:space="preserve">Cost Bucket Review 2025 released. </w:t>
      </w:r>
    </w:p>
    <w:p w14:paraId="688AE790" w14:textId="77777777" w:rsidR="00EB0D85" w:rsidRPr="00EB0D85" w:rsidRDefault="00EB0D85" w:rsidP="00EB0D85">
      <w:pPr>
        <w:pStyle w:val="Heading3"/>
      </w:pPr>
      <w:bookmarkStart w:id="105" w:name="_Toc233022251"/>
      <w:bookmarkStart w:id="106" w:name="_Toc233023014"/>
      <w:bookmarkStart w:id="107" w:name="_Toc233023349"/>
      <w:bookmarkStart w:id="108" w:name="_Toc233023472"/>
      <w:bookmarkStart w:id="109" w:name="_Toc233028648"/>
      <w:bookmarkStart w:id="110" w:name="_Toc233028842"/>
      <w:bookmarkStart w:id="111" w:name="_Toc235786066"/>
      <w:bookmarkStart w:id="112" w:name="_Toc235787397"/>
      <w:bookmarkStart w:id="113" w:name="_Toc235791535"/>
      <w:bookmarkStart w:id="114" w:name="_Toc237872639"/>
      <w:r w:rsidRPr="00EB0D85">
        <w:t>December</w:t>
      </w:r>
      <w:bookmarkEnd w:id="105"/>
      <w:bookmarkEnd w:id="106"/>
      <w:bookmarkEnd w:id="107"/>
      <w:bookmarkEnd w:id="108"/>
      <w:bookmarkEnd w:id="109"/>
      <w:bookmarkEnd w:id="110"/>
      <w:bookmarkEnd w:id="111"/>
      <w:bookmarkEnd w:id="112"/>
      <w:bookmarkEnd w:id="113"/>
      <w:bookmarkEnd w:id="114"/>
    </w:p>
    <w:p w14:paraId="33E27A7F" w14:textId="77777777" w:rsidR="00EB0D85" w:rsidRPr="00EB0D85" w:rsidRDefault="00EB0D85" w:rsidP="00EB0D85">
      <w:pPr>
        <w:pStyle w:val="ListParagraph"/>
        <w:numPr>
          <w:ilvl w:val="0"/>
          <w:numId w:val="11"/>
        </w:numPr>
      </w:pPr>
      <w:r w:rsidRPr="00EB0D85">
        <w:t xml:space="preserve">Pricing Framework for Australian Public Hospital Services 2026–27 released. </w:t>
      </w:r>
    </w:p>
    <w:p w14:paraId="1282254B" w14:textId="77777777" w:rsidR="00EB0D85" w:rsidRPr="00EB0D85" w:rsidRDefault="00EB0D85" w:rsidP="00EB0D85">
      <w:pPr>
        <w:pStyle w:val="ListParagraph"/>
        <w:numPr>
          <w:ilvl w:val="0"/>
          <w:numId w:val="11"/>
        </w:numPr>
      </w:pPr>
      <w:r w:rsidRPr="00EB0D85">
        <w:lastRenderedPageBreak/>
        <w:t xml:space="preserve">General List of In-Scope Public Hospital Services 2026–27 finalised. </w:t>
      </w:r>
    </w:p>
    <w:p w14:paraId="25DD68D8" w14:textId="77777777" w:rsidR="00EB0D85" w:rsidRPr="00EB0D85" w:rsidRDefault="00EB0D85" w:rsidP="00EB0D85">
      <w:pPr>
        <w:pStyle w:val="ListParagraph"/>
        <w:numPr>
          <w:ilvl w:val="0"/>
          <w:numId w:val="11"/>
        </w:numPr>
        <w:spacing w:after="0"/>
      </w:pPr>
      <w:r w:rsidRPr="00EB0D85">
        <w:t>Annual review of activity-based funding national best endeavours data sets and national minimum data sets completed.</w:t>
      </w:r>
    </w:p>
    <w:p w14:paraId="3A0BDB98" w14:textId="77777777" w:rsidR="00EB0D85" w:rsidRPr="00EB0D85" w:rsidRDefault="00EB0D85" w:rsidP="00EB0D85">
      <w:pPr>
        <w:pStyle w:val="ListLevel1"/>
        <w:numPr>
          <w:ilvl w:val="1"/>
          <w:numId w:val="10"/>
        </w:numPr>
        <w:spacing w:after="0"/>
      </w:pPr>
      <w:r w:rsidRPr="00EB0D85">
        <w:t xml:space="preserve">National Efficient Price 2025–26 National Cost and Activity Drivers Report released. </w:t>
      </w:r>
    </w:p>
    <w:p w14:paraId="73F427BD" w14:textId="77777777" w:rsidR="00EB0D85" w:rsidRPr="00EB0D85" w:rsidRDefault="00EB0D85" w:rsidP="00EB0D85">
      <w:pPr>
        <w:pStyle w:val="Heading2"/>
      </w:pPr>
      <w:bookmarkStart w:id="115" w:name="_Toc233021795"/>
      <w:bookmarkStart w:id="116" w:name="_Toc233022252"/>
      <w:bookmarkStart w:id="117" w:name="_Toc233023015"/>
      <w:bookmarkStart w:id="118" w:name="_Toc233023350"/>
      <w:bookmarkStart w:id="119" w:name="_Toc233023473"/>
      <w:bookmarkStart w:id="120" w:name="_Toc233028649"/>
      <w:bookmarkStart w:id="121" w:name="_Toc233028843"/>
      <w:bookmarkStart w:id="122" w:name="_Toc235786067"/>
      <w:bookmarkStart w:id="123" w:name="_Toc235787398"/>
      <w:bookmarkStart w:id="124" w:name="_Toc235791536"/>
      <w:bookmarkStart w:id="125" w:name="_Toc237872640"/>
      <w:r w:rsidRPr="00EB0D85">
        <w:t>2026</w:t>
      </w:r>
      <w:bookmarkEnd w:id="115"/>
      <w:bookmarkEnd w:id="116"/>
      <w:bookmarkEnd w:id="117"/>
      <w:bookmarkEnd w:id="118"/>
      <w:bookmarkEnd w:id="119"/>
      <w:bookmarkEnd w:id="120"/>
      <w:bookmarkEnd w:id="121"/>
      <w:bookmarkEnd w:id="122"/>
      <w:bookmarkEnd w:id="123"/>
      <w:bookmarkEnd w:id="124"/>
      <w:bookmarkEnd w:id="125"/>
      <w:r w:rsidRPr="00EB0D85">
        <w:t xml:space="preserve"> </w:t>
      </w:r>
    </w:p>
    <w:p w14:paraId="78A56F79" w14:textId="77777777" w:rsidR="00EB0D85" w:rsidRPr="00EB0D85" w:rsidRDefault="00EB0D85" w:rsidP="00EB0D85">
      <w:pPr>
        <w:pStyle w:val="Heading3"/>
      </w:pPr>
      <w:bookmarkStart w:id="126" w:name="_Toc233022253"/>
      <w:bookmarkStart w:id="127" w:name="_Toc233023016"/>
      <w:bookmarkStart w:id="128" w:name="_Toc233023351"/>
      <w:bookmarkStart w:id="129" w:name="_Toc233023474"/>
      <w:bookmarkStart w:id="130" w:name="_Toc233028650"/>
      <w:bookmarkStart w:id="131" w:name="_Toc233028844"/>
      <w:bookmarkStart w:id="132" w:name="_Toc235786068"/>
      <w:bookmarkStart w:id="133" w:name="_Toc235787399"/>
      <w:bookmarkStart w:id="134" w:name="_Toc235791537"/>
      <w:bookmarkStart w:id="135" w:name="_Toc237872641"/>
      <w:r w:rsidRPr="00EB0D85">
        <w:t>January</w:t>
      </w:r>
      <w:bookmarkEnd w:id="126"/>
      <w:bookmarkEnd w:id="127"/>
      <w:bookmarkEnd w:id="128"/>
      <w:bookmarkEnd w:id="129"/>
      <w:bookmarkEnd w:id="130"/>
      <w:bookmarkEnd w:id="131"/>
      <w:bookmarkEnd w:id="132"/>
      <w:bookmarkEnd w:id="133"/>
      <w:bookmarkEnd w:id="134"/>
      <w:bookmarkEnd w:id="135"/>
      <w:r w:rsidRPr="00EB0D85">
        <w:t xml:space="preserve"> </w:t>
      </w:r>
    </w:p>
    <w:p w14:paraId="7DB271DC" w14:textId="77777777" w:rsidR="00EB0D85" w:rsidRPr="00EB0D85" w:rsidRDefault="00EB0D85" w:rsidP="00EB0D85">
      <w:pPr>
        <w:pStyle w:val="ListParagraph"/>
        <w:numPr>
          <w:ilvl w:val="1"/>
          <w:numId w:val="10"/>
        </w:numPr>
      </w:pPr>
      <w:r w:rsidRPr="00EB0D85">
        <w:t xml:space="preserve">Independent Financial Review of National Hospital Cost Data Collection 2023–24 released. </w:t>
      </w:r>
    </w:p>
    <w:p w14:paraId="41C6FD55" w14:textId="77777777" w:rsidR="00EB0D85" w:rsidRPr="00EB0D85" w:rsidRDefault="00EB0D85" w:rsidP="00EB0D85">
      <w:pPr>
        <w:pStyle w:val="ListParagraph"/>
      </w:pPr>
    </w:p>
    <w:p w14:paraId="09F17BD3" w14:textId="77777777" w:rsidR="00EB0D85" w:rsidRPr="00EB0D85" w:rsidRDefault="00EB0D85" w:rsidP="00EB0D85">
      <w:pPr>
        <w:pStyle w:val="Heading3"/>
      </w:pPr>
      <w:bookmarkStart w:id="136" w:name="_Toc233022255"/>
      <w:bookmarkStart w:id="137" w:name="_Toc233023018"/>
      <w:bookmarkStart w:id="138" w:name="_Toc233023353"/>
      <w:bookmarkStart w:id="139" w:name="_Toc233023476"/>
      <w:bookmarkStart w:id="140" w:name="_Toc233028652"/>
      <w:bookmarkStart w:id="141" w:name="_Toc233028846"/>
      <w:bookmarkStart w:id="142" w:name="_Toc235786070"/>
      <w:bookmarkStart w:id="143" w:name="_Toc235787401"/>
      <w:bookmarkStart w:id="144" w:name="_Toc235791539"/>
      <w:bookmarkStart w:id="145" w:name="_Toc237872642"/>
      <w:r w:rsidRPr="00EB0D85">
        <w:t>March</w:t>
      </w:r>
      <w:bookmarkEnd w:id="136"/>
      <w:bookmarkEnd w:id="137"/>
      <w:bookmarkEnd w:id="138"/>
      <w:bookmarkEnd w:id="139"/>
      <w:bookmarkEnd w:id="140"/>
      <w:bookmarkEnd w:id="141"/>
      <w:bookmarkEnd w:id="142"/>
      <w:bookmarkEnd w:id="143"/>
      <w:bookmarkEnd w:id="144"/>
      <w:bookmarkEnd w:id="145"/>
    </w:p>
    <w:p w14:paraId="10280E3E" w14:textId="77777777" w:rsidR="00EB0D85" w:rsidRPr="00EB0D85" w:rsidRDefault="00EB0D85" w:rsidP="00EB0D85">
      <w:pPr>
        <w:pStyle w:val="ListLevel1"/>
      </w:pPr>
      <w:r w:rsidRPr="00EB0D85">
        <w:t xml:space="preserve">National Efficient Price Determination 2026–27 and National Efficient Cost Determination 2026–27 released. </w:t>
      </w:r>
    </w:p>
    <w:p w14:paraId="6BB72A07" w14:textId="77777777" w:rsidR="00EB0D85" w:rsidRPr="00EB0D85" w:rsidRDefault="00EB0D85" w:rsidP="00EB0D85">
      <w:pPr>
        <w:pStyle w:val="ListLevel1"/>
      </w:pPr>
      <w:r w:rsidRPr="00EB0D85">
        <w:t xml:space="preserve">National Benchmarking Portal secure interface released. </w:t>
      </w:r>
    </w:p>
    <w:p w14:paraId="6CD42FA6" w14:textId="45FDBB9F" w:rsidR="00EB0D85" w:rsidRPr="00EB0D85" w:rsidRDefault="00EB0D85" w:rsidP="00EB0D85">
      <w:pPr>
        <w:pStyle w:val="ListLevel1"/>
      </w:pPr>
      <w:r w:rsidRPr="00EB0D85">
        <w:t xml:space="preserve">Consultation </w:t>
      </w:r>
      <w:r w:rsidR="009D1064">
        <w:t>P</w:t>
      </w:r>
      <w:r w:rsidRPr="00EB0D85">
        <w:t>aper on the Pricing Framework for Australian Support at Home Aged Care Services 2027–28 released.</w:t>
      </w:r>
    </w:p>
    <w:p w14:paraId="2334DCBB" w14:textId="77777777" w:rsidR="00EB0D85" w:rsidRPr="00EB0D85" w:rsidRDefault="00EB0D85" w:rsidP="00EB0D85">
      <w:pPr>
        <w:pStyle w:val="Heading3"/>
      </w:pPr>
      <w:bookmarkStart w:id="146" w:name="_Toc233022256"/>
      <w:bookmarkStart w:id="147" w:name="_Toc233023019"/>
      <w:bookmarkStart w:id="148" w:name="_Toc233023354"/>
      <w:bookmarkStart w:id="149" w:name="_Toc233023477"/>
      <w:bookmarkStart w:id="150" w:name="_Toc233028653"/>
      <w:bookmarkStart w:id="151" w:name="_Toc233028847"/>
      <w:bookmarkStart w:id="152" w:name="_Toc235786071"/>
      <w:bookmarkStart w:id="153" w:name="_Toc235787402"/>
      <w:bookmarkStart w:id="154" w:name="_Toc235791540"/>
      <w:bookmarkStart w:id="155" w:name="_Toc237872643"/>
      <w:r w:rsidRPr="00EB0D85">
        <w:t>April</w:t>
      </w:r>
      <w:bookmarkEnd w:id="146"/>
      <w:bookmarkEnd w:id="147"/>
      <w:bookmarkEnd w:id="148"/>
      <w:bookmarkEnd w:id="149"/>
      <w:bookmarkEnd w:id="150"/>
      <w:bookmarkEnd w:id="151"/>
      <w:bookmarkEnd w:id="152"/>
      <w:bookmarkEnd w:id="153"/>
      <w:bookmarkEnd w:id="154"/>
      <w:bookmarkEnd w:id="155"/>
    </w:p>
    <w:p w14:paraId="3E04BB4A" w14:textId="77777777" w:rsidR="00EB0D85" w:rsidRPr="00EB0D85" w:rsidRDefault="00EB0D85" w:rsidP="00EB0D85">
      <w:pPr>
        <w:pStyle w:val="ListParagraph"/>
        <w:numPr>
          <w:ilvl w:val="0"/>
          <w:numId w:val="13"/>
        </w:numPr>
      </w:pPr>
      <w:r w:rsidRPr="00EB0D85">
        <w:t xml:space="preserve">Organ and Tissue Donation and Transplantation Project – Final Report released. </w:t>
      </w:r>
    </w:p>
    <w:p w14:paraId="5691D90D" w14:textId="77777777" w:rsidR="00EB0D85" w:rsidRPr="00EB0D85" w:rsidRDefault="00EB0D85" w:rsidP="00EB0D85">
      <w:pPr>
        <w:pStyle w:val="ListParagraph"/>
        <w:numPr>
          <w:ilvl w:val="0"/>
          <w:numId w:val="13"/>
        </w:numPr>
      </w:pPr>
      <w:r w:rsidRPr="00EB0D85">
        <w:t xml:space="preserve">Pricing Framework for Australian Residential Aged Care Services 2026–27 released. </w:t>
      </w:r>
    </w:p>
    <w:p w14:paraId="3440B964" w14:textId="77777777" w:rsidR="00EB0D85" w:rsidRPr="00EB0D85" w:rsidRDefault="00EB0D85" w:rsidP="00EB0D85">
      <w:pPr>
        <w:pStyle w:val="ListParagraph"/>
        <w:numPr>
          <w:ilvl w:val="0"/>
          <w:numId w:val="13"/>
        </w:numPr>
      </w:pPr>
      <w:r w:rsidRPr="00EB0D85">
        <w:t xml:space="preserve">Residential Aged Care Cost Collection 2024–25 Final Report released. </w:t>
      </w:r>
    </w:p>
    <w:p w14:paraId="3214F9DC" w14:textId="77777777" w:rsidR="00EB0D85" w:rsidRPr="00EB0D85" w:rsidRDefault="00EB0D85" w:rsidP="00EB0D85">
      <w:pPr>
        <w:pStyle w:val="Heading3"/>
      </w:pPr>
      <w:bookmarkStart w:id="156" w:name="_Toc233022257"/>
      <w:bookmarkStart w:id="157" w:name="_Toc233023020"/>
      <w:bookmarkStart w:id="158" w:name="_Toc233023355"/>
      <w:bookmarkStart w:id="159" w:name="_Toc233023478"/>
      <w:bookmarkStart w:id="160" w:name="_Toc233028654"/>
      <w:bookmarkStart w:id="161" w:name="_Toc233028848"/>
      <w:bookmarkStart w:id="162" w:name="_Toc235786072"/>
      <w:bookmarkStart w:id="163" w:name="_Toc235787403"/>
      <w:bookmarkStart w:id="164" w:name="_Toc235791541"/>
      <w:bookmarkStart w:id="165" w:name="_Toc237872644"/>
      <w:r w:rsidRPr="00EB0D85">
        <w:t>May</w:t>
      </w:r>
      <w:bookmarkEnd w:id="156"/>
      <w:bookmarkEnd w:id="157"/>
      <w:bookmarkEnd w:id="158"/>
      <w:bookmarkEnd w:id="159"/>
      <w:bookmarkEnd w:id="160"/>
      <w:bookmarkEnd w:id="161"/>
      <w:bookmarkEnd w:id="162"/>
      <w:bookmarkEnd w:id="163"/>
      <w:bookmarkEnd w:id="164"/>
      <w:bookmarkEnd w:id="165"/>
      <w:r w:rsidRPr="00EB0D85">
        <w:t xml:space="preserve"> </w:t>
      </w:r>
    </w:p>
    <w:p w14:paraId="69C2402A" w14:textId="77777777" w:rsidR="00EB0D85" w:rsidRPr="00EB0D85" w:rsidRDefault="00EB0D85" w:rsidP="00EB0D85">
      <w:pPr>
        <w:pStyle w:val="ListParagraph"/>
        <w:numPr>
          <w:ilvl w:val="0"/>
          <w:numId w:val="14"/>
        </w:numPr>
      </w:pPr>
      <w:r w:rsidRPr="00EB0D85">
        <w:t xml:space="preserve">Pricing Framework for Australian Support at Home Aged Care Services 2026–27 released. </w:t>
      </w:r>
    </w:p>
    <w:p w14:paraId="5C2483E4" w14:textId="77777777" w:rsidR="00EB0D85" w:rsidRPr="00EB0D85" w:rsidRDefault="00EB0D85" w:rsidP="00EB0D85">
      <w:pPr>
        <w:pStyle w:val="ListParagraph"/>
        <w:numPr>
          <w:ilvl w:val="0"/>
          <w:numId w:val="14"/>
        </w:numPr>
      </w:pPr>
      <w:r w:rsidRPr="00EB0D85">
        <w:t xml:space="preserve">Support at Home Cost Collection 2025 Final Report released. </w:t>
      </w:r>
    </w:p>
    <w:p w14:paraId="7FE4AC99" w14:textId="77777777" w:rsidR="00EB0D85" w:rsidRPr="00EB0D85" w:rsidRDefault="00EB0D85" w:rsidP="00EB0D85">
      <w:pPr>
        <w:pStyle w:val="ListParagraph"/>
        <w:numPr>
          <w:ilvl w:val="0"/>
          <w:numId w:val="14"/>
        </w:numPr>
      </w:pPr>
      <w:r w:rsidRPr="00EB0D85">
        <w:t xml:space="preserve">Support at Home Pricing Advice 2026–27 released. </w:t>
      </w:r>
    </w:p>
    <w:p w14:paraId="02BE6392" w14:textId="77777777" w:rsidR="00EB0D85" w:rsidRPr="00EB0D85" w:rsidRDefault="00EB0D85" w:rsidP="00EB0D85">
      <w:pPr>
        <w:pStyle w:val="Heading3"/>
      </w:pPr>
      <w:bookmarkStart w:id="166" w:name="_Toc233022258"/>
      <w:bookmarkStart w:id="167" w:name="_Toc233023021"/>
      <w:bookmarkStart w:id="168" w:name="_Toc233023356"/>
      <w:bookmarkStart w:id="169" w:name="_Toc233023479"/>
      <w:bookmarkStart w:id="170" w:name="_Toc233028655"/>
      <w:bookmarkStart w:id="171" w:name="_Toc233028849"/>
      <w:bookmarkStart w:id="172" w:name="_Toc235786073"/>
      <w:bookmarkStart w:id="173" w:name="_Toc235787404"/>
      <w:bookmarkStart w:id="174" w:name="_Toc235791542"/>
      <w:bookmarkStart w:id="175" w:name="_Toc237872645"/>
      <w:r w:rsidRPr="00EB0D85">
        <w:t>June</w:t>
      </w:r>
      <w:bookmarkEnd w:id="166"/>
      <w:bookmarkEnd w:id="167"/>
      <w:bookmarkEnd w:id="168"/>
      <w:bookmarkEnd w:id="169"/>
      <w:bookmarkEnd w:id="170"/>
      <w:bookmarkEnd w:id="171"/>
      <w:bookmarkEnd w:id="172"/>
      <w:bookmarkEnd w:id="173"/>
      <w:bookmarkEnd w:id="174"/>
      <w:bookmarkEnd w:id="175"/>
      <w:r w:rsidRPr="00EB0D85">
        <w:t xml:space="preserve"> </w:t>
      </w:r>
    </w:p>
    <w:p w14:paraId="5CFE806D" w14:textId="77777777" w:rsidR="00EB0D85" w:rsidRPr="00EB0D85" w:rsidRDefault="00EB0D85" w:rsidP="00EB0D85">
      <w:pPr>
        <w:pStyle w:val="ListParagraph"/>
        <w:numPr>
          <w:ilvl w:val="0"/>
          <w:numId w:val="12"/>
        </w:numPr>
      </w:pPr>
      <w:r w:rsidRPr="00EB0D85">
        <w:t xml:space="preserve">National Hospital Cost Data Collection Private Hospital Report 2023–24 released. </w:t>
      </w:r>
    </w:p>
    <w:p w14:paraId="2A91ABC5" w14:textId="77777777" w:rsidR="00EB0D85" w:rsidRPr="00EB0D85" w:rsidRDefault="00EB0D85" w:rsidP="00EB0D85">
      <w:pPr>
        <w:pStyle w:val="ListParagraph"/>
        <w:numPr>
          <w:ilvl w:val="0"/>
          <w:numId w:val="12"/>
        </w:numPr>
      </w:pPr>
      <w:r w:rsidRPr="00EB0D85">
        <w:t xml:space="preserve">National Hospital Cost Data Collection Public Hospital Report 2023–24 released. </w:t>
      </w:r>
    </w:p>
    <w:p w14:paraId="31776AB3" w14:textId="77777777" w:rsidR="00EB0D85" w:rsidRPr="00EB0D85" w:rsidRDefault="00EB0D85" w:rsidP="00EB0D85">
      <w:pPr>
        <w:ind w:left="360"/>
      </w:pPr>
    </w:p>
    <w:p w14:paraId="4D452F77" w14:textId="77777777" w:rsidR="00EB0D85" w:rsidRPr="00EB0D85" w:rsidRDefault="00EB0D85" w:rsidP="00EB0D85"/>
    <w:p w14:paraId="723ACB48" w14:textId="77777777" w:rsidR="00EB0D85" w:rsidRPr="00EB0D85" w:rsidRDefault="00EB0D85" w:rsidP="00EB0D85"/>
    <w:p w14:paraId="1F4CE57D" w14:textId="77777777" w:rsidR="00EB0D85" w:rsidRPr="00EB0D85" w:rsidRDefault="00EB0D85" w:rsidP="00EB0D85"/>
    <w:p w14:paraId="56BCF256" w14:textId="77777777" w:rsidR="00EB0D85" w:rsidRPr="00EB0D85" w:rsidRDefault="00EB0D85" w:rsidP="00EB0D85"/>
    <w:p w14:paraId="70DCAFDC" w14:textId="77777777" w:rsidR="00EB0D85" w:rsidRPr="00EB0D85" w:rsidRDefault="00EB0D85" w:rsidP="00EB0D85"/>
    <w:p w14:paraId="69971629" w14:textId="77777777" w:rsidR="00EB0D85" w:rsidRPr="00EB0D85" w:rsidRDefault="00EB0D85" w:rsidP="00EB0D85"/>
    <w:p w14:paraId="552994A8" w14:textId="77777777" w:rsidR="00EB0D85" w:rsidRPr="00EB0D85" w:rsidRDefault="00EB0D85" w:rsidP="00EB0D85">
      <w:pPr>
        <w:pStyle w:val="Sectionnumber"/>
        <w:rPr>
          <w:rFonts w:ascii="Arial" w:hAnsi="Arial" w:cs="Arial"/>
          <w:color w:val="15272F" w:themeColor="text1"/>
          <w:lang w:val="en-AU"/>
        </w:rPr>
      </w:pPr>
      <w:bookmarkStart w:id="176" w:name="_Toc233022259"/>
      <w:r w:rsidRPr="00EB0D85">
        <w:rPr>
          <w:rFonts w:ascii="Arial" w:hAnsi="Arial" w:cs="Arial"/>
          <w:color w:val="15272F" w:themeColor="text1"/>
          <w:lang w:val="en-AU"/>
        </w:rPr>
        <w:lastRenderedPageBreak/>
        <w:t>01</w:t>
      </w:r>
      <w:bookmarkEnd w:id="176"/>
    </w:p>
    <w:p w14:paraId="3738CE05" w14:textId="77777777" w:rsidR="00EB0D85" w:rsidRPr="00EB0D85" w:rsidRDefault="00EB0D85" w:rsidP="00EB0D85">
      <w:pPr>
        <w:pStyle w:val="Sectionnumber"/>
        <w:rPr>
          <w:b/>
          <w:sz w:val="72"/>
          <w:szCs w:val="72"/>
          <w:lang w:val="en-AU"/>
        </w:rPr>
      </w:pPr>
      <w:r w:rsidRPr="00EB0D85">
        <w:rPr>
          <w:rFonts w:ascii="Arial" w:hAnsi="Arial" w:cs="Arial"/>
          <w:color w:val="15272F" w:themeColor="text1"/>
          <w:sz w:val="72"/>
          <w:szCs w:val="72"/>
          <w:lang w:val="en-AU"/>
        </w:rPr>
        <w:t>Overview</w:t>
      </w:r>
    </w:p>
    <w:p w14:paraId="59C7D08E" w14:textId="77777777" w:rsidR="00EB0D85" w:rsidRPr="00EB0D85" w:rsidRDefault="00EB0D85" w:rsidP="00EB0D85">
      <w:pPr>
        <w:pStyle w:val="Heading1"/>
      </w:pPr>
      <w:bookmarkStart w:id="177" w:name="_Toc233022260"/>
      <w:bookmarkStart w:id="178" w:name="_Toc233023022"/>
      <w:bookmarkStart w:id="179" w:name="_Toc233023357"/>
      <w:bookmarkStart w:id="180" w:name="_Toc233028656"/>
      <w:bookmarkStart w:id="181" w:name="_Toc233028850"/>
      <w:bookmarkStart w:id="182" w:name="_Toc235787405"/>
      <w:bookmarkStart w:id="183" w:name="_Toc235791543"/>
      <w:bookmarkStart w:id="184" w:name="_Toc237872646"/>
      <w:r w:rsidRPr="00EB0D85">
        <w:lastRenderedPageBreak/>
        <w:t>1.1</w:t>
      </w:r>
      <w:r w:rsidRPr="00EB0D85">
        <w:tab/>
        <w:t>Introduction</w:t>
      </w:r>
      <w:bookmarkEnd w:id="177"/>
      <w:bookmarkEnd w:id="178"/>
      <w:bookmarkEnd w:id="179"/>
      <w:bookmarkEnd w:id="180"/>
      <w:bookmarkEnd w:id="181"/>
      <w:bookmarkEnd w:id="182"/>
      <w:bookmarkEnd w:id="183"/>
      <w:bookmarkEnd w:id="184"/>
    </w:p>
    <w:p w14:paraId="6198CD12" w14:textId="36350E08" w:rsidR="00EB0D85" w:rsidRPr="00EB0D85" w:rsidRDefault="00EB0D85" w:rsidP="00EB0D85">
      <w:pPr>
        <w:rPr>
          <w:rFonts w:cs="Arial"/>
        </w:rPr>
      </w:pPr>
      <w:r w:rsidRPr="00EB0D85">
        <w:rPr>
          <w:rFonts w:cs="Arial"/>
        </w:rPr>
        <w:t>The Independent Health and Aged Care Pricing Authority (</w:t>
      </w:r>
      <w:r w:rsidRPr="00EB0D85" w:rsidDel="00AF719D">
        <w:rPr>
          <w:rFonts w:cs="Arial"/>
        </w:rPr>
        <w:t>IH</w:t>
      </w:r>
      <w:r w:rsidRPr="00EB0D85">
        <w:rPr>
          <w:rFonts w:cs="Arial"/>
        </w:rPr>
        <w:t>AC</w:t>
      </w:r>
      <w:r w:rsidRPr="00EB0D85" w:rsidDel="00AF719D">
        <w:rPr>
          <w:rFonts w:cs="Arial"/>
        </w:rPr>
        <w:t>PA</w:t>
      </w:r>
      <w:r w:rsidRPr="00EB0D85">
        <w:rPr>
          <w:rFonts w:cs="Arial"/>
        </w:rPr>
        <w:t>)</w:t>
      </w:r>
      <w:r w:rsidRPr="00EB0D85" w:rsidDel="00AF719D">
        <w:rPr>
          <w:rFonts w:cs="Arial"/>
        </w:rPr>
        <w:t xml:space="preserve"> </w:t>
      </w:r>
      <w:r w:rsidRPr="00EB0D85">
        <w:rPr>
          <w:rFonts w:cs="Arial"/>
        </w:rPr>
        <w:t>i</w:t>
      </w:r>
      <w:r w:rsidRPr="00EB0D85" w:rsidDel="00AF719D">
        <w:rPr>
          <w:rFonts w:cs="Arial"/>
        </w:rPr>
        <w:t xml:space="preserve">s </w:t>
      </w:r>
      <w:r w:rsidRPr="00EB0D85">
        <w:rPr>
          <w:rFonts w:cs="Arial"/>
        </w:rPr>
        <w:t xml:space="preserve">an independent Commonwealth statutory authority established in 2011 under the </w:t>
      </w:r>
      <w:hyperlink r:id="rId25" w:history="1">
        <w:r w:rsidRPr="00EB0D85">
          <w:rPr>
            <w:rStyle w:val="Hyperlink"/>
            <w:rFonts w:cs="Arial"/>
            <w:i/>
            <w:iCs/>
          </w:rPr>
          <w:t>National Health Reform Act 2011</w:t>
        </w:r>
      </w:hyperlink>
      <w:r w:rsidRPr="00EB0D85">
        <w:rPr>
          <w:rFonts w:cs="Arial"/>
        </w:rPr>
        <w:t xml:space="preserve"> (NHR Act) to promote improved efficiency in, and access to, public hospital and aged care services. </w:t>
      </w:r>
      <w:r w:rsidR="00A3380F">
        <w:rPr>
          <w:rFonts w:cs="Arial"/>
        </w:rPr>
        <w:t>Our aged care functions u</w:t>
      </w:r>
      <w:r w:rsidRPr="00EB0D85">
        <w:rPr>
          <w:rFonts w:cs="Arial"/>
        </w:rPr>
        <w:t xml:space="preserve">nder the </w:t>
      </w:r>
      <w:hyperlink r:id="rId26" w:history="1">
        <w:r w:rsidRPr="00EB0D85">
          <w:rPr>
            <w:rStyle w:val="Hyperlink"/>
            <w:rFonts w:cs="Arial"/>
            <w:i/>
            <w:iCs/>
          </w:rPr>
          <w:t>Aged Care Act 2024</w:t>
        </w:r>
      </w:hyperlink>
      <w:r w:rsidR="00F54B9B">
        <w:rPr>
          <w:rFonts w:cs="Arial"/>
        </w:rPr>
        <w:t xml:space="preserve">, which was introduced on 1 November 2025 includes </w:t>
      </w:r>
      <w:r w:rsidRPr="00EB0D85">
        <w:rPr>
          <w:rFonts w:cs="Arial"/>
        </w:rPr>
        <w:t xml:space="preserve">the assessment of applications from registered providers to charge accommodation payment amounts above the maximum amount determined by the Minister for Health and Ageing. </w:t>
      </w:r>
    </w:p>
    <w:p w14:paraId="3E00248C" w14:textId="77777777" w:rsidR="00EB0D85" w:rsidRPr="00EB0D85" w:rsidRDefault="00EB0D85" w:rsidP="00EB0D85">
      <w:r w:rsidRPr="00EB0D85">
        <w:t xml:space="preserve">IHACPA is a corporate Commonwealth entity governed by the </w:t>
      </w:r>
      <w:r w:rsidRPr="00EB0D85">
        <w:rPr>
          <w:i/>
          <w:iCs/>
        </w:rPr>
        <w:t>Public Governance, Performance and Accountability Act 2013</w:t>
      </w:r>
      <w:r w:rsidRPr="00EB0D85">
        <w:t xml:space="preserve"> (PGPA Act). The Chief Executive Officer of IHACPA is the accountable authority under the PGPA Act. </w:t>
      </w:r>
    </w:p>
    <w:p w14:paraId="2686F61D" w14:textId="77777777" w:rsidR="00EB0D85" w:rsidRPr="00EB0D85" w:rsidRDefault="00EB0D85" w:rsidP="00EB0D85">
      <w:r w:rsidRPr="00EB0D85">
        <w:t xml:space="preserve">This annual report describes our operations and performance during 2025–26. The report was prepared in accordance with legislated reporting requirements under the PGPA Act. </w:t>
      </w:r>
    </w:p>
    <w:p w14:paraId="229C758D" w14:textId="77777777" w:rsidR="00EB0D85" w:rsidRPr="00EB0D85" w:rsidRDefault="00EB0D85" w:rsidP="00EB0D85">
      <w:r w:rsidRPr="00EB0D85">
        <w:t xml:space="preserve">In August 2025, we published our Strategic Plan 2025–30 outlining our vision, goals, purpose and the values that shape our work. These are outlined in </w:t>
      </w:r>
      <w:r w:rsidRPr="00EB0D85">
        <w:rPr>
          <w:b/>
          <w:bCs/>
        </w:rPr>
        <w:t>Figure 2</w:t>
      </w:r>
      <w:r w:rsidRPr="00EB0D85">
        <w:t xml:space="preserve">. </w:t>
      </w:r>
    </w:p>
    <w:p w14:paraId="675672D8" w14:textId="77777777" w:rsidR="00EB0D85" w:rsidRPr="00EB0D85" w:rsidRDefault="00EB0D85" w:rsidP="00EB0D85">
      <w:r w:rsidRPr="00EB0D85">
        <w:t xml:space="preserve">We are committed to making fair, equitable and evidence-based decisions and working with our stakeholders to reflect our broader vision for a care economy that is accessible, resilient and delivers quality outcomes for everyone. We engage stakeholders to inform policy and technical decisions, and provide clear, accessible information on the data and analysis underpinning them. Our role in the care economy is outlined in </w:t>
      </w:r>
      <w:r w:rsidRPr="00EB0D85">
        <w:rPr>
          <w:b/>
          <w:bCs/>
        </w:rPr>
        <w:t>Figure 3</w:t>
      </w:r>
      <w:r w:rsidRPr="00EB0D85">
        <w:t xml:space="preserve">. </w:t>
      </w:r>
    </w:p>
    <w:p w14:paraId="7A80B363" w14:textId="77777777" w:rsidR="00EB0D85" w:rsidRPr="00EB0D85" w:rsidRDefault="00EB0D85" w:rsidP="00EB0D85"/>
    <w:p w14:paraId="366EE4E3" w14:textId="77777777" w:rsidR="00EB0D85" w:rsidRPr="00EB0D85" w:rsidRDefault="00EB0D85" w:rsidP="00EB0D85"/>
    <w:p w14:paraId="574F9F1F" w14:textId="77777777" w:rsidR="00EB0D85" w:rsidRPr="00EB0D85" w:rsidRDefault="00EB0D85" w:rsidP="00EB0D85"/>
    <w:p w14:paraId="24984D1E" w14:textId="77777777" w:rsidR="00EB0D85" w:rsidRPr="00EB0D85" w:rsidRDefault="00EB0D85" w:rsidP="00EB0D85"/>
    <w:p w14:paraId="01D33E1C" w14:textId="77777777" w:rsidR="00EB0D85" w:rsidRPr="00EB0D85" w:rsidRDefault="00EB0D85" w:rsidP="00EB0D85"/>
    <w:p w14:paraId="257566DA" w14:textId="77777777" w:rsidR="00EB0D85" w:rsidRPr="00EB0D85" w:rsidRDefault="00EB0D85" w:rsidP="00EB0D85"/>
    <w:p w14:paraId="15EFD398" w14:textId="0EDA309B" w:rsidR="00C93CE9" w:rsidRPr="00EB0D85" w:rsidRDefault="00C93CE9" w:rsidP="006058CF"/>
    <w:p w14:paraId="2C951B2D" w14:textId="77777777" w:rsidR="00FC3951" w:rsidRPr="00EB0D85" w:rsidRDefault="00FC3951" w:rsidP="006058CF"/>
    <w:p w14:paraId="6F406696" w14:textId="0BF4C900" w:rsidR="00FC3951" w:rsidRPr="00EB0D85" w:rsidRDefault="00FC3951" w:rsidP="006058CF"/>
    <w:p w14:paraId="00302834" w14:textId="77777777" w:rsidR="00502A09" w:rsidRPr="00EB0D85" w:rsidRDefault="00502A09" w:rsidP="00F95700">
      <w:pPr>
        <w:spacing w:after="360"/>
      </w:pPr>
    </w:p>
    <w:p w14:paraId="050013B3" w14:textId="77777777" w:rsidR="00EB0D85" w:rsidRPr="00EB0D85" w:rsidRDefault="00EB0D85" w:rsidP="00F95700">
      <w:pPr>
        <w:spacing w:after="360"/>
      </w:pPr>
    </w:p>
    <w:p w14:paraId="743D2C97" w14:textId="77777777" w:rsidR="00EB0D85" w:rsidRPr="00EB0D85" w:rsidRDefault="00EB0D85" w:rsidP="00F95700">
      <w:pPr>
        <w:spacing w:after="360"/>
      </w:pPr>
    </w:p>
    <w:p w14:paraId="0255FB08" w14:textId="77777777" w:rsidR="00EB0D85" w:rsidRPr="00EB0D85" w:rsidRDefault="00EB0D85" w:rsidP="00F95700">
      <w:pPr>
        <w:spacing w:after="360"/>
        <w:rPr>
          <w:b/>
          <w:bCs/>
        </w:rPr>
      </w:pPr>
      <w:r w:rsidRPr="00EB0D85">
        <w:rPr>
          <w:b/>
          <w:bCs/>
        </w:rPr>
        <w:lastRenderedPageBreak/>
        <w:t>Figure 2: Our strategy</w:t>
      </w:r>
    </w:p>
    <w:p w14:paraId="129ED37B" w14:textId="5C9FD54D" w:rsidR="00EB0D85" w:rsidRPr="00EB0D85" w:rsidRDefault="00EB0D85" w:rsidP="00F95700">
      <w:pPr>
        <w:spacing w:after="360"/>
        <w:rPr>
          <w:b/>
          <w:bCs/>
        </w:rPr>
      </w:pPr>
      <w:r w:rsidRPr="00EB0D85">
        <w:rPr>
          <w:noProof/>
        </w:rPr>
        <w:drawing>
          <wp:anchor distT="0" distB="0" distL="114300" distR="114300" simplePos="0" relativeHeight="251663360" behindDoc="0" locked="0" layoutInCell="1" allowOverlap="1" wp14:anchorId="707B3D3E" wp14:editId="7AC6C508">
            <wp:simplePos x="0" y="0"/>
            <wp:positionH relativeFrom="margin">
              <wp:align>center</wp:align>
            </wp:positionH>
            <wp:positionV relativeFrom="paragraph">
              <wp:posOffset>4168775</wp:posOffset>
            </wp:positionV>
            <wp:extent cx="4151630" cy="3985260"/>
            <wp:effectExtent l="0" t="0" r="1270" b="0"/>
            <wp:wrapSquare wrapText="bothSides"/>
            <wp:docPr id="3675401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40189" name="Picture 367540189"/>
                    <pic:cNvPicPr/>
                  </pic:nvPicPr>
                  <pic:blipFill>
                    <a:blip r:embed="rId27">
                      <a:extLst>
                        <a:ext uri="{28A0092B-C50C-407E-A947-70E740481C1C}">
                          <a14:useLocalDpi xmlns:a14="http://schemas.microsoft.com/office/drawing/2010/main" val="0"/>
                        </a:ext>
                      </a:extLst>
                    </a:blip>
                    <a:stretch>
                      <a:fillRect/>
                    </a:stretch>
                  </pic:blipFill>
                  <pic:spPr>
                    <a:xfrm>
                      <a:off x="0" y="0"/>
                      <a:ext cx="4151630" cy="3985260"/>
                    </a:xfrm>
                    <a:prstGeom prst="rect">
                      <a:avLst/>
                    </a:prstGeom>
                  </pic:spPr>
                </pic:pic>
              </a:graphicData>
            </a:graphic>
            <wp14:sizeRelH relativeFrom="page">
              <wp14:pctWidth>0</wp14:pctWidth>
            </wp14:sizeRelH>
            <wp14:sizeRelV relativeFrom="page">
              <wp14:pctHeight>0</wp14:pctHeight>
            </wp14:sizeRelV>
          </wp:anchor>
        </w:drawing>
      </w:r>
      <w:r w:rsidRPr="00EB0D85">
        <w:rPr>
          <w:noProof/>
        </w:rPr>
        <w:drawing>
          <wp:anchor distT="0" distB="0" distL="114300" distR="114300" simplePos="0" relativeHeight="251661312" behindDoc="0" locked="0" layoutInCell="1" allowOverlap="1" wp14:anchorId="04A40E9B" wp14:editId="3F58668D">
            <wp:simplePos x="0" y="0"/>
            <wp:positionH relativeFrom="margin">
              <wp:align>left</wp:align>
            </wp:positionH>
            <wp:positionV relativeFrom="paragraph">
              <wp:posOffset>159385</wp:posOffset>
            </wp:positionV>
            <wp:extent cx="6360160" cy="3846830"/>
            <wp:effectExtent l="0" t="0" r="2540" b="1270"/>
            <wp:wrapSquare wrapText="bothSides"/>
            <wp:docPr id="1046021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21033" name="Picture 1046021033"/>
                    <pic:cNvPicPr/>
                  </pic:nvPicPr>
                  <pic:blipFill rotWithShape="1">
                    <a:blip r:embed="rId28">
                      <a:extLst>
                        <a:ext uri="{28A0092B-C50C-407E-A947-70E740481C1C}">
                          <a14:useLocalDpi xmlns:a14="http://schemas.microsoft.com/office/drawing/2010/main" val="0"/>
                        </a:ext>
                      </a:extLst>
                    </a:blip>
                    <a:srcRect l="4222" t="2212"/>
                    <a:stretch>
                      <a:fillRect/>
                    </a:stretch>
                  </pic:blipFill>
                  <pic:spPr bwMode="auto">
                    <a:xfrm>
                      <a:off x="0" y="0"/>
                      <a:ext cx="6360160" cy="3846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35E1EF" w14:textId="77777777" w:rsidR="00EB0D85" w:rsidRPr="00EB0D85" w:rsidRDefault="00EB0D85" w:rsidP="00F95700">
      <w:pPr>
        <w:spacing w:after="360"/>
      </w:pPr>
    </w:p>
    <w:p w14:paraId="59F39C82" w14:textId="77777777" w:rsidR="00EB0D85" w:rsidRPr="00EB0D85" w:rsidRDefault="00EB0D85" w:rsidP="00F95700">
      <w:pPr>
        <w:spacing w:after="360"/>
      </w:pPr>
    </w:p>
    <w:p w14:paraId="21145865" w14:textId="77777777" w:rsidR="00EB0D85" w:rsidRPr="00EB0D85" w:rsidRDefault="00EB0D85" w:rsidP="00F95700">
      <w:pPr>
        <w:spacing w:after="360"/>
      </w:pPr>
    </w:p>
    <w:p w14:paraId="3B9A5CA8" w14:textId="77777777" w:rsidR="00EB0D85" w:rsidRPr="00EB0D85" w:rsidRDefault="00EB0D85" w:rsidP="00F95700">
      <w:pPr>
        <w:spacing w:after="360"/>
      </w:pPr>
    </w:p>
    <w:p w14:paraId="01BEB52C" w14:textId="77777777" w:rsidR="00EB0D85" w:rsidRPr="00EB0D85" w:rsidRDefault="00EB0D85" w:rsidP="00F95700">
      <w:pPr>
        <w:spacing w:after="360"/>
      </w:pPr>
    </w:p>
    <w:p w14:paraId="03BC9B41" w14:textId="77777777" w:rsidR="00EB0D85" w:rsidRPr="00EB0D85" w:rsidRDefault="00EB0D85" w:rsidP="00F95700">
      <w:pPr>
        <w:spacing w:after="360"/>
      </w:pPr>
    </w:p>
    <w:p w14:paraId="16B5E840" w14:textId="77777777" w:rsidR="00EB0D85" w:rsidRPr="00EB0D85" w:rsidRDefault="00EB0D85" w:rsidP="00F95700">
      <w:pPr>
        <w:spacing w:after="360"/>
      </w:pPr>
    </w:p>
    <w:p w14:paraId="79A0C384" w14:textId="77777777" w:rsidR="00EB0D85" w:rsidRPr="00EB0D85" w:rsidRDefault="00EB0D85" w:rsidP="00F95700">
      <w:pPr>
        <w:spacing w:after="360"/>
      </w:pPr>
    </w:p>
    <w:p w14:paraId="7F125C54" w14:textId="77777777" w:rsidR="00EB0D85" w:rsidRPr="00EB0D85" w:rsidRDefault="00EB0D85" w:rsidP="00F95700">
      <w:pPr>
        <w:spacing w:after="360"/>
      </w:pPr>
    </w:p>
    <w:p w14:paraId="35451314" w14:textId="77777777" w:rsidR="00EB0D85" w:rsidRPr="00EB0D85" w:rsidRDefault="00EB0D85" w:rsidP="00F95700">
      <w:pPr>
        <w:spacing w:after="360"/>
      </w:pPr>
    </w:p>
    <w:p w14:paraId="4B040098" w14:textId="027FD031" w:rsidR="00EB0D85" w:rsidRPr="00EB0D85" w:rsidRDefault="00EB0D85" w:rsidP="00F95700">
      <w:pPr>
        <w:spacing w:after="360"/>
        <w:rPr>
          <w:b/>
          <w:bCs/>
        </w:rPr>
      </w:pPr>
      <w:r w:rsidRPr="00EB0D85">
        <w:rPr>
          <w:b/>
          <w:bCs/>
        </w:rPr>
        <w:lastRenderedPageBreak/>
        <w:t>Figure 3: Our role in the care economy</w:t>
      </w:r>
    </w:p>
    <w:p w14:paraId="1991FF11" w14:textId="7A595FDC" w:rsidR="00EB0D85" w:rsidRPr="00EB0D85" w:rsidRDefault="00EB0D85" w:rsidP="00F95700">
      <w:pPr>
        <w:spacing w:after="360"/>
        <w:rPr>
          <w:b/>
          <w:bCs/>
        </w:rPr>
      </w:pPr>
      <w:r w:rsidRPr="00EB0D85">
        <w:rPr>
          <w:noProof/>
        </w:rPr>
        <w:drawing>
          <wp:anchor distT="0" distB="0" distL="114300" distR="114300" simplePos="0" relativeHeight="251665408" behindDoc="0" locked="0" layoutInCell="1" allowOverlap="1" wp14:anchorId="5149EE33" wp14:editId="51BF694A">
            <wp:simplePos x="0" y="0"/>
            <wp:positionH relativeFrom="margin">
              <wp:align>center</wp:align>
            </wp:positionH>
            <wp:positionV relativeFrom="paragraph">
              <wp:posOffset>256540</wp:posOffset>
            </wp:positionV>
            <wp:extent cx="6607810" cy="5051425"/>
            <wp:effectExtent l="0" t="0" r="2540" b="0"/>
            <wp:wrapSquare wrapText="bothSides"/>
            <wp:docPr id="160735296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352967" name="Picture 1607352967"/>
                    <pic:cNvPicPr/>
                  </pic:nvPicPr>
                  <pic:blipFill rotWithShape="1">
                    <a:blip r:embed="rId29" cstate="print">
                      <a:extLst>
                        <a:ext uri="{28A0092B-C50C-407E-A947-70E740481C1C}">
                          <a14:useLocalDpi xmlns:a14="http://schemas.microsoft.com/office/drawing/2010/main" val="0"/>
                        </a:ext>
                      </a:extLst>
                    </a:blip>
                    <a:srcRect/>
                    <a:stretch>
                      <a:fillRect/>
                    </a:stretch>
                  </pic:blipFill>
                  <pic:spPr bwMode="auto">
                    <a:xfrm>
                      <a:off x="0" y="0"/>
                      <a:ext cx="6607810" cy="5051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7F46E4" w14:textId="77777777" w:rsidR="00EB0D85" w:rsidRPr="00EB0D85" w:rsidRDefault="00EB0D85" w:rsidP="00F95700">
      <w:pPr>
        <w:spacing w:after="360"/>
      </w:pPr>
    </w:p>
    <w:p w14:paraId="35F5CA35" w14:textId="77777777" w:rsidR="00EB0D85" w:rsidRPr="00EB0D85" w:rsidRDefault="00EB0D85" w:rsidP="00F95700">
      <w:pPr>
        <w:spacing w:after="360"/>
      </w:pPr>
    </w:p>
    <w:p w14:paraId="0E4BAC85" w14:textId="77777777" w:rsidR="00EB0D85" w:rsidRPr="00EB0D85" w:rsidRDefault="00EB0D85" w:rsidP="00F95700">
      <w:pPr>
        <w:spacing w:after="360"/>
      </w:pPr>
    </w:p>
    <w:p w14:paraId="3A2C3C97" w14:textId="77777777" w:rsidR="00EB0D85" w:rsidRPr="00EB0D85" w:rsidRDefault="00EB0D85" w:rsidP="00F95700">
      <w:pPr>
        <w:spacing w:after="360"/>
      </w:pPr>
    </w:p>
    <w:p w14:paraId="08AD3068" w14:textId="77777777" w:rsidR="00EB0D85" w:rsidRPr="00EB0D85" w:rsidRDefault="00EB0D85" w:rsidP="00F95700">
      <w:pPr>
        <w:spacing w:after="360"/>
      </w:pPr>
    </w:p>
    <w:p w14:paraId="215F0484" w14:textId="77777777" w:rsidR="00EB0D85" w:rsidRPr="00EB0D85" w:rsidRDefault="00EB0D85" w:rsidP="00F95700">
      <w:pPr>
        <w:spacing w:after="360"/>
      </w:pPr>
    </w:p>
    <w:p w14:paraId="20778114" w14:textId="77777777" w:rsidR="00EB0D85" w:rsidRPr="00EB0D85" w:rsidRDefault="00EB0D85" w:rsidP="00F95700">
      <w:pPr>
        <w:spacing w:after="360"/>
      </w:pPr>
    </w:p>
    <w:p w14:paraId="05C3A02C" w14:textId="77777777" w:rsidR="00EB0D85" w:rsidRPr="00EB0D85" w:rsidRDefault="00EB0D85" w:rsidP="00EB0D85">
      <w:pPr>
        <w:pStyle w:val="Heading1"/>
        <w:rPr>
          <w:color w:val="104F99" w:themeColor="accent2"/>
          <w:sz w:val="36"/>
          <w:szCs w:val="26"/>
        </w:rPr>
      </w:pPr>
      <w:bookmarkStart w:id="185" w:name="_Toc233022261"/>
      <w:bookmarkStart w:id="186" w:name="_Toc233023023"/>
      <w:bookmarkStart w:id="187" w:name="_Toc233023358"/>
      <w:bookmarkStart w:id="188" w:name="_Toc233028657"/>
      <w:bookmarkStart w:id="189" w:name="_Toc233028851"/>
      <w:bookmarkStart w:id="190" w:name="_Toc235787406"/>
      <w:bookmarkStart w:id="191" w:name="_Toc235791544"/>
      <w:bookmarkStart w:id="192" w:name="_Toc237872647"/>
      <w:r w:rsidRPr="00EB0D85">
        <w:lastRenderedPageBreak/>
        <w:t>1.2</w:t>
      </w:r>
      <w:r w:rsidRPr="00EB0D85">
        <w:tab/>
        <w:t>What we do</w:t>
      </w:r>
      <w:bookmarkEnd w:id="185"/>
      <w:bookmarkEnd w:id="186"/>
      <w:bookmarkEnd w:id="187"/>
      <w:bookmarkEnd w:id="188"/>
      <w:bookmarkEnd w:id="189"/>
      <w:bookmarkEnd w:id="190"/>
      <w:bookmarkEnd w:id="191"/>
      <w:bookmarkEnd w:id="192"/>
      <w:r w:rsidRPr="00EB0D85">
        <w:rPr>
          <w:color w:val="104F99" w:themeColor="accent2"/>
          <w:sz w:val="36"/>
          <w:szCs w:val="26"/>
        </w:rPr>
        <w:t xml:space="preserve"> </w:t>
      </w:r>
    </w:p>
    <w:p w14:paraId="3CE46B63" w14:textId="77777777" w:rsidR="00EB0D85" w:rsidRPr="00EB0D85" w:rsidRDefault="00EB0D85" w:rsidP="00EB0D85">
      <w:pPr>
        <w:pStyle w:val="Heading2"/>
      </w:pPr>
      <w:bookmarkStart w:id="193" w:name="_Toc233022262"/>
      <w:bookmarkStart w:id="194" w:name="_Toc233023024"/>
      <w:bookmarkStart w:id="195" w:name="_Toc233023359"/>
      <w:bookmarkStart w:id="196" w:name="_Toc233028658"/>
      <w:bookmarkStart w:id="197" w:name="_Toc233028852"/>
      <w:bookmarkStart w:id="198" w:name="_Toc235787407"/>
      <w:bookmarkStart w:id="199" w:name="_Toc235791545"/>
      <w:bookmarkStart w:id="200" w:name="_Toc237872648"/>
      <w:r w:rsidRPr="00EB0D85">
        <w:t>Functions</w:t>
      </w:r>
      <w:bookmarkEnd w:id="193"/>
      <w:bookmarkEnd w:id="194"/>
      <w:bookmarkEnd w:id="195"/>
      <w:bookmarkEnd w:id="196"/>
      <w:bookmarkEnd w:id="197"/>
      <w:bookmarkEnd w:id="198"/>
      <w:bookmarkEnd w:id="199"/>
      <w:bookmarkEnd w:id="200"/>
    </w:p>
    <w:p w14:paraId="21F87FAC" w14:textId="77777777" w:rsidR="00EB0D85" w:rsidRPr="00EB0D85" w:rsidRDefault="00EB0D85" w:rsidP="00EB0D85">
      <w:pPr>
        <w:pStyle w:val="Heading3"/>
        <w:rPr>
          <w:rFonts w:eastAsia="Fira Sans regular"/>
        </w:rPr>
      </w:pPr>
      <w:bookmarkStart w:id="201" w:name="_Toc233022263"/>
      <w:bookmarkStart w:id="202" w:name="_Toc233023025"/>
      <w:bookmarkStart w:id="203" w:name="_Toc233023360"/>
      <w:bookmarkStart w:id="204" w:name="_Toc233023483"/>
      <w:bookmarkStart w:id="205" w:name="_Toc233028659"/>
      <w:bookmarkStart w:id="206" w:name="_Toc233028853"/>
      <w:bookmarkStart w:id="207" w:name="_Toc235787408"/>
      <w:bookmarkStart w:id="208" w:name="_Toc235791546"/>
      <w:bookmarkStart w:id="209" w:name="_Toc237872649"/>
      <w:r w:rsidRPr="00EB0D85">
        <w:rPr>
          <w:rFonts w:eastAsia="Fira Sans regular"/>
        </w:rPr>
        <w:t>Public hospitals</w:t>
      </w:r>
      <w:bookmarkEnd w:id="201"/>
      <w:bookmarkEnd w:id="202"/>
      <w:bookmarkEnd w:id="203"/>
      <w:bookmarkEnd w:id="204"/>
      <w:bookmarkEnd w:id="205"/>
      <w:bookmarkEnd w:id="206"/>
      <w:bookmarkEnd w:id="207"/>
      <w:bookmarkEnd w:id="208"/>
      <w:bookmarkEnd w:id="209"/>
    </w:p>
    <w:p w14:paraId="5546A0A1" w14:textId="77777777" w:rsidR="00EB0D85" w:rsidRPr="00EB0D85" w:rsidRDefault="00EB0D85" w:rsidP="00EB0D85">
      <w:pPr>
        <w:spacing w:after="120" w:line="256" w:lineRule="auto"/>
        <w:rPr>
          <w:rFonts w:eastAsia="Fira Sans regular" w:cs="Arial"/>
        </w:rPr>
      </w:pPr>
      <w:r w:rsidRPr="00EB0D85">
        <w:rPr>
          <w:rFonts w:eastAsia="Fira Sans regular" w:cs="Arial"/>
        </w:rPr>
        <w:t>Our role in pricing and funding for public hospital services includes:</w:t>
      </w:r>
    </w:p>
    <w:p w14:paraId="118D34B5" w14:textId="77777777" w:rsidR="00EB0D85" w:rsidRPr="00EB0D85" w:rsidRDefault="00EB0D85" w:rsidP="00EB0D85">
      <w:pPr>
        <w:pStyle w:val="ListLevel1"/>
      </w:pPr>
      <w:r w:rsidRPr="00EB0D85">
        <w:t>determining the national efficient price (NEP) for health care services provided by public hospitals where the services are funded on an activity basis</w:t>
      </w:r>
    </w:p>
    <w:p w14:paraId="712BACA9" w14:textId="77777777" w:rsidR="00EB0D85" w:rsidRPr="00EB0D85" w:rsidRDefault="00EB0D85" w:rsidP="00EB0D85">
      <w:pPr>
        <w:pStyle w:val="ListLevel1"/>
      </w:pPr>
      <w:r w:rsidRPr="00EB0D85">
        <w:t>determining the national efficient cost (NEC) for health care services provided by public hospitals where the services are block funded</w:t>
      </w:r>
    </w:p>
    <w:p w14:paraId="338BD657" w14:textId="5C986A88" w:rsidR="00EB0D85" w:rsidRPr="00EB0D85" w:rsidRDefault="00EB0D85" w:rsidP="00EB0D85">
      <w:pPr>
        <w:pStyle w:val="ListLevel1"/>
      </w:pPr>
      <w:r w:rsidRPr="00EB0D85">
        <w:t>developing block funding criteria and determining which hospitals, services and functions are eligible for block funding or a combination of activity-based funding and block funding</w:t>
      </w:r>
    </w:p>
    <w:p w14:paraId="16AAA6B1" w14:textId="77777777" w:rsidR="00EB0D85" w:rsidRPr="00EB0D85" w:rsidRDefault="00EB0D85" w:rsidP="00EB0D85">
      <w:pPr>
        <w:pStyle w:val="ListLevel1"/>
        <w:ind w:hanging="357"/>
      </w:pPr>
      <w:r w:rsidRPr="00EB0D85">
        <w:t>developing and specifying classification systems for health care and other services provided by public hospitals</w:t>
      </w:r>
    </w:p>
    <w:p w14:paraId="2BC99B09" w14:textId="77777777" w:rsidR="00EB0D85" w:rsidRPr="00EB0D85" w:rsidRDefault="00EB0D85" w:rsidP="00EB0D85">
      <w:pPr>
        <w:pStyle w:val="ListLevel1"/>
      </w:pPr>
      <w:r w:rsidRPr="00EB0D85">
        <w:t>determining adjustments to the NEP to reflect legitimate and unavoidable variations in the costs of delivering health care services</w:t>
      </w:r>
    </w:p>
    <w:p w14:paraId="704D6DBA" w14:textId="77777777" w:rsidR="00EB0D85" w:rsidRPr="00EB0D85" w:rsidRDefault="00EB0D85" w:rsidP="00EB0D85">
      <w:pPr>
        <w:pStyle w:val="ListLevel1"/>
      </w:pPr>
      <w:r w:rsidRPr="00EB0D85">
        <w:t>determining data requirements, and the data and coding standards that apply to data provided by jurisdictions, including standards and requirements for:</w:t>
      </w:r>
    </w:p>
    <w:p w14:paraId="65776105" w14:textId="77777777" w:rsidR="00EB0D85" w:rsidRPr="00EB0D85" w:rsidRDefault="00EB0D85" w:rsidP="00EB0D85">
      <w:pPr>
        <w:pStyle w:val="ListLevel1"/>
        <w:numPr>
          <w:ilvl w:val="2"/>
          <w:numId w:val="7"/>
        </w:numPr>
      </w:pPr>
      <w:r w:rsidRPr="00EB0D85">
        <w:t>consistent provision of data across jurisdictions</w:t>
      </w:r>
    </w:p>
    <w:p w14:paraId="2FD1DEC0" w14:textId="77777777" w:rsidR="00EB0D85" w:rsidRPr="00EB0D85" w:rsidRDefault="00EB0D85" w:rsidP="00EB0D85">
      <w:pPr>
        <w:pStyle w:val="ListLevel1"/>
        <w:numPr>
          <w:ilvl w:val="2"/>
          <w:numId w:val="7"/>
        </w:numPr>
      </w:pPr>
      <w:r w:rsidRPr="00EB0D85">
        <w:t xml:space="preserve">patient demographic characteristics and other information needed to classify, cost and fund public hospital functions </w:t>
      </w:r>
    </w:p>
    <w:p w14:paraId="215B2EBD" w14:textId="77777777" w:rsidR="00EB0D85" w:rsidRPr="00EB0D85" w:rsidRDefault="00EB0D85" w:rsidP="00EB0D85">
      <w:pPr>
        <w:pStyle w:val="ListLevel1"/>
        <w:numPr>
          <w:ilvl w:val="2"/>
          <w:numId w:val="7"/>
        </w:numPr>
      </w:pPr>
      <w:r w:rsidRPr="00EB0D85">
        <w:t xml:space="preserve">determining which public hospital functions are to be funded by the state or territory or by the Commonwealth – except where agreements are made between the Commonwealth and a state or territory. </w:t>
      </w:r>
    </w:p>
    <w:p w14:paraId="421CCAF9" w14:textId="77777777" w:rsidR="00EB0D85" w:rsidRPr="00EB0D85" w:rsidRDefault="00EB0D85" w:rsidP="00EB0D85">
      <w:r w:rsidRPr="00EB0D85">
        <w:t>On 27 February 2026, the Australian Government and all state and territory governments signed the Addendum to the National Health Reform Agreement (NHRA) 2026</w:t>
      </w:r>
      <w:r w:rsidRPr="00EB0D85">
        <w:rPr>
          <w:rFonts w:cs="Arial"/>
        </w:rPr>
        <w:t>–</w:t>
      </w:r>
      <w:r w:rsidRPr="00EB0D85">
        <w:t xml:space="preserve">2031 (the addendum). </w:t>
      </w:r>
    </w:p>
    <w:p w14:paraId="65A382C7" w14:textId="77777777" w:rsidR="00EB0D85" w:rsidRPr="00EB0D85" w:rsidRDefault="00EB0D85" w:rsidP="00EB0D85">
      <w:r w:rsidRPr="00EB0D85">
        <w:t xml:space="preserve">The addendum provides an ambitious and broader system reform agenda, responding to increasing and persistent system pressures and demographic changes. </w:t>
      </w:r>
    </w:p>
    <w:p w14:paraId="4CDD01B5" w14:textId="77777777" w:rsidR="00EB0D85" w:rsidRPr="00EB0D85" w:rsidRDefault="00EB0D85" w:rsidP="00EB0D85">
      <w:r w:rsidRPr="00EB0D85">
        <w:t>The addendum also reaffirms IHACPA’s determinative functions under the NHR Act and introduces significant reforms, including:</w:t>
      </w:r>
    </w:p>
    <w:p w14:paraId="5597486E" w14:textId="77777777" w:rsidR="00EB0D85" w:rsidRPr="00EB0D85" w:rsidRDefault="00EB0D85" w:rsidP="00EB0D85">
      <w:pPr>
        <w:pStyle w:val="ListParagraph"/>
        <w:numPr>
          <w:ilvl w:val="0"/>
          <w:numId w:val="15"/>
        </w:numPr>
      </w:pPr>
      <w:r w:rsidRPr="00EB0D85">
        <w:t>articulating a broader reform vision focused on equity, productivity, sustainability and person-centred care</w:t>
      </w:r>
    </w:p>
    <w:p w14:paraId="27C28F56" w14:textId="77777777" w:rsidR="00EB0D85" w:rsidRPr="00EB0D85" w:rsidRDefault="00EB0D85" w:rsidP="00EB0D85">
      <w:pPr>
        <w:pStyle w:val="ListParagraph"/>
        <w:numPr>
          <w:ilvl w:val="0"/>
          <w:numId w:val="15"/>
        </w:numPr>
      </w:pPr>
      <w:r w:rsidRPr="00EB0D85">
        <w:t xml:space="preserve">new models of care and alternative payment approaches </w:t>
      </w:r>
    </w:p>
    <w:p w14:paraId="6E0194E1" w14:textId="77777777" w:rsidR="00EB0D85" w:rsidRPr="00EB0D85" w:rsidRDefault="00EB0D85" w:rsidP="00EB0D85">
      <w:pPr>
        <w:pStyle w:val="ListParagraph"/>
        <w:numPr>
          <w:ilvl w:val="0"/>
          <w:numId w:val="15"/>
        </w:numPr>
      </w:pPr>
      <w:r w:rsidRPr="00EB0D85">
        <w:t>expansion of in-scope services beyond the hospital setting</w:t>
      </w:r>
    </w:p>
    <w:p w14:paraId="4DB9763F" w14:textId="77777777" w:rsidR="00EB0D85" w:rsidRPr="00EB0D85" w:rsidRDefault="00EB0D85" w:rsidP="00EB0D85">
      <w:pPr>
        <w:pStyle w:val="ListParagraph"/>
        <w:numPr>
          <w:ilvl w:val="0"/>
          <w:numId w:val="15"/>
        </w:numPr>
      </w:pPr>
      <w:r w:rsidRPr="00EB0D85">
        <w:t>new funding streams to trial, scale and embed innovation</w:t>
      </w:r>
    </w:p>
    <w:p w14:paraId="5EFA2820" w14:textId="77777777" w:rsidR="00EB0D85" w:rsidRPr="00EB0D85" w:rsidRDefault="00EB0D85" w:rsidP="00EB0D85">
      <w:pPr>
        <w:pStyle w:val="ListParagraph"/>
        <w:numPr>
          <w:ilvl w:val="0"/>
          <w:numId w:val="15"/>
        </w:numPr>
      </w:pPr>
      <w:r w:rsidRPr="00EB0D85">
        <w:t xml:space="preserve">Closing the Gap commitments embedded through governance and policy as core principles. </w:t>
      </w:r>
    </w:p>
    <w:p w14:paraId="3DE23A47" w14:textId="77777777" w:rsidR="00EB0D85" w:rsidRPr="00EB0D85" w:rsidRDefault="00EB0D85" w:rsidP="00EB0D85">
      <w:r w:rsidRPr="00EB0D85">
        <w:t xml:space="preserve">We are developing an implementation roadmap to manage our responsibilities under the addendum, which commence on 1 July 2026.  </w:t>
      </w:r>
    </w:p>
    <w:p w14:paraId="2AE289CA" w14:textId="77777777" w:rsidR="00EB0D85" w:rsidRPr="00EB0D85" w:rsidRDefault="00EB0D85" w:rsidP="00EB0D85">
      <w:r w:rsidRPr="00EB0D85">
        <w:lastRenderedPageBreak/>
        <w:t>This annual report describes the operations and performance of IHACPA during the 2025–26 financial year and is based on the requirements set out in the NHR Act and the Addendum to the NHRA 2020–26.</w:t>
      </w:r>
    </w:p>
    <w:p w14:paraId="4FCCD59C" w14:textId="77777777" w:rsidR="00EB0D85" w:rsidRPr="00EB0D85" w:rsidRDefault="00EB0D85" w:rsidP="00EB0D85">
      <w:pPr>
        <w:pStyle w:val="Heading3"/>
        <w:rPr>
          <w:rFonts w:eastAsia="Fira Sans regular"/>
        </w:rPr>
      </w:pPr>
      <w:bookmarkStart w:id="210" w:name="_Toc233022264"/>
      <w:bookmarkStart w:id="211" w:name="_Toc233023026"/>
      <w:bookmarkStart w:id="212" w:name="_Toc233023361"/>
      <w:bookmarkStart w:id="213" w:name="_Toc233023484"/>
      <w:bookmarkStart w:id="214" w:name="_Toc233028660"/>
      <w:bookmarkStart w:id="215" w:name="_Toc233028854"/>
      <w:bookmarkStart w:id="216" w:name="_Toc235787409"/>
      <w:bookmarkStart w:id="217" w:name="_Toc235791547"/>
      <w:bookmarkStart w:id="218" w:name="_Toc237872650"/>
      <w:r w:rsidRPr="00EB0D85">
        <w:rPr>
          <w:rFonts w:eastAsia="Fira Sans regular"/>
        </w:rPr>
        <w:t>Aged care</w:t>
      </w:r>
      <w:bookmarkEnd w:id="210"/>
      <w:bookmarkEnd w:id="211"/>
      <w:bookmarkEnd w:id="212"/>
      <w:bookmarkEnd w:id="213"/>
      <w:bookmarkEnd w:id="214"/>
      <w:bookmarkEnd w:id="215"/>
      <w:bookmarkEnd w:id="216"/>
      <w:bookmarkEnd w:id="217"/>
      <w:bookmarkEnd w:id="218"/>
    </w:p>
    <w:p w14:paraId="002BA99A" w14:textId="77777777" w:rsidR="00EB0D85" w:rsidRPr="00EB0D85" w:rsidRDefault="00EB0D85" w:rsidP="00EB0D85">
      <w:r w:rsidRPr="00EB0D85">
        <w:t>Our aged care pricing and costing functions include:</w:t>
      </w:r>
    </w:p>
    <w:p w14:paraId="261629F3" w14:textId="77777777" w:rsidR="00EB0D85" w:rsidRPr="00EB0D85" w:rsidRDefault="00EB0D85" w:rsidP="00EB0D85">
      <w:pPr>
        <w:pStyle w:val="ListLevel1"/>
      </w:pPr>
      <w:r w:rsidRPr="00EB0D85">
        <w:t>providing aged care pricing advice about changes in the cost of care and methods for calculating subsidies payable for aged care services</w:t>
      </w:r>
    </w:p>
    <w:p w14:paraId="3B54212D" w14:textId="77777777" w:rsidR="00EB0D85" w:rsidRPr="00EB0D85" w:rsidRDefault="00EB0D85" w:rsidP="00EB0D85">
      <w:pPr>
        <w:pStyle w:val="ListLevel1"/>
      </w:pPr>
      <w:r w:rsidRPr="00EB0D85">
        <w:t>reviewing data, conducting studies and undertaking consultation to inform aged care pricing and costing advice</w:t>
      </w:r>
    </w:p>
    <w:p w14:paraId="258991AB" w14:textId="77777777" w:rsidR="00EB0D85" w:rsidRPr="00EB0D85" w:rsidRDefault="00EB0D85" w:rsidP="00EB0D85">
      <w:pPr>
        <w:pStyle w:val="ListLevel1"/>
      </w:pPr>
      <w:r w:rsidRPr="00EB0D85">
        <w:t xml:space="preserve">performing functions conferred by the </w:t>
      </w:r>
      <w:r w:rsidRPr="00EB0D85">
        <w:rPr>
          <w:rFonts w:eastAsia="Fira Sans regular" w:cs="Arial"/>
          <w:i/>
          <w:iCs/>
        </w:rPr>
        <w:t>Aged Care Act 2024</w:t>
      </w:r>
      <w:r w:rsidRPr="00EB0D85">
        <w:rPr>
          <w:rStyle w:val="FootnoteReference"/>
        </w:rPr>
        <w:footnoteReference w:id="1"/>
      </w:r>
      <w:r w:rsidRPr="00EB0D85">
        <w:t xml:space="preserve"> and the Aged Care Rules 2025, including the assessment of applications from registered providers to charge accommodation payment amounts above the maximum amount determined by the Minister for Health and Ageing </w:t>
      </w:r>
    </w:p>
    <w:p w14:paraId="29A60A30" w14:textId="77777777" w:rsidR="00EB0D85" w:rsidRPr="00EB0D85" w:rsidRDefault="00EB0D85" w:rsidP="00EB0D85">
      <w:pPr>
        <w:pStyle w:val="ListLevel1"/>
      </w:pPr>
      <w:r w:rsidRPr="00EB0D85">
        <w:t>performing other functions relating to aged care specified in regulations</w:t>
      </w:r>
    </w:p>
    <w:p w14:paraId="61E1AEB3" w14:textId="77777777" w:rsidR="00EB0D85" w:rsidRPr="00EB0D85" w:rsidRDefault="00EB0D85" w:rsidP="00EB0D85">
      <w:pPr>
        <w:pStyle w:val="ListLevel1"/>
      </w:pPr>
      <w:r w:rsidRPr="00EB0D85">
        <w:t>undertaking other actions incidental or conducive to the performance of these functions.</w:t>
      </w:r>
    </w:p>
    <w:p w14:paraId="29F7EC02" w14:textId="77777777" w:rsidR="00EB0D85" w:rsidRPr="00EB0D85" w:rsidRDefault="00EB0D85" w:rsidP="00EB0D85">
      <w:pPr>
        <w:pStyle w:val="Heading3"/>
        <w:rPr>
          <w:rFonts w:eastAsia="Fira Sans regular"/>
        </w:rPr>
      </w:pPr>
      <w:bookmarkStart w:id="219" w:name="_Toc233022265"/>
      <w:bookmarkStart w:id="220" w:name="_Toc233023027"/>
      <w:bookmarkStart w:id="221" w:name="_Toc233023362"/>
      <w:bookmarkStart w:id="222" w:name="_Toc233028661"/>
      <w:bookmarkStart w:id="223" w:name="_Toc233028855"/>
      <w:bookmarkStart w:id="224" w:name="_Toc235787410"/>
      <w:bookmarkStart w:id="225" w:name="_Toc235791548"/>
      <w:bookmarkStart w:id="226" w:name="_Toc237872651"/>
      <w:r w:rsidRPr="00EB0D85">
        <w:rPr>
          <w:rFonts w:eastAsia="Fira Sans regular"/>
        </w:rPr>
        <w:t>Provision of advice to the Australian Government on other health care pricing or costing matters</w:t>
      </w:r>
      <w:bookmarkEnd w:id="219"/>
      <w:bookmarkEnd w:id="220"/>
      <w:bookmarkEnd w:id="221"/>
      <w:bookmarkEnd w:id="222"/>
      <w:bookmarkEnd w:id="223"/>
      <w:bookmarkEnd w:id="224"/>
      <w:bookmarkEnd w:id="225"/>
      <w:bookmarkEnd w:id="226"/>
      <w:r w:rsidRPr="00EB0D85">
        <w:rPr>
          <w:rFonts w:eastAsia="Fira Sans regular"/>
        </w:rPr>
        <w:t xml:space="preserve"> </w:t>
      </w:r>
    </w:p>
    <w:p w14:paraId="2725E08B" w14:textId="77777777" w:rsidR="00EB0D85" w:rsidRPr="00EB0D85" w:rsidRDefault="00EB0D85" w:rsidP="00EB0D85">
      <w:r w:rsidRPr="00EB0D85">
        <w:t xml:space="preserve">IHACPA also advises the Australian Government on other health care pricing or costing matters. </w:t>
      </w:r>
    </w:p>
    <w:p w14:paraId="732409D6" w14:textId="77777777" w:rsidR="00EB0D85" w:rsidRPr="00EB0D85" w:rsidRDefault="00EB0D85" w:rsidP="00EB0D85">
      <w:pPr>
        <w:pStyle w:val="Heading4"/>
      </w:pPr>
      <w:bookmarkStart w:id="227" w:name="_Toc233023486"/>
      <w:bookmarkStart w:id="228" w:name="_Toc233028662"/>
      <w:r w:rsidRPr="00EB0D85">
        <w:t>Investigate costs of radiation oncology services</w:t>
      </w:r>
      <w:bookmarkEnd w:id="227"/>
      <w:bookmarkEnd w:id="228"/>
    </w:p>
    <w:p w14:paraId="489A52AC" w14:textId="77777777" w:rsidR="00EB0D85" w:rsidRPr="00EB0D85" w:rsidRDefault="00EB0D85" w:rsidP="00EB0D85">
      <w:r w:rsidRPr="00EB0D85">
        <w:t xml:space="preserve">In June 2025, the Minister for Health and Ageing requested that we investigate a reported disparity in the cost and funding of radiation oncology services under the NHRA. </w:t>
      </w:r>
    </w:p>
    <w:p w14:paraId="63627B1B" w14:textId="77777777" w:rsidR="00EB0D85" w:rsidRPr="00EB0D85" w:rsidRDefault="00EB0D85" w:rsidP="00EB0D85">
      <w:r w:rsidRPr="00EB0D85">
        <w:t xml:space="preserve">This work aims to identify the true and full costs of public radiation oncology services and to consider the results of that cost review in relation to radiation oncology price weights determined by the Pricing Authority as part of its NEP determination. </w:t>
      </w:r>
    </w:p>
    <w:p w14:paraId="5419A6DB" w14:textId="77777777" w:rsidR="00EB0D85" w:rsidRPr="00EB0D85" w:rsidRDefault="00EB0D85" w:rsidP="00EB0D85">
      <w:r w:rsidRPr="00EB0D85">
        <w:t xml:space="preserve">The project commenced in November 2025 and is expected to be completed by March 2027. </w:t>
      </w:r>
    </w:p>
    <w:p w14:paraId="7722F68C" w14:textId="77777777" w:rsidR="00EB0D85" w:rsidRPr="00EB0D85" w:rsidRDefault="00EB0D85" w:rsidP="00EB0D85">
      <w:pPr>
        <w:pStyle w:val="Heading2"/>
      </w:pPr>
      <w:bookmarkStart w:id="229" w:name="_Toc233022266"/>
      <w:bookmarkStart w:id="230" w:name="_Toc233023028"/>
      <w:bookmarkStart w:id="231" w:name="_Toc233023363"/>
      <w:bookmarkStart w:id="232" w:name="_Toc233028663"/>
      <w:bookmarkStart w:id="233" w:name="_Toc233028856"/>
      <w:bookmarkStart w:id="234" w:name="_Toc235787411"/>
      <w:bookmarkStart w:id="235" w:name="_Toc235791549"/>
      <w:bookmarkStart w:id="236" w:name="_Toc237872652"/>
      <w:r w:rsidRPr="00EB0D85">
        <w:t>Responsible minister</w:t>
      </w:r>
      <w:bookmarkEnd w:id="229"/>
      <w:bookmarkEnd w:id="230"/>
      <w:bookmarkEnd w:id="231"/>
      <w:bookmarkEnd w:id="232"/>
      <w:bookmarkEnd w:id="233"/>
      <w:bookmarkEnd w:id="234"/>
      <w:bookmarkEnd w:id="235"/>
      <w:bookmarkEnd w:id="236"/>
      <w:r w:rsidRPr="00EB0D85">
        <w:t xml:space="preserve"> </w:t>
      </w:r>
    </w:p>
    <w:p w14:paraId="135954A5" w14:textId="77777777" w:rsidR="00EB0D85" w:rsidRPr="00EB0D85" w:rsidRDefault="00EB0D85" w:rsidP="00EB0D85">
      <w:r w:rsidRPr="00EB0D85">
        <w:t>IHACPA sits within the Australian Government Health, Disability and Ageing portfolio.</w:t>
      </w:r>
    </w:p>
    <w:p w14:paraId="6510F41D" w14:textId="77777777" w:rsidR="00EB0D85" w:rsidRPr="00EB0D85" w:rsidRDefault="00EB0D85" w:rsidP="00EB0D85">
      <w:r w:rsidRPr="00EB0D85">
        <w:t xml:space="preserve">The ministers responsible from 1 July 2025 to 30 June 2026 were the Hon Mark Butler MP, Minister for Health and Ageing and the Hon Sam Rae, Minister for Aged Care and Seniors. </w:t>
      </w:r>
    </w:p>
    <w:p w14:paraId="5671E2E3" w14:textId="77777777" w:rsidR="00EB0D85" w:rsidRPr="00EB0D85" w:rsidRDefault="00EB0D85" w:rsidP="00EB0D85">
      <w:pPr>
        <w:pStyle w:val="Heading2"/>
      </w:pPr>
      <w:bookmarkStart w:id="237" w:name="_Toc233022267"/>
      <w:bookmarkStart w:id="238" w:name="_Toc233023029"/>
      <w:bookmarkStart w:id="239" w:name="_Toc233023364"/>
      <w:bookmarkStart w:id="240" w:name="_Toc233028664"/>
      <w:bookmarkStart w:id="241" w:name="_Toc233028857"/>
      <w:bookmarkStart w:id="242" w:name="_Toc235787412"/>
      <w:bookmarkStart w:id="243" w:name="_Toc235791550"/>
      <w:bookmarkStart w:id="244" w:name="_Toc237872653"/>
      <w:r w:rsidRPr="00EB0D85">
        <w:lastRenderedPageBreak/>
        <w:t>Ministerial directions and government policy orders</w:t>
      </w:r>
      <w:bookmarkEnd w:id="237"/>
      <w:bookmarkEnd w:id="238"/>
      <w:bookmarkEnd w:id="239"/>
      <w:bookmarkEnd w:id="240"/>
      <w:bookmarkEnd w:id="241"/>
      <w:bookmarkEnd w:id="242"/>
      <w:bookmarkEnd w:id="243"/>
      <w:bookmarkEnd w:id="244"/>
    </w:p>
    <w:p w14:paraId="6A19FCF2" w14:textId="4389F58A" w:rsidR="00EB0D85" w:rsidRPr="00EB0D85" w:rsidRDefault="00EB0D85" w:rsidP="00EB0D85">
      <w:r w:rsidRPr="00EB0D85">
        <w:t xml:space="preserve">We received a request from the Minister for Health and </w:t>
      </w:r>
      <w:r w:rsidR="00C63468">
        <w:t>Ageing</w:t>
      </w:r>
      <w:r w:rsidRPr="00EB0D85">
        <w:t xml:space="preserve"> in October 2025 for pricing advice for each service and sub-service type on the Support at Home service list, applicable from 1 July 2026.  </w:t>
      </w:r>
    </w:p>
    <w:p w14:paraId="0209D1FE" w14:textId="77777777" w:rsidR="00EB0D85" w:rsidRPr="00EB0D85" w:rsidRDefault="00EB0D85" w:rsidP="00EB0D85"/>
    <w:p w14:paraId="6AB18F21" w14:textId="77777777" w:rsidR="00EB0D85" w:rsidRPr="00EB0D85" w:rsidRDefault="00EB0D85" w:rsidP="00F95700">
      <w:pPr>
        <w:spacing w:after="360"/>
      </w:pPr>
    </w:p>
    <w:p w14:paraId="27227EBE" w14:textId="77777777" w:rsidR="00EB0D85" w:rsidRPr="00EB0D85" w:rsidRDefault="00EB0D85" w:rsidP="00F95700">
      <w:pPr>
        <w:spacing w:after="360"/>
      </w:pPr>
    </w:p>
    <w:p w14:paraId="4BC8A6DE" w14:textId="77777777" w:rsidR="00EB0D85" w:rsidRPr="00EB0D85" w:rsidRDefault="00EB0D85" w:rsidP="00F95700">
      <w:pPr>
        <w:spacing w:after="360"/>
      </w:pPr>
    </w:p>
    <w:p w14:paraId="4E7E5F53" w14:textId="77777777" w:rsidR="00EB0D85" w:rsidRPr="00EB0D85" w:rsidRDefault="00EB0D85" w:rsidP="00F95700">
      <w:pPr>
        <w:spacing w:after="360"/>
      </w:pPr>
    </w:p>
    <w:p w14:paraId="0545DEE9" w14:textId="77777777" w:rsidR="00EB0D85" w:rsidRPr="00EB0D85" w:rsidRDefault="00EB0D85" w:rsidP="00F95700">
      <w:pPr>
        <w:spacing w:after="360"/>
      </w:pPr>
    </w:p>
    <w:p w14:paraId="68C3DD39" w14:textId="77777777" w:rsidR="00EB0D85" w:rsidRPr="00EB0D85" w:rsidRDefault="00EB0D85" w:rsidP="00F95700">
      <w:pPr>
        <w:spacing w:after="360"/>
      </w:pPr>
    </w:p>
    <w:p w14:paraId="6125FDB2" w14:textId="77777777" w:rsidR="00EB0D85" w:rsidRPr="00EB0D85" w:rsidRDefault="00EB0D85" w:rsidP="00F95700">
      <w:pPr>
        <w:spacing w:after="360"/>
      </w:pPr>
    </w:p>
    <w:p w14:paraId="712C7DC9" w14:textId="77777777" w:rsidR="00EB0D85" w:rsidRPr="00EB0D85" w:rsidRDefault="00EB0D85" w:rsidP="00F95700">
      <w:pPr>
        <w:spacing w:after="360"/>
      </w:pPr>
    </w:p>
    <w:p w14:paraId="53E1EEDF" w14:textId="77777777" w:rsidR="00EB0D85" w:rsidRPr="00EB0D85" w:rsidRDefault="00EB0D85" w:rsidP="00F95700">
      <w:pPr>
        <w:spacing w:after="360"/>
      </w:pPr>
    </w:p>
    <w:p w14:paraId="16811419" w14:textId="77777777" w:rsidR="00EB0D85" w:rsidRPr="00EB0D85" w:rsidRDefault="00EB0D85" w:rsidP="00F95700">
      <w:pPr>
        <w:spacing w:after="360"/>
      </w:pPr>
    </w:p>
    <w:p w14:paraId="48770BD5" w14:textId="77777777" w:rsidR="00EB0D85" w:rsidRPr="00EB0D85" w:rsidRDefault="00EB0D85" w:rsidP="00F95700">
      <w:pPr>
        <w:spacing w:after="360"/>
      </w:pPr>
    </w:p>
    <w:p w14:paraId="1B110255" w14:textId="77777777" w:rsidR="00EB0D85" w:rsidRPr="00EB0D85" w:rsidRDefault="00EB0D85" w:rsidP="00F95700">
      <w:pPr>
        <w:spacing w:after="360"/>
      </w:pPr>
    </w:p>
    <w:p w14:paraId="07DAEA94" w14:textId="77777777" w:rsidR="00EB0D85" w:rsidRPr="00EB0D85" w:rsidRDefault="00EB0D85" w:rsidP="00F95700">
      <w:pPr>
        <w:spacing w:after="360"/>
      </w:pPr>
    </w:p>
    <w:p w14:paraId="032A9A71" w14:textId="77777777" w:rsidR="00EB0D85" w:rsidRPr="00EB0D85" w:rsidRDefault="00EB0D85" w:rsidP="00F95700">
      <w:pPr>
        <w:spacing w:after="360"/>
      </w:pPr>
    </w:p>
    <w:p w14:paraId="31215033" w14:textId="77777777" w:rsidR="00EB0D85" w:rsidRPr="00EB0D85" w:rsidRDefault="00EB0D85" w:rsidP="00F95700">
      <w:pPr>
        <w:spacing w:after="360"/>
      </w:pPr>
    </w:p>
    <w:p w14:paraId="58615358" w14:textId="77777777" w:rsidR="00EB0D85" w:rsidRPr="00EB0D85" w:rsidRDefault="00EB0D85" w:rsidP="00F95700">
      <w:pPr>
        <w:spacing w:after="360"/>
      </w:pPr>
    </w:p>
    <w:p w14:paraId="7E4ED3DB" w14:textId="77777777" w:rsidR="00EB0D85" w:rsidRPr="00EB0D85" w:rsidRDefault="00EB0D85" w:rsidP="00F95700">
      <w:pPr>
        <w:spacing w:after="360"/>
      </w:pPr>
    </w:p>
    <w:p w14:paraId="13A1F574" w14:textId="77777777" w:rsidR="00EB0D85" w:rsidRPr="00EB0D85" w:rsidRDefault="00EB0D85" w:rsidP="00F95700">
      <w:pPr>
        <w:spacing w:after="360"/>
      </w:pPr>
    </w:p>
    <w:p w14:paraId="2ACE12F7" w14:textId="77777777" w:rsidR="00EB0D85" w:rsidRPr="00EB0D85" w:rsidRDefault="00EB0D85" w:rsidP="00EB0D85">
      <w:pPr>
        <w:pStyle w:val="Heading1"/>
      </w:pPr>
      <w:bookmarkStart w:id="245" w:name="_Toc235787413"/>
      <w:bookmarkStart w:id="246" w:name="_Toc235791551"/>
      <w:bookmarkStart w:id="247" w:name="_Toc237872654"/>
      <w:r w:rsidRPr="00EB0D85">
        <w:lastRenderedPageBreak/>
        <w:t>1.3</w:t>
      </w:r>
      <w:r w:rsidRPr="00EB0D85">
        <w:tab/>
        <w:t>CEO’s year in review</w:t>
      </w:r>
      <w:bookmarkEnd w:id="245"/>
      <w:bookmarkEnd w:id="246"/>
      <w:bookmarkEnd w:id="247"/>
      <w:r w:rsidRPr="00EB0D85">
        <w:t xml:space="preserve"> </w:t>
      </w:r>
    </w:p>
    <w:p w14:paraId="3EBA5B82" w14:textId="77777777" w:rsidR="00EB0D85" w:rsidRPr="00EB0D85" w:rsidRDefault="00EB0D85" w:rsidP="00EB0D85">
      <w:r w:rsidRPr="00EB0D85">
        <w:t xml:space="preserve">Once again, it is a privilege to highlight the dedication and exceptional standard of work demonstrated by IHACPA staff in this year’s annual report. </w:t>
      </w:r>
    </w:p>
    <w:p w14:paraId="0E555289" w14:textId="77777777" w:rsidR="00EB0D85" w:rsidRPr="00EB0D85" w:rsidRDefault="00EB0D85" w:rsidP="00EB0D85">
      <w:r w:rsidRPr="00EB0D85">
        <w:t>It has been a significant year for the agency, delivering an extensive and impactful work program in a fast-paced environment. Throughout 2025–26, we have maintained a strong focus on innovation, collaboration and reform to support high-quality care across the health and aged care sectors.</w:t>
      </w:r>
    </w:p>
    <w:p w14:paraId="7A4C101B" w14:textId="77777777" w:rsidR="00EB0D85" w:rsidRPr="00EB0D85" w:rsidRDefault="00EB0D85" w:rsidP="00EB0D85">
      <w:pPr>
        <w:rPr>
          <w:b/>
          <w:bCs/>
        </w:rPr>
      </w:pPr>
      <w:r w:rsidRPr="00EB0D85">
        <w:rPr>
          <w:b/>
          <w:bCs/>
        </w:rPr>
        <w:t>Addendum to the National Health Reform Agreement 2026–31</w:t>
      </w:r>
    </w:p>
    <w:p w14:paraId="5312E0CE" w14:textId="77777777" w:rsidR="00EB0D85" w:rsidRPr="00EB0D85" w:rsidRDefault="00EB0D85" w:rsidP="00EB0D85">
      <w:r w:rsidRPr="00EB0D85">
        <w:t xml:space="preserve">In February 2026, the Australian Government and all state and territory governments signed the Addendum to the National Health Reform Agreement 2026–31. The addendum outlines significant reforms focused on equity, productivity, sustainability and person-centred care. </w:t>
      </w:r>
    </w:p>
    <w:p w14:paraId="16472890" w14:textId="77777777" w:rsidR="00EB0D85" w:rsidRPr="00EB0D85" w:rsidRDefault="00EB0D85" w:rsidP="00EB0D85">
      <w:r w:rsidRPr="00EB0D85">
        <w:t xml:space="preserve">For IHACPA, this means a major effort to research, develop and support substantial reforms with the goal of achieving a more sustainable and responsive health system. This includes new models of care and alternative payment approaches. It also means the broadening of services beyond the hospital setting, enabling innovation through targeted funding streams and embedding Closing the Gap commitments as core principles underpinning governance and policy. </w:t>
      </w:r>
    </w:p>
    <w:p w14:paraId="42EBDB1A" w14:textId="77777777" w:rsidR="00EB0D85" w:rsidRPr="00EB0D85" w:rsidRDefault="00EB0D85" w:rsidP="00EB0D85">
      <w:pPr>
        <w:rPr>
          <w:b/>
          <w:bCs/>
        </w:rPr>
      </w:pPr>
      <w:r w:rsidRPr="00EB0D85">
        <w:rPr>
          <w:b/>
          <w:bCs/>
        </w:rPr>
        <w:t>Key milestones 2025–26</w:t>
      </w:r>
    </w:p>
    <w:p w14:paraId="6D415686" w14:textId="77777777" w:rsidR="00EB0D85" w:rsidRPr="00EB0D85" w:rsidRDefault="00EB0D85" w:rsidP="00EB0D85">
      <w:r w:rsidRPr="00EB0D85">
        <w:t>Our Strategic Plan 2025–30</w:t>
      </w:r>
      <w:r w:rsidRPr="00EB0D85">
        <w:rPr>
          <w:b/>
          <w:bCs/>
        </w:rPr>
        <w:t xml:space="preserve"> </w:t>
      </w:r>
      <w:r w:rsidRPr="00EB0D85">
        <w:t>marks the first of its kind for our agency, outlining our vision, purpose, strategic goals and values. Released in August 2025, the plan was developed to provide staff with understanding of our long-term direction. The Strategic Plan is crafted for and by IHACPA staff, emphasising the importance of internal ownership in its adoption and implementation.</w:t>
      </w:r>
    </w:p>
    <w:p w14:paraId="7EA149F6" w14:textId="77777777" w:rsidR="00EB0D85" w:rsidRPr="00EB0D85" w:rsidRDefault="00EB0D85" w:rsidP="00EB0D85">
      <w:r w:rsidRPr="00EB0D85">
        <w:t xml:space="preserve">The Strategic Plan has been a key driver in the work progressed over 2025–26, with the first year of implementation demonstrating key strategic outcomes. Some of these achievements, as well as their alignment to the Strategic Plan, have been highlighted in this annual report. </w:t>
      </w:r>
    </w:p>
    <w:p w14:paraId="0C9F692B" w14:textId="77777777" w:rsidR="00EB0D85" w:rsidRPr="00EB0D85" w:rsidRDefault="00EB0D85" w:rsidP="00EB0D85">
      <w:r w:rsidRPr="00EB0D85">
        <w:t xml:space="preserve">IHACPA supported major aged care reforms following the commencement of the Support at Home program and the </w:t>
      </w:r>
      <w:r w:rsidRPr="00EB0D85">
        <w:rPr>
          <w:i/>
          <w:iCs/>
        </w:rPr>
        <w:t>Aged Care Act 2024</w:t>
      </w:r>
      <w:r w:rsidRPr="00EB0D85">
        <w:t xml:space="preserve">, including undertaking the Support at Home live data collection to improve the accuracy of cost and service delivery estimates across in-home care services. </w:t>
      </w:r>
    </w:p>
    <w:p w14:paraId="5A924167" w14:textId="77777777" w:rsidR="00EB0D85" w:rsidRPr="00EB0D85" w:rsidRDefault="00EB0D85" w:rsidP="00EB0D85">
      <w:r w:rsidRPr="00EB0D85">
        <w:t>We commenced funding model assessments for the Multi-Purpose Service Program and the National Aboriginal and Torres Strait Islander Flexible Aged Care Program, working closely with our stakeholders to develop evidence-based advice. This work forms part of a broader multi-year program aimed at establishing more sustainable and equitable funding arrangements that better meet the needs of diverse communities, leading to improved outcomes in aged care.</w:t>
      </w:r>
    </w:p>
    <w:p w14:paraId="37E401C2" w14:textId="77777777" w:rsidR="00EB0D85" w:rsidRPr="00EB0D85" w:rsidRDefault="00EB0D85" w:rsidP="00EB0D85">
      <w:r w:rsidRPr="00EB0D85">
        <w:t>We also advanced work to support the potential transition to the International Classification of Diseases, Eleventh Revision (ICD</w:t>
      </w:r>
      <w:r w:rsidRPr="00EB0D85">
        <w:noBreakHyphen/>
        <w:t>11). This will be a significant change to the way we develop classifications. This year saw further development of an ICD</w:t>
      </w:r>
      <w:r w:rsidRPr="00EB0D85">
        <w:noBreakHyphen/>
        <w:t xml:space="preserve">11 business case, incorporating cost–benefit analysis and assessment of impacts, alongside targeted consultation with stakeholders to test assumptions and refine the evidence base. </w:t>
      </w:r>
    </w:p>
    <w:p w14:paraId="41243430" w14:textId="77777777" w:rsidR="00EB0D85" w:rsidRPr="00EB0D85" w:rsidRDefault="00EB0D85" w:rsidP="00EB0D85">
      <w:pPr>
        <w:rPr>
          <w:b/>
          <w:bCs/>
        </w:rPr>
      </w:pPr>
      <w:r w:rsidRPr="00EB0D85">
        <w:rPr>
          <w:b/>
          <w:bCs/>
        </w:rPr>
        <w:lastRenderedPageBreak/>
        <w:t xml:space="preserve">Partnerships </w:t>
      </w:r>
    </w:p>
    <w:p w14:paraId="24F2DE92" w14:textId="77777777" w:rsidR="00EB0D85" w:rsidRPr="00EB0D85" w:rsidRDefault="00EB0D85" w:rsidP="00EB0D85">
      <w:r w:rsidRPr="00EB0D85">
        <w:t xml:space="preserve">In August, we hosted the IHACPA Conference 2025 in Adelaide. The conference featured a line-up of expert speakers who led discussions on reform, innovation, pricing and opportunities for harmonisation. The event brought together key players from the hospital, health care and aged care sectors to explore the resilience and sustainability of the growing care economy. </w:t>
      </w:r>
    </w:p>
    <w:p w14:paraId="1451454F" w14:textId="77777777" w:rsidR="00EB0D85" w:rsidRPr="00EB0D85" w:rsidRDefault="00EB0D85" w:rsidP="00EB0D85">
      <w:r w:rsidRPr="00EB0D85">
        <w:t xml:space="preserve">Throughout the year we have continued to strengthen partnerships with international organisations and universities to build technical expertise, support innovation, and develop workforce capability aligned with emerging global trends. Once again, we have hosted numerous international visits from countries following our work, many of whom have adopted our methods from classification structures to pricing methods. These engagements also support our ability to anticipate and respond to demographic changes across our own health and aged care sectors. </w:t>
      </w:r>
    </w:p>
    <w:p w14:paraId="0CDC9901" w14:textId="77777777" w:rsidR="00EB0D85" w:rsidRPr="00EB0D85" w:rsidRDefault="00EB0D85" w:rsidP="00EB0D85">
      <w:pPr>
        <w:rPr>
          <w:b/>
          <w:bCs/>
        </w:rPr>
      </w:pPr>
      <w:r w:rsidRPr="00EB0D85">
        <w:rPr>
          <w:b/>
          <w:bCs/>
        </w:rPr>
        <w:t xml:space="preserve">Thank you </w:t>
      </w:r>
    </w:p>
    <w:p w14:paraId="05E682C6" w14:textId="77777777" w:rsidR="00EB0D85" w:rsidRPr="00EB0D85" w:rsidRDefault="00EB0D85" w:rsidP="00EB0D85">
      <w:r w:rsidRPr="00EB0D85">
        <w:t xml:space="preserve">I would like to take this opportunity to highlight the contributions made by our advisory committees, which enable us to improve the advice we provide to governments and the health and aged care sectors. </w:t>
      </w:r>
    </w:p>
    <w:p w14:paraId="77339D60" w14:textId="77777777" w:rsidR="00EB0D85" w:rsidRPr="00EB0D85" w:rsidRDefault="00EB0D85" w:rsidP="00EB0D85">
      <w:r w:rsidRPr="00EB0D85">
        <w:t xml:space="preserve">I would also like to acknowledge and thank the Chair of the Pricing Authority, Mr David Tune AO PSM, along with all members of the Pricing Authority, for their continued guidance, expert advice and support. </w:t>
      </w:r>
    </w:p>
    <w:p w14:paraId="1229559A" w14:textId="77777777" w:rsidR="00EB0D85" w:rsidRPr="00EB0D85" w:rsidRDefault="00EB0D85" w:rsidP="00EB0D85">
      <w:r w:rsidRPr="00EB0D85">
        <w:t xml:space="preserve">Finally, I wish to thank our dedicated IHACPA staff for their support and commitment to the agency’s vision and goals, particularly as we continue to grow and change. I am honoured to lead an organisation with a diverse, resilient and highly skilled workforce that is instrumental in national health and aged care reforms. </w:t>
      </w:r>
    </w:p>
    <w:p w14:paraId="56C5B3CF" w14:textId="77777777" w:rsidR="00EB0D85" w:rsidRPr="00EB0D85" w:rsidRDefault="00EB0D85" w:rsidP="00EB0D85"/>
    <w:p w14:paraId="798FF53F" w14:textId="77777777" w:rsidR="00EB0D85" w:rsidRPr="00EB0D85" w:rsidRDefault="00EB0D85" w:rsidP="00EB0D85">
      <w:pPr>
        <w:rPr>
          <w:b/>
          <w:bCs/>
        </w:rPr>
      </w:pPr>
    </w:p>
    <w:p w14:paraId="22C0650E" w14:textId="77777777" w:rsidR="00EB0D85" w:rsidRPr="00EB0D85" w:rsidRDefault="00EB0D85" w:rsidP="00EB0D85">
      <w:pPr>
        <w:rPr>
          <w:b/>
          <w:bCs/>
        </w:rPr>
      </w:pPr>
      <w:r w:rsidRPr="00EB0D85">
        <w:rPr>
          <w:b/>
          <w:bCs/>
        </w:rPr>
        <w:t xml:space="preserve"> </w:t>
      </w:r>
    </w:p>
    <w:p w14:paraId="49F1849B" w14:textId="77777777" w:rsidR="00EB0D85" w:rsidRPr="00EB0D85" w:rsidRDefault="00EB0D85" w:rsidP="00EB0D85">
      <w:pPr>
        <w:rPr>
          <w:b/>
          <w:bCs/>
        </w:rPr>
      </w:pPr>
    </w:p>
    <w:p w14:paraId="517902D4" w14:textId="77777777" w:rsidR="00EB0D85" w:rsidRPr="00EB0D85" w:rsidRDefault="00EB0D85" w:rsidP="00EB0D85">
      <w:pPr>
        <w:rPr>
          <w:b/>
          <w:bCs/>
        </w:rPr>
      </w:pPr>
      <w:r w:rsidRPr="00EB0D85">
        <w:rPr>
          <w:b/>
          <w:bCs/>
        </w:rPr>
        <w:t xml:space="preserve">Professor Michael Pervan </w:t>
      </w:r>
    </w:p>
    <w:p w14:paraId="2A6E54A9" w14:textId="77777777" w:rsidR="00EB0D85" w:rsidRPr="00EB0D85" w:rsidRDefault="00EB0D85" w:rsidP="00EB0D85">
      <w:pPr>
        <w:spacing w:after="0"/>
      </w:pPr>
      <w:r w:rsidRPr="00EB0D85">
        <w:t xml:space="preserve">Chief Executive Officer </w:t>
      </w:r>
    </w:p>
    <w:p w14:paraId="65B2A279" w14:textId="77777777" w:rsidR="00EB0D85" w:rsidRPr="00EB0D85" w:rsidRDefault="00EB0D85" w:rsidP="00EB0D85">
      <w:pPr>
        <w:spacing w:after="0"/>
      </w:pPr>
      <w:r w:rsidRPr="00EB0D85">
        <w:t>Independent Health and Aged Care Pricing Authority</w:t>
      </w:r>
    </w:p>
    <w:p w14:paraId="110FD5F3" w14:textId="77777777" w:rsidR="00EB0D85" w:rsidRPr="00EB0D85" w:rsidRDefault="00EB0D85" w:rsidP="00EB0D85"/>
    <w:p w14:paraId="278F8486" w14:textId="77777777" w:rsidR="00EB0D85" w:rsidRPr="00EB0D85" w:rsidRDefault="00EB0D85" w:rsidP="00EB0D85"/>
    <w:p w14:paraId="47DBD9D4" w14:textId="77777777" w:rsidR="00EB0D85" w:rsidRPr="00EB0D85" w:rsidRDefault="00EB0D85" w:rsidP="00EB0D85"/>
    <w:p w14:paraId="340693E4" w14:textId="77777777" w:rsidR="00EB0D85" w:rsidRPr="00EB0D85" w:rsidRDefault="00EB0D85" w:rsidP="00F95700">
      <w:pPr>
        <w:spacing w:after="360"/>
      </w:pPr>
    </w:p>
    <w:p w14:paraId="52D75B15" w14:textId="77777777" w:rsidR="00EB0D85" w:rsidRPr="00EB0D85" w:rsidRDefault="00EB0D85" w:rsidP="00F95700">
      <w:pPr>
        <w:spacing w:after="360"/>
      </w:pPr>
    </w:p>
    <w:p w14:paraId="16ADCD4A" w14:textId="77777777" w:rsidR="00EB0D85" w:rsidRDefault="00EB0D85" w:rsidP="00F95700">
      <w:pPr>
        <w:spacing w:after="360"/>
      </w:pPr>
    </w:p>
    <w:p w14:paraId="0B679F29" w14:textId="77777777" w:rsidR="00EB0D85" w:rsidRDefault="00EB0D85" w:rsidP="00F95700">
      <w:pPr>
        <w:spacing w:after="360"/>
      </w:pPr>
    </w:p>
    <w:p w14:paraId="21519527" w14:textId="77777777" w:rsidR="00EB0D85" w:rsidRPr="00C70BC7" w:rsidRDefault="00EB0D85" w:rsidP="00EB0D85">
      <w:pPr>
        <w:pStyle w:val="Sectionnumber"/>
        <w:rPr>
          <w:rFonts w:ascii="Arial" w:hAnsi="Arial" w:cs="Arial"/>
          <w:color w:val="15272F" w:themeColor="text1"/>
          <w:lang w:val="en-AU"/>
        </w:rPr>
      </w:pPr>
      <w:r w:rsidRPr="00C70BC7">
        <w:rPr>
          <w:rFonts w:ascii="Arial" w:hAnsi="Arial" w:cs="Arial"/>
          <w:color w:val="15272F" w:themeColor="text1"/>
          <w:lang w:val="en-AU"/>
        </w:rPr>
        <w:t>02</w:t>
      </w:r>
    </w:p>
    <w:p w14:paraId="51D3C7EB" w14:textId="77777777" w:rsidR="00EB0D85" w:rsidRPr="00C70BC7" w:rsidRDefault="00EB0D85" w:rsidP="00EB0D85">
      <w:pPr>
        <w:pStyle w:val="Sectionnumber"/>
        <w:rPr>
          <w:b/>
          <w:sz w:val="72"/>
          <w:szCs w:val="72"/>
          <w:lang w:val="en-AU"/>
        </w:rPr>
      </w:pPr>
      <w:r w:rsidRPr="00C70BC7">
        <w:rPr>
          <w:rFonts w:ascii="Arial" w:hAnsi="Arial" w:cs="Arial"/>
          <w:color w:val="15272F" w:themeColor="text1"/>
          <w:sz w:val="72"/>
          <w:szCs w:val="72"/>
          <w:lang w:val="en-AU"/>
        </w:rPr>
        <w:t>Our agency</w:t>
      </w:r>
    </w:p>
    <w:p w14:paraId="2B5DA328" w14:textId="77777777" w:rsidR="00EB0D85" w:rsidRPr="00C70BC7" w:rsidRDefault="00EB0D85" w:rsidP="00EB0D85">
      <w:pPr>
        <w:pStyle w:val="Heading1"/>
      </w:pPr>
      <w:bookmarkStart w:id="248" w:name="_Toc233022269"/>
      <w:bookmarkStart w:id="249" w:name="_Toc233023031"/>
      <w:bookmarkStart w:id="250" w:name="_Toc233023366"/>
      <w:bookmarkStart w:id="251" w:name="_Toc233028666"/>
      <w:bookmarkStart w:id="252" w:name="_Toc233028859"/>
      <w:bookmarkStart w:id="253" w:name="_Toc235787414"/>
      <w:bookmarkStart w:id="254" w:name="_Toc235791552"/>
      <w:bookmarkStart w:id="255" w:name="_Toc237872655"/>
      <w:r w:rsidRPr="00C70BC7">
        <w:lastRenderedPageBreak/>
        <w:t>2.1</w:t>
      </w:r>
      <w:r w:rsidRPr="00C70BC7">
        <w:tab/>
        <w:t>Organisational structure</w:t>
      </w:r>
      <w:bookmarkEnd w:id="248"/>
      <w:bookmarkEnd w:id="249"/>
      <w:bookmarkEnd w:id="250"/>
      <w:bookmarkEnd w:id="251"/>
      <w:bookmarkEnd w:id="252"/>
      <w:bookmarkEnd w:id="253"/>
      <w:bookmarkEnd w:id="254"/>
      <w:bookmarkEnd w:id="255"/>
      <w:r w:rsidRPr="00C70BC7">
        <w:t xml:space="preserve"> </w:t>
      </w:r>
    </w:p>
    <w:p w14:paraId="42490448" w14:textId="77777777" w:rsidR="00EB0D85" w:rsidRPr="00C70BC7" w:rsidRDefault="00EB0D85" w:rsidP="00EB0D85">
      <w:pPr>
        <w:rPr>
          <w:rFonts w:cs="Arial"/>
        </w:rPr>
      </w:pPr>
      <w:r w:rsidRPr="00C70BC7">
        <w:rPr>
          <w:rFonts w:cs="Arial"/>
        </w:rPr>
        <w:t xml:space="preserve">IHACPA is a corporate Commonwealth entity. The agency is governed by the Pricing Authority, consisting of a Chair, Deputy Chair (Hospital Pricing), Deputy Chair (Aged Care Pricing), and up to 6 other members. Our CEO is responsible for our operations and our staff. </w:t>
      </w:r>
    </w:p>
    <w:p w14:paraId="06361454" w14:textId="77777777" w:rsidR="00EB0D85" w:rsidRPr="00C70BC7" w:rsidRDefault="00EB0D85" w:rsidP="00EB0D85">
      <w:pPr>
        <w:rPr>
          <w:rFonts w:cs="Arial"/>
        </w:rPr>
      </w:pPr>
      <w:r w:rsidRPr="00C70BC7" w:rsidDel="00363BED">
        <w:rPr>
          <w:rFonts w:cs="Arial"/>
        </w:rPr>
        <w:t xml:space="preserve">See Chapter 3 for more information about the Pricing Authority. </w:t>
      </w:r>
    </w:p>
    <w:p w14:paraId="63B689A5" w14:textId="77777777" w:rsidR="00EB0D85" w:rsidRPr="00C70BC7" w:rsidRDefault="00EB0D85" w:rsidP="00EB0D85">
      <w:pPr>
        <w:rPr>
          <w:rFonts w:cs="Arial"/>
        </w:rPr>
      </w:pPr>
      <w:r w:rsidRPr="00C70BC7">
        <w:rPr>
          <w:rFonts w:cs="Arial"/>
        </w:rPr>
        <w:t xml:space="preserve">Our organisational chart is depicted at </w:t>
      </w:r>
      <w:r w:rsidRPr="00C70BC7">
        <w:rPr>
          <w:rFonts w:cs="Arial"/>
          <w:b/>
          <w:bCs/>
        </w:rPr>
        <w:t>Figure 4</w:t>
      </w:r>
      <w:r w:rsidRPr="00C70BC7">
        <w:rPr>
          <w:rFonts w:cs="Arial"/>
        </w:rPr>
        <w:t xml:space="preserve">. </w:t>
      </w:r>
    </w:p>
    <w:p w14:paraId="6CCB6272" w14:textId="77777777" w:rsidR="00EB0D85" w:rsidRPr="00C70BC7" w:rsidRDefault="00EB0D85" w:rsidP="00EB0D85">
      <w:r w:rsidRPr="00C70BC7">
        <w:t xml:space="preserve">To achieve our annual program of work, we consult and collaborate with the Australian Government, state and territory governments, advisory committees, key stakeholders and the public. </w:t>
      </w:r>
    </w:p>
    <w:p w14:paraId="518C91A5" w14:textId="71A13DDA" w:rsidR="00EB0D85" w:rsidRPr="00C70BC7" w:rsidRDefault="00EB0D85" w:rsidP="00EB0D85">
      <w:pPr>
        <w:rPr>
          <w:b/>
          <w:bCs/>
        </w:rPr>
      </w:pPr>
      <w:r>
        <w:rPr>
          <w:b/>
          <w:bCs/>
          <w:noProof/>
        </w:rPr>
        <w:drawing>
          <wp:anchor distT="0" distB="0" distL="114300" distR="114300" simplePos="0" relativeHeight="251667456" behindDoc="0" locked="0" layoutInCell="1" allowOverlap="1" wp14:anchorId="12226E2B" wp14:editId="2BF85179">
            <wp:simplePos x="0" y="0"/>
            <wp:positionH relativeFrom="margin">
              <wp:posOffset>-200025</wp:posOffset>
            </wp:positionH>
            <wp:positionV relativeFrom="paragraph">
              <wp:posOffset>322580</wp:posOffset>
            </wp:positionV>
            <wp:extent cx="6745605" cy="4657725"/>
            <wp:effectExtent l="0" t="0" r="0" b="9525"/>
            <wp:wrapSquare wrapText="bothSides"/>
            <wp:docPr id="42301958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019587" name="Picture 423019587"/>
                    <pic:cNvPicPr/>
                  </pic:nvPicPr>
                  <pic:blipFill>
                    <a:blip r:embed="rId30">
                      <a:extLst>
                        <a:ext uri="{28A0092B-C50C-407E-A947-70E740481C1C}">
                          <a14:useLocalDpi xmlns:a14="http://schemas.microsoft.com/office/drawing/2010/main" val="0"/>
                        </a:ext>
                      </a:extLst>
                    </a:blip>
                    <a:stretch>
                      <a:fillRect/>
                    </a:stretch>
                  </pic:blipFill>
                  <pic:spPr>
                    <a:xfrm>
                      <a:off x="0" y="0"/>
                      <a:ext cx="6745605" cy="4657725"/>
                    </a:xfrm>
                    <a:prstGeom prst="rect">
                      <a:avLst/>
                    </a:prstGeom>
                  </pic:spPr>
                </pic:pic>
              </a:graphicData>
            </a:graphic>
            <wp14:sizeRelH relativeFrom="page">
              <wp14:pctWidth>0</wp14:pctWidth>
            </wp14:sizeRelH>
            <wp14:sizeRelV relativeFrom="page">
              <wp14:pctHeight>0</wp14:pctHeight>
            </wp14:sizeRelV>
          </wp:anchor>
        </w:drawing>
      </w:r>
      <w:r w:rsidRPr="00C70BC7">
        <w:rPr>
          <w:b/>
          <w:bCs/>
        </w:rPr>
        <w:t xml:space="preserve">Figure 4: IHACPA’s organisational structure at 30 June 2026 </w:t>
      </w:r>
    </w:p>
    <w:p w14:paraId="18BC45E1" w14:textId="40900F21" w:rsidR="00EB0D85" w:rsidRPr="00C70BC7" w:rsidRDefault="00EB0D85" w:rsidP="00EB0D85"/>
    <w:p w14:paraId="45633278" w14:textId="77777777" w:rsidR="00EB0D85" w:rsidRPr="006D70FE" w:rsidRDefault="00EB0D85" w:rsidP="00EB0D85">
      <w:pPr>
        <w:pStyle w:val="Heading1"/>
      </w:pPr>
      <w:bookmarkStart w:id="256" w:name="_Toc233022270"/>
      <w:bookmarkStart w:id="257" w:name="_Toc233023032"/>
      <w:bookmarkStart w:id="258" w:name="_Toc233023367"/>
      <w:bookmarkStart w:id="259" w:name="_Toc233028667"/>
      <w:bookmarkStart w:id="260" w:name="_Toc233028860"/>
      <w:bookmarkStart w:id="261" w:name="_Toc235787415"/>
      <w:bookmarkStart w:id="262" w:name="_Toc235791553"/>
      <w:bookmarkStart w:id="263" w:name="_Toc237872656"/>
      <w:r w:rsidRPr="006D70FE">
        <w:lastRenderedPageBreak/>
        <w:t>2.2</w:t>
      </w:r>
      <w:r w:rsidRPr="006D70FE">
        <w:tab/>
        <w:t>Management of human resources</w:t>
      </w:r>
      <w:bookmarkEnd w:id="256"/>
      <w:bookmarkEnd w:id="257"/>
      <w:bookmarkEnd w:id="258"/>
      <w:bookmarkEnd w:id="259"/>
      <w:bookmarkEnd w:id="260"/>
      <w:bookmarkEnd w:id="261"/>
      <w:bookmarkEnd w:id="262"/>
      <w:bookmarkEnd w:id="263"/>
      <w:r w:rsidRPr="006D70FE">
        <w:t xml:space="preserve"> </w:t>
      </w:r>
    </w:p>
    <w:p w14:paraId="09940D4C" w14:textId="77777777" w:rsidR="00EB0D85" w:rsidRPr="00990B3C" w:rsidRDefault="00EB0D85" w:rsidP="00EB0D85">
      <w:r w:rsidRPr="00990B3C">
        <w:t>Our CEO is IHACPA’s only employee and is based in Sydney, New South Wales. All other staff are seconded from the Australian Government Department of Health, Disability and Ageing. Staff work at the direction of the CEO under a memorandum of understanding with the department.</w:t>
      </w:r>
    </w:p>
    <w:p w14:paraId="0FCEDF13" w14:textId="77777777" w:rsidR="00EB0D85" w:rsidRPr="00990B3C" w:rsidRDefault="00EB0D85" w:rsidP="00EB0D85">
      <w:r w:rsidRPr="00990B3C">
        <w:t>We place great value in creating a productive and inclusive workplace, where staff can optimise their work-life balance through flexible working arrangements, which are made seamless by effective technological support.</w:t>
      </w:r>
    </w:p>
    <w:p w14:paraId="0E5093CD" w14:textId="77777777" w:rsidR="00EB0D85" w:rsidRPr="00990B3C" w:rsidRDefault="00EB0D85" w:rsidP="00EB0D85">
      <w:r w:rsidRPr="00990B3C">
        <w:t>We have developed a Human Capital Plan to guide recruitment, development, engagement and retention of the people we need to meet our strategic objectives. This plan is being progressively implemented over a 3-year period, which commenced in 2025. The plan will be reviewed annually and updated as needed to reflect any future organisational changes or challenges.</w:t>
      </w:r>
    </w:p>
    <w:p w14:paraId="4442E648" w14:textId="77777777" w:rsidR="00EB0D85" w:rsidRDefault="00EB0D85" w:rsidP="00EB0D85">
      <w:pPr>
        <w:pStyle w:val="Heading2"/>
      </w:pPr>
      <w:bookmarkStart w:id="264" w:name="_Toc233022271"/>
      <w:bookmarkStart w:id="265" w:name="_Toc233023033"/>
      <w:bookmarkStart w:id="266" w:name="_Toc233023368"/>
      <w:bookmarkStart w:id="267" w:name="_Toc233023492"/>
      <w:bookmarkStart w:id="268" w:name="_Toc233028668"/>
      <w:bookmarkStart w:id="269" w:name="_Toc233028861"/>
      <w:bookmarkStart w:id="270" w:name="_Toc235787416"/>
      <w:bookmarkStart w:id="271" w:name="_Toc235791554"/>
      <w:bookmarkStart w:id="272" w:name="_Toc237872657"/>
      <w:r>
        <w:t>Our workforce statistics at a glance</w:t>
      </w:r>
      <w:bookmarkEnd w:id="264"/>
      <w:bookmarkEnd w:id="265"/>
      <w:bookmarkEnd w:id="266"/>
      <w:bookmarkEnd w:id="267"/>
      <w:bookmarkEnd w:id="268"/>
      <w:bookmarkEnd w:id="269"/>
      <w:bookmarkEnd w:id="270"/>
      <w:bookmarkEnd w:id="271"/>
      <w:bookmarkEnd w:id="272"/>
      <w:r>
        <w:t xml:space="preserve"> </w:t>
      </w:r>
    </w:p>
    <w:p w14:paraId="55892495" w14:textId="77777777" w:rsidR="00EB0D85" w:rsidRPr="00990B3C" w:rsidRDefault="00EB0D85" w:rsidP="00EB0D85">
      <w:pPr>
        <w:rPr>
          <w:rFonts w:cs="Arial"/>
        </w:rPr>
      </w:pPr>
      <w:r w:rsidRPr="00990B3C">
        <w:rPr>
          <w:rFonts w:cs="Arial"/>
        </w:rPr>
        <w:t xml:space="preserve">We are committed to the recruitment and retention of a diverse workforce (for example, in gender, age, cultural and linguistic background, disability, indigeneity and LGBTQI+) and actively promote an inclusive workplace culture. </w:t>
      </w:r>
      <w:r w:rsidRPr="00990B3C">
        <w:rPr>
          <w:rFonts w:cs="Arial"/>
          <w:b/>
          <w:bCs/>
        </w:rPr>
        <w:t>Figure 5</w:t>
      </w:r>
      <w:r w:rsidRPr="00990B3C">
        <w:rPr>
          <w:rFonts w:cs="Arial"/>
        </w:rPr>
        <w:t xml:space="preserve"> presents a summary of the composition of our workforce. The full workforce statistics for our staff is available in Appendix C. </w:t>
      </w:r>
    </w:p>
    <w:p w14:paraId="094D4C76" w14:textId="77777777" w:rsidR="00EB0D85" w:rsidRPr="00EE26B1" w:rsidRDefault="00EB0D85" w:rsidP="00EB0D85">
      <w:pPr>
        <w:rPr>
          <w:b/>
          <w:bCs/>
        </w:rPr>
      </w:pPr>
      <w:r w:rsidRPr="006D70FE">
        <w:rPr>
          <w:b/>
          <w:bCs/>
        </w:rPr>
        <w:t>Figure 5</w:t>
      </w:r>
      <w:r>
        <w:rPr>
          <w:b/>
          <w:bCs/>
        </w:rPr>
        <w:t>:</w:t>
      </w:r>
      <w:r w:rsidRPr="006D70FE">
        <w:rPr>
          <w:b/>
          <w:bCs/>
        </w:rPr>
        <w:t xml:space="preserve"> IHACPA</w:t>
      </w:r>
      <w:r>
        <w:rPr>
          <w:b/>
          <w:bCs/>
        </w:rPr>
        <w:t>’s</w:t>
      </w:r>
      <w:r w:rsidRPr="006D70FE">
        <w:rPr>
          <w:b/>
          <w:bCs/>
        </w:rPr>
        <w:t xml:space="preserve"> workforce statistics </w:t>
      </w:r>
    </w:p>
    <w:tbl>
      <w:tblPr>
        <w:tblStyle w:val="TableGrid"/>
        <w:tblW w:w="0" w:type="auto"/>
        <w:tblInd w:w="-60" w:type="dxa"/>
        <w:tblLook w:val="04A0" w:firstRow="1" w:lastRow="0" w:firstColumn="1" w:lastColumn="0" w:noHBand="0" w:noVBand="1"/>
      </w:tblPr>
      <w:tblGrid>
        <w:gridCol w:w="4819"/>
        <w:gridCol w:w="4813"/>
      </w:tblGrid>
      <w:tr w:rsidR="00EB0D85" w14:paraId="0BBB594A" w14:textId="77777777" w:rsidTr="00ED2732">
        <w:tc>
          <w:tcPr>
            <w:tcW w:w="9632" w:type="dxa"/>
            <w:gridSpan w:val="2"/>
            <w:tcBorders>
              <w:top w:val="nil"/>
              <w:left w:val="single" w:sz="48" w:space="0" w:color="FFFFFF" w:themeColor="accent6"/>
              <w:bottom w:val="single" w:sz="48" w:space="0" w:color="FFFFFF" w:themeColor="accent6"/>
              <w:right w:val="single" w:sz="48" w:space="0" w:color="FFFFFF" w:themeColor="accent6"/>
            </w:tcBorders>
            <w:shd w:val="clear" w:color="auto" w:fill="15272F" w:themeFill="text2"/>
          </w:tcPr>
          <w:p w14:paraId="757B06A8" w14:textId="77777777" w:rsidR="00EB0D85" w:rsidRPr="0000677F" w:rsidRDefault="00EB0D85" w:rsidP="00ED2732">
            <w:pPr>
              <w:spacing w:before="120" w:after="120"/>
              <w:jc w:val="center"/>
              <w:rPr>
                <w:rFonts w:cs="Arial"/>
                <w:b/>
                <w:bCs/>
                <w:color w:val="FFFFFF" w:themeColor="background2"/>
                <w:sz w:val="18"/>
                <w:szCs w:val="18"/>
              </w:rPr>
            </w:pPr>
            <w:r w:rsidRPr="0000677F">
              <w:rPr>
                <w:rFonts w:cs="Arial"/>
                <w:b/>
                <w:bCs/>
                <w:color w:val="FFFFFF" w:themeColor="background2"/>
                <w:sz w:val="18"/>
                <w:szCs w:val="18"/>
              </w:rPr>
              <w:t>Seconded employees at 30 June 2025</w:t>
            </w:r>
          </w:p>
        </w:tc>
      </w:tr>
      <w:tr w:rsidR="00EB0D85" w:rsidRPr="0000677F" w14:paraId="0B172865" w14:textId="77777777" w:rsidTr="00ED2732">
        <w:tc>
          <w:tcPr>
            <w:tcW w:w="4819" w:type="dxa"/>
            <w:tcBorders>
              <w:top w:val="single" w:sz="48" w:space="0" w:color="FFFFFF" w:themeColor="accent6"/>
              <w:left w:val="single" w:sz="48" w:space="0" w:color="FFFFFF" w:themeColor="accent6"/>
              <w:bottom w:val="single" w:sz="48" w:space="0" w:color="FFFFFF" w:themeColor="accent6"/>
              <w:right w:val="single" w:sz="48" w:space="0" w:color="FFFFFF" w:themeColor="accent6"/>
            </w:tcBorders>
            <w:shd w:val="clear" w:color="auto" w:fill="D9D9D9" w:themeFill="background2" w:themeFillShade="D9"/>
          </w:tcPr>
          <w:p w14:paraId="2D5D21E8" w14:textId="77777777" w:rsidR="00EB0D85" w:rsidRPr="0000677F" w:rsidRDefault="00EB0D85" w:rsidP="00ED2732">
            <w:pPr>
              <w:spacing w:before="120" w:after="120"/>
              <w:jc w:val="center"/>
              <w:rPr>
                <w:rFonts w:cs="Arial"/>
                <w:sz w:val="18"/>
                <w:szCs w:val="18"/>
              </w:rPr>
            </w:pPr>
            <w:r>
              <w:rPr>
                <w:rFonts w:cs="Arial"/>
                <w:sz w:val="18"/>
                <w:szCs w:val="18"/>
              </w:rPr>
              <w:t>154</w:t>
            </w:r>
            <w:r w:rsidRPr="0000677F">
              <w:rPr>
                <w:rFonts w:cs="Arial"/>
                <w:sz w:val="18"/>
                <w:szCs w:val="18"/>
              </w:rPr>
              <w:t xml:space="preserve"> </w:t>
            </w:r>
            <w:r>
              <w:rPr>
                <w:rFonts w:cs="Arial"/>
                <w:sz w:val="18"/>
                <w:szCs w:val="18"/>
              </w:rPr>
              <w:t>t</w:t>
            </w:r>
            <w:r w:rsidRPr="0000677F">
              <w:rPr>
                <w:rFonts w:cs="Arial"/>
                <w:sz w:val="18"/>
                <w:szCs w:val="18"/>
              </w:rPr>
              <w:t>otal staff</w:t>
            </w:r>
          </w:p>
        </w:tc>
        <w:tc>
          <w:tcPr>
            <w:tcW w:w="4813" w:type="dxa"/>
            <w:tcBorders>
              <w:top w:val="single" w:sz="48" w:space="0" w:color="FFFFFF" w:themeColor="accent6"/>
              <w:left w:val="single" w:sz="48" w:space="0" w:color="FFFFFF" w:themeColor="accent6"/>
              <w:bottom w:val="single" w:sz="48" w:space="0" w:color="FFFFFF" w:themeColor="accent6"/>
              <w:right w:val="single" w:sz="48" w:space="0" w:color="FFFFFF" w:themeColor="accent6"/>
            </w:tcBorders>
            <w:shd w:val="clear" w:color="auto" w:fill="D9D9D9" w:themeFill="background2" w:themeFillShade="D9"/>
          </w:tcPr>
          <w:p w14:paraId="68EA99B2" w14:textId="77777777" w:rsidR="00EB0D85" w:rsidRPr="0000677F" w:rsidRDefault="00EB0D85" w:rsidP="00ED2732">
            <w:pPr>
              <w:spacing w:before="120" w:after="120"/>
              <w:jc w:val="center"/>
              <w:rPr>
                <w:rFonts w:cs="Arial"/>
                <w:sz w:val="18"/>
                <w:szCs w:val="18"/>
              </w:rPr>
            </w:pPr>
            <w:r>
              <w:rPr>
                <w:rFonts w:cs="Arial"/>
                <w:sz w:val="18"/>
                <w:szCs w:val="18"/>
              </w:rPr>
              <w:t>138 o</w:t>
            </w:r>
            <w:r w:rsidRPr="0000677F">
              <w:rPr>
                <w:rFonts w:cs="Arial"/>
                <w:sz w:val="18"/>
                <w:szCs w:val="18"/>
              </w:rPr>
              <w:t>ngoing staff</w:t>
            </w:r>
          </w:p>
        </w:tc>
      </w:tr>
      <w:tr w:rsidR="00EB0D85" w:rsidRPr="0000677F" w14:paraId="36F35D7B" w14:textId="77777777" w:rsidTr="00ED2732">
        <w:tc>
          <w:tcPr>
            <w:tcW w:w="4819" w:type="dxa"/>
            <w:tcBorders>
              <w:top w:val="single" w:sz="48" w:space="0" w:color="FFFFFF" w:themeColor="accent6"/>
              <w:left w:val="single" w:sz="48" w:space="0" w:color="FFFFFF" w:themeColor="accent6"/>
              <w:bottom w:val="single" w:sz="48" w:space="0" w:color="FFFFFF" w:themeColor="accent6"/>
              <w:right w:val="single" w:sz="48" w:space="0" w:color="FFFFFF" w:themeColor="accent6"/>
            </w:tcBorders>
            <w:shd w:val="clear" w:color="auto" w:fill="D9D9D9" w:themeFill="background2" w:themeFillShade="D9"/>
          </w:tcPr>
          <w:p w14:paraId="12755F4B" w14:textId="77777777" w:rsidR="00EB0D85" w:rsidRPr="0000677F" w:rsidRDefault="00EB0D85" w:rsidP="00ED2732">
            <w:pPr>
              <w:spacing w:before="120" w:after="60"/>
              <w:jc w:val="center"/>
              <w:rPr>
                <w:rFonts w:cs="Arial"/>
                <w:sz w:val="18"/>
                <w:szCs w:val="18"/>
              </w:rPr>
            </w:pPr>
            <w:r w:rsidRPr="0000677F">
              <w:rPr>
                <w:rFonts w:cs="Arial"/>
                <w:sz w:val="18"/>
                <w:szCs w:val="18"/>
              </w:rPr>
              <w:t xml:space="preserve">Gender </w:t>
            </w:r>
            <w:r w:rsidRPr="0000677F">
              <w:rPr>
                <w:rFonts w:cs="Arial"/>
                <w:sz w:val="18"/>
                <w:szCs w:val="18"/>
              </w:rPr>
              <w:br/>
              <w:t>(ongoing/non-ongoing staff only)</w:t>
            </w:r>
          </w:p>
          <w:p w14:paraId="3BD5875B" w14:textId="77777777" w:rsidR="00EB0D85" w:rsidRPr="0000677F" w:rsidRDefault="00EB0D85" w:rsidP="00ED2732">
            <w:pPr>
              <w:spacing w:before="60" w:after="120"/>
              <w:jc w:val="center"/>
              <w:rPr>
                <w:rFonts w:cs="Arial"/>
                <w:sz w:val="18"/>
                <w:szCs w:val="18"/>
              </w:rPr>
            </w:pPr>
            <w:r>
              <w:rPr>
                <w:rFonts w:cs="Arial"/>
                <w:sz w:val="18"/>
                <w:szCs w:val="18"/>
              </w:rPr>
              <w:t>41</w:t>
            </w:r>
            <w:r w:rsidRPr="0000677F">
              <w:rPr>
                <w:rFonts w:cs="Arial"/>
                <w:sz w:val="18"/>
                <w:szCs w:val="18"/>
              </w:rPr>
              <w:t xml:space="preserve"> </w:t>
            </w:r>
            <w:r>
              <w:rPr>
                <w:rFonts w:cs="Arial"/>
                <w:sz w:val="18"/>
                <w:szCs w:val="18"/>
              </w:rPr>
              <w:t>m</w:t>
            </w:r>
            <w:r w:rsidRPr="0000677F">
              <w:rPr>
                <w:rFonts w:cs="Arial"/>
                <w:sz w:val="18"/>
                <w:szCs w:val="18"/>
              </w:rPr>
              <w:t xml:space="preserve">en; </w:t>
            </w:r>
            <w:r>
              <w:rPr>
                <w:rFonts w:cs="Arial"/>
                <w:sz w:val="18"/>
                <w:szCs w:val="18"/>
              </w:rPr>
              <w:t>113</w:t>
            </w:r>
            <w:r w:rsidRPr="0000677F">
              <w:rPr>
                <w:rFonts w:cs="Arial"/>
                <w:sz w:val="18"/>
                <w:szCs w:val="18"/>
              </w:rPr>
              <w:t xml:space="preserve"> </w:t>
            </w:r>
            <w:r>
              <w:rPr>
                <w:rFonts w:cs="Arial"/>
                <w:sz w:val="18"/>
                <w:szCs w:val="18"/>
              </w:rPr>
              <w:t>w</w:t>
            </w:r>
            <w:r w:rsidRPr="0000677F">
              <w:rPr>
                <w:rFonts w:cs="Arial"/>
                <w:sz w:val="18"/>
                <w:szCs w:val="18"/>
              </w:rPr>
              <w:t xml:space="preserve">omen; </w:t>
            </w:r>
            <w:r>
              <w:rPr>
                <w:rFonts w:cs="Arial"/>
                <w:sz w:val="18"/>
                <w:szCs w:val="18"/>
              </w:rPr>
              <w:t>0</w:t>
            </w:r>
            <w:r w:rsidRPr="0000677F">
              <w:rPr>
                <w:rFonts w:cs="Arial"/>
                <w:sz w:val="18"/>
                <w:szCs w:val="18"/>
              </w:rPr>
              <w:t xml:space="preserve"> </w:t>
            </w:r>
            <w:r>
              <w:rPr>
                <w:rFonts w:cs="Arial"/>
                <w:sz w:val="18"/>
                <w:szCs w:val="18"/>
              </w:rPr>
              <w:t>n</w:t>
            </w:r>
            <w:r w:rsidRPr="0000677F">
              <w:rPr>
                <w:rFonts w:cs="Arial"/>
                <w:sz w:val="18"/>
                <w:szCs w:val="18"/>
              </w:rPr>
              <w:t>on-binary</w:t>
            </w:r>
          </w:p>
        </w:tc>
        <w:tc>
          <w:tcPr>
            <w:tcW w:w="4813" w:type="dxa"/>
            <w:tcBorders>
              <w:top w:val="single" w:sz="48" w:space="0" w:color="FFFFFF" w:themeColor="accent6"/>
              <w:left w:val="single" w:sz="48" w:space="0" w:color="FFFFFF" w:themeColor="accent6"/>
              <w:bottom w:val="single" w:sz="48" w:space="0" w:color="FFFFFF" w:themeColor="accent6"/>
              <w:right w:val="single" w:sz="48" w:space="0" w:color="FFFFFF" w:themeColor="accent6"/>
            </w:tcBorders>
            <w:shd w:val="clear" w:color="auto" w:fill="D9D9D9" w:themeFill="background2" w:themeFillShade="D9"/>
          </w:tcPr>
          <w:p w14:paraId="09B67000" w14:textId="77777777" w:rsidR="00EB0D85" w:rsidRPr="0000677F" w:rsidRDefault="00EB0D85" w:rsidP="00ED2732">
            <w:pPr>
              <w:spacing w:before="120" w:after="120"/>
              <w:jc w:val="center"/>
              <w:rPr>
                <w:rFonts w:cs="Arial"/>
                <w:sz w:val="18"/>
                <w:szCs w:val="18"/>
              </w:rPr>
            </w:pPr>
            <w:r>
              <w:rPr>
                <w:rFonts w:cs="Arial"/>
                <w:sz w:val="18"/>
                <w:szCs w:val="18"/>
              </w:rPr>
              <w:t>16</w:t>
            </w:r>
            <w:r w:rsidRPr="0000677F">
              <w:rPr>
                <w:rFonts w:cs="Arial"/>
                <w:sz w:val="18"/>
                <w:szCs w:val="18"/>
              </w:rPr>
              <w:t xml:space="preserve"> </w:t>
            </w:r>
            <w:r>
              <w:rPr>
                <w:rFonts w:cs="Arial"/>
                <w:sz w:val="18"/>
                <w:szCs w:val="18"/>
              </w:rPr>
              <w:t>n</w:t>
            </w:r>
            <w:r w:rsidRPr="0000677F">
              <w:rPr>
                <w:rFonts w:cs="Arial"/>
                <w:sz w:val="18"/>
                <w:szCs w:val="18"/>
              </w:rPr>
              <w:t>on-ongoing staff</w:t>
            </w:r>
          </w:p>
        </w:tc>
      </w:tr>
      <w:tr w:rsidR="00EB0D85" w:rsidRPr="0000677F" w14:paraId="4F63A269" w14:textId="77777777" w:rsidTr="00ED2732">
        <w:tc>
          <w:tcPr>
            <w:tcW w:w="9632" w:type="dxa"/>
            <w:gridSpan w:val="2"/>
            <w:tcBorders>
              <w:top w:val="nil"/>
              <w:left w:val="single" w:sz="48" w:space="0" w:color="FFFFFF" w:themeColor="accent6"/>
              <w:bottom w:val="single" w:sz="48" w:space="0" w:color="FFFFFF" w:themeColor="background2"/>
              <w:right w:val="single" w:sz="48" w:space="0" w:color="FFFFFF" w:themeColor="accent6"/>
            </w:tcBorders>
            <w:shd w:val="clear" w:color="auto" w:fill="15272F" w:themeFill="text2"/>
          </w:tcPr>
          <w:p w14:paraId="31561B57" w14:textId="77777777" w:rsidR="00EB0D85" w:rsidRPr="0000677F" w:rsidRDefault="00EB0D85" w:rsidP="00ED2732">
            <w:pPr>
              <w:spacing w:before="120" w:after="120"/>
              <w:jc w:val="center"/>
              <w:rPr>
                <w:rFonts w:cs="Arial"/>
                <w:b/>
                <w:bCs/>
                <w:color w:val="FFFFFF" w:themeColor="background2"/>
                <w:sz w:val="18"/>
                <w:szCs w:val="18"/>
              </w:rPr>
            </w:pPr>
            <w:r w:rsidRPr="0000677F">
              <w:rPr>
                <w:rFonts w:cs="Arial"/>
                <w:b/>
                <w:bCs/>
                <w:color w:val="FFFFFF" w:themeColor="background2"/>
                <w:sz w:val="18"/>
                <w:szCs w:val="18"/>
              </w:rPr>
              <w:t>Seconded employees at 30 June 2026</w:t>
            </w:r>
          </w:p>
        </w:tc>
      </w:tr>
      <w:tr w:rsidR="00EB0D85" w:rsidRPr="0000677F" w14:paraId="70B3BC6F" w14:textId="77777777" w:rsidTr="00ED2732">
        <w:tc>
          <w:tcPr>
            <w:tcW w:w="4819" w:type="dxa"/>
            <w:tcBorders>
              <w:top w:val="single" w:sz="48" w:space="0" w:color="FFFFFF" w:themeColor="background2"/>
              <w:left w:val="single" w:sz="48" w:space="0" w:color="FFFFFF" w:themeColor="background2"/>
              <w:bottom w:val="single" w:sz="48" w:space="0" w:color="FFFFFF" w:themeColor="background2"/>
              <w:right w:val="single" w:sz="48" w:space="0" w:color="FFFFFF" w:themeColor="background2"/>
            </w:tcBorders>
            <w:shd w:val="clear" w:color="auto" w:fill="D9D9D9" w:themeFill="background2" w:themeFillShade="D9"/>
          </w:tcPr>
          <w:p w14:paraId="3C5A6CC3" w14:textId="77777777" w:rsidR="00EB0D85" w:rsidRPr="0000677F" w:rsidRDefault="00EB0D85" w:rsidP="00ED2732">
            <w:pPr>
              <w:spacing w:before="120" w:after="120"/>
              <w:jc w:val="center"/>
              <w:rPr>
                <w:rFonts w:cs="Arial"/>
                <w:sz w:val="18"/>
                <w:szCs w:val="18"/>
              </w:rPr>
            </w:pPr>
            <w:r>
              <w:rPr>
                <w:rFonts w:cs="Arial"/>
                <w:sz w:val="18"/>
                <w:szCs w:val="18"/>
              </w:rPr>
              <w:t>132</w:t>
            </w:r>
            <w:r w:rsidRPr="0000677F">
              <w:rPr>
                <w:rFonts w:cs="Arial"/>
                <w:sz w:val="18"/>
                <w:szCs w:val="18"/>
              </w:rPr>
              <w:t xml:space="preserve"> </w:t>
            </w:r>
            <w:r>
              <w:rPr>
                <w:rFonts w:cs="Arial"/>
                <w:sz w:val="18"/>
                <w:szCs w:val="18"/>
              </w:rPr>
              <w:t>t</w:t>
            </w:r>
            <w:r w:rsidRPr="0000677F">
              <w:rPr>
                <w:rFonts w:cs="Arial"/>
                <w:sz w:val="18"/>
                <w:szCs w:val="18"/>
              </w:rPr>
              <w:t>otal staff</w:t>
            </w:r>
          </w:p>
        </w:tc>
        <w:tc>
          <w:tcPr>
            <w:tcW w:w="4813" w:type="dxa"/>
            <w:tcBorders>
              <w:top w:val="single" w:sz="48" w:space="0" w:color="FFFFFF" w:themeColor="background2"/>
              <w:left w:val="single" w:sz="48" w:space="0" w:color="FFFFFF" w:themeColor="background2"/>
              <w:bottom w:val="single" w:sz="48" w:space="0" w:color="FFFFFF" w:themeColor="background2"/>
              <w:right w:val="single" w:sz="48" w:space="0" w:color="FFFFFF" w:themeColor="background2"/>
            </w:tcBorders>
            <w:shd w:val="clear" w:color="auto" w:fill="D9D9D9" w:themeFill="background2" w:themeFillShade="D9"/>
          </w:tcPr>
          <w:p w14:paraId="740B4DC7" w14:textId="77777777" w:rsidR="00EB0D85" w:rsidRPr="0000677F" w:rsidRDefault="00EB0D85" w:rsidP="00ED2732">
            <w:pPr>
              <w:spacing w:before="120" w:after="120"/>
              <w:jc w:val="center"/>
              <w:rPr>
                <w:rFonts w:cs="Arial"/>
                <w:sz w:val="18"/>
                <w:szCs w:val="18"/>
              </w:rPr>
            </w:pPr>
            <w:r>
              <w:rPr>
                <w:rFonts w:cs="Arial"/>
                <w:sz w:val="18"/>
                <w:szCs w:val="18"/>
              </w:rPr>
              <w:t>123</w:t>
            </w:r>
            <w:r w:rsidRPr="0000677F">
              <w:rPr>
                <w:rFonts w:cs="Arial"/>
                <w:sz w:val="18"/>
                <w:szCs w:val="18"/>
              </w:rPr>
              <w:t xml:space="preserve"> </w:t>
            </w:r>
            <w:r>
              <w:rPr>
                <w:rFonts w:cs="Arial"/>
                <w:sz w:val="18"/>
                <w:szCs w:val="18"/>
              </w:rPr>
              <w:t>o</w:t>
            </w:r>
            <w:r w:rsidRPr="0000677F">
              <w:rPr>
                <w:rFonts w:cs="Arial"/>
                <w:sz w:val="18"/>
                <w:szCs w:val="18"/>
              </w:rPr>
              <w:t>ngoing staff</w:t>
            </w:r>
          </w:p>
        </w:tc>
      </w:tr>
      <w:tr w:rsidR="00EB0D85" w:rsidRPr="0000677F" w14:paraId="51F37B82" w14:textId="77777777" w:rsidTr="00ED2732">
        <w:tc>
          <w:tcPr>
            <w:tcW w:w="4819" w:type="dxa"/>
            <w:tcBorders>
              <w:top w:val="single" w:sz="48" w:space="0" w:color="FFFFFF" w:themeColor="background2"/>
              <w:left w:val="single" w:sz="48" w:space="0" w:color="FFFFFF" w:themeColor="background2"/>
              <w:bottom w:val="single" w:sz="48" w:space="0" w:color="FFFFFF" w:themeColor="background2"/>
              <w:right w:val="single" w:sz="48" w:space="0" w:color="FFFFFF" w:themeColor="background2"/>
            </w:tcBorders>
            <w:shd w:val="clear" w:color="auto" w:fill="D9D9D9" w:themeFill="background2" w:themeFillShade="D9"/>
          </w:tcPr>
          <w:p w14:paraId="3A50D2F4" w14:textId="77777777" w:rsidR="00EB0D85" w:rsidRPr="0000677F" w:rsidRDefault="00EB0D85" w:rsidP="00ED2732">
            <w:pPr>
              <w:spacing w:before="120" w:after="60"/>
              <w:jc w:val="center"/>
              <w:rPr>
                <w:rFonts w:cs="Arial"/>
                <w:sz w:val="18"/>
                <w:szCs w:val="18"/>
              </w:rPr>
            </w:pPr>
            <w:r w:rsidRPr="0000677F">
              <w:rPr>
                <w:rFonts w:cs="Arial"/>
                <w:sz w:val="18"/>
                <w:szCs w:val="18"/>
              </w:rPr>
              <w:t xml:space="preserve">Gender breakdown </w:t>
            </w:r>
            <w:r w:rsidRPr="0000677F">
              <w:rPr>
                <w:rFonts w:cs="Arial"/>
                <w:sz w:val="18"/>
                <w:szCs w:val="18"/>
              </w:rPr>
              <w:br/>
              <w:t>(ongoing/non-ongoing staff only)</w:t>
            </w:r>
          </w:p>
          <w:p w14:paraId="49B9B262" w14:textId="77777777" w:rsidR="00EB0D85" w:rsidRPr="0000677F" w:rsidRDefault="00EB0D85" w:rsidP="00ED2732">
            <w:pPr>
              <w:spacing w:before="60" w:after="120"/>
              <w:jc w:val="center"/>
              <w:rPr>
                <w:rFonts w:cs="Arial"/>
                <w:sz w:val="18"/>
                <w:szCs w:val="18"/>
              </w:rPr>
            </w:pPr>
            <w:r>
              <w:rPr>
                <w:rFonts w:cs="Arial"/>
                <w:sz w:val="18"/>
                <w:szCs w:val="18"/>
              </w:rPr>
              <w:t>35</w:t>
            </w:r>
            <w:r w:rsidRPr="0000677F">
              <w:rPr>
                <w:rFonts w:cs="Arial"/>
                <w:sz w:val="18"/>
                <w:szCs w:val="18"/>
              </w:rPr>
              <w:t xml:space="preserve"> </w:t>
            </w:r>
            <w:r>
              <w:rPr>
                <w:rFonts w:cs="Arial"/>
                <w:sz w:val="18"/>
                <w:szCs w:val="18"/>
              </w:rPr>
              <w:t>m</w:t>
            </w:r>
            <w:r w:rsidRPr="0000677F">
              <w:rPr>
                <w:rFonts w:cs="Arial"/>
                <w:sz w:val="18"/>
                <w:szCs w:val="18"/>
              </w:rPr>
              <w:t xml:space="preserve">en; </w:t>
            </w:r>
            <w:r>
              <w:rPr>
                <w:rFonts w:cs="Arial"/>
                <w:sz w:val="18"/>
                <w:szCs w:val="18"/>
              </w:rPr>
              <w:t>97</w:t>
            </w:r>
            <w:r w:rsidRPr="0000677F">
              <w:rPr>
                <w:rFonts w:cs="Arial"/>
                <w:sz w:val="18"/>
                <w:szCs w:val="18"/>
              </w:rPr>
              <w:t xml:space="preserve"> </w:t>
            </w:r>
            <w:r>
              <w:rPr>
                <w:rFonts w:cs="Arial"/>
                <w:sz w:val="18"/>
                <w:szCs w:val="18"/>
              </w:rPr>
              <w:t>w</w:t>
            </w:r>
            <w:r w:rsidRPr="0000677F">
              <w:rPr>
                <w:rFonts w:cs="Arial"/>
                <w:sz w:val="18"/>
                <w:szCs w:val="18"/>
              </w:rPr>
              <w:t xml:space="preserve">omen; </w:t>
            </w:r>
            <w:r>
              <w:rPr>
                <w:rFonts w:cs="Arial"/>
                <w:sz w:val="18"/>
                <w:szCs w:val="18"/>
              </w:rPr>
              <w:t>0</w:t>
            </w:r>
            <w:r w:rsidRPr="0000677F">
              <w:rPr>
                <w:rFonts w:cs="Arial"/>
                <w:sz w:val="18"/>
                <w:szCs w:val="18"/>
              </w:rPr>
              <w:t xml:space="preserve"> </w:t>
            </w:r>
            <w:r>
              <w:rPr>
                <w:rFonts w:cs="Arial"/>
                <w:sz w:val="18"/>
                <w:szCs w:val="18"/>
              </w:rPr>
              <w:t>n</w:t>
            </w:r>
            <w:r w:rsidRPr="0000677F">
              <w:rPr>
                <w:rFonts w:cs="Arial"/>
                <w:sz w:val="18"/>
                <w:szCs w:val="18"/>
              </w:rPr>
              <w:t>on-binary</w:t>
            </w:r>
          </w:p>
        </w:tc>
        <w:tc>
          <w:tcPr>
            <w:tcW w:w="4813" w:type="dxa"/>
            <w:tcBorders>
              <w:top w:val="single" w:sz="48" w:space="0" w:color="FFFFFF" w:themeColor="background2"/>
              <w:left w:val="single" w:sz="48" w:space="0" w:color="FFFFFF" w:themeColor="background2"/>
              <w:bottom w:val="single" w:sz="48" w:space="0" w:color="FFFFFF" w:themeColor="background2"/>
              <w:right w:val="single" w:sz="48" w:space="0" w:color="FFFFFF" w:themeColor="background2"/>
            </w:tcBorders>
            <w:shd w:val="clear" w:color="auto" w:fill="D9D9D9" w:themeFill="background2" w:themeFillShade="D9"/>
          </w:tcPr>
          <w:p w14:paraId="73FD27F9" w14:textId="77777777" w:rsidR="00EB0D85" w:rsidRPr="0000677F" w:rsidRDefault="00EB0D85" w:rsidP="00ED2732">
            <w:pPr>
              <w:spacing w:before="120" w:after="120"/>
              <w:jc w:val="center"/>
              <w:rPr>
                <w:rFonts w:cs="Arial"/>
                <w:sz w:val="18"/>
                <w:szCs w:val="18"/>
              </w:rPr>
            </w:pPr>
            <w:r>
              <w:rPr>
                <w:rFonts w:cs="Arial"/>
                <w:sz w:val="18"/>
                <w:szCs w:val="18"/>
              </w:rPr>
              <w:t>9</w:t>
            </w:r>
            <w:r w:rsidRPr="0000677F">
              <w:rPr>
                <w:rFonts w:cs="Arial"/>
                <w:sz w:val="18"/>
                <w:szCs w:val="18"/>
              </w:rPr>
              <w:t xml:space="preserve"> </w:t>
            </w:r>
            <w:r>
              <w:rPr>
                <w:rFonts w:cs="Arial"/>
                <w:sz w:val="18"/>
                <w:szCs w:val="18"/>
              </w:rPr>
              <w:t>n</w:t>
            </w:r>
            <w:r w:rsidRPr="0000677F">
              <w:rPr>
                <w:rFonts w:cs="Arial"/>
                <w:sz w:val="18"/>
                <w:szCs w:val="18"/>
              </w:rPr>
              <w:t>on-ongoing staff</w:t>
            </w:r>
          </w:p>
        </w:tc>
      </w:tr>
    </w:tbl>
    <w:p w14:paraId="23D975A8" w14:textId="77777777" w:rsidR="00EB0D85" w:rsidRDefault="00EB0D85" w:rsidP="00EB0D85">
      <w:pPr>
        <w:pStyle w:val="Heading2"/>
      </w:pPr>
      <w:bookmarkStart w:id="273" w:name="_Toc233022272"/>
      <w:bookmarkStart w:id="274" w:name="_Toc233023034"/>
      <w:bookmarkStart w:id="275" w:name="_Toc233023369"/>
      <w:bookmarkStart w:id="276" w:name="_Toc233023493"/>
      <w:bookmarkStart w:id="277" w:name="_Toc233028669"/>
      <w:bookmarkStart w:id="278" w:name="_Toc233028862"/>
      <w:bookmarkStart w:id="279" w:name="_Toc235787417"/>
      <w:bookmarkStart w:id="280" w:name="_Toc235791555"/>
      <w:bookmarkStart w:id="281" w:name="_Toc237872658"/>
      <w:r>
        <w:lastRenderedPageBreak/>
        <w:t>Staff development</w:t>
      </w:r>
      <w:bookmarkEnd w:id="273"/>
      <w:bookmarkEnd w:id="274"/>
      <w:bookmarkEnd w:id="275"/>
      <w:bookmarkEnd w:id="276"/>
      <w:bookmarkEnd w:id="277"/>
      <w:bookmarkEnd w:id="278"/>
      <w:bookmarkEnd w:id="279"/>
      <w:bookmarkEnd w:id="280"/>
      <w:bookmarkEnd w:id="281"/>
      <w:r>
        <w:t xml:space="preserve"> </w:t>
      </w:r>
    </w:p>
    <w:p w14:paraId="68837762" w14:textId="77777777" w:rsidR="00EB0D85" w:rsidRPr="00990B3C" w:rsidRDefault="00EB0D85" w:rsidP="00EB0D85">
      <w:pPr>
        <w:rPr>
          <w:rFonts w:cs="Arial"/>
        </w:rPr>
      </w:pPr>
      <w:r w:rsidRPr="00990B3C">
        <w:rPr>
          <w:rFonts w:cs="Arial"/>
        </w:rPr>
        <w:t>We cultivate, value and support staff by developing their skills and capabilities to meet their work requirements and achieve their full potential. We also promote a culture where people work within and across teams to broaden their expertise.</w:t>
      </w:r>
    </w:p>
    <w:p w14:paraId="1687E423" w14:textId="77777777" w:rsidR="00EB0D85" w:rsidRPr="00990B3C" w:rsidRDefault="00EB0D85" w:rsidP="00EB0D85">
      <w:pPr>
        <w:rPr>
          <w:rFonts w:cs="Arial"/>
        </w:rPr>
      </w:pPr>
      <w:r w:rsidRPr="00990B3C">
        <w:rPr>
          <w:rFonts w:cs="Arial"/>
        </w:rPr>
        <w:t xml:space="preserve">In 2025–26, we supported individuals to undertake higher education, attend training and conferences, and develop their capabilities through on-the-job learning opportunities like higher duties and participation in team projects. Our training investment for the year averaged </w:t>
      </w:r>
      <w:r>
        <w:t>$1,114</w:t>
      </w:r>
      <w:r w:rsidRPr="00990B3C">
        <w:t xml:space="preserve"> </w:t>
      </w:r>
      <w:r w:rsidRPr="00990B3C">
        <w:rPr>
          <w:rFonts w:cs="Arial"/>
        </w:rPr>
        <w:t>per staff member.</w:t>
      </w:r>
    </w:p>
    <w:p w14:paraId="7647DE04" w14:textId="77777777" w:rsidR="00EB0D85" w:rsidRDefault="00EB0D85" w:rsidP="00EB0D85">
      <w:pPr>
        <w:pStyle w:val="Heading3"/>
      </w:pPr>
      <w:bookmarkStart w:id="282" w:name="_Toc233022273"/>
      <w:bookmarkStart w:id="283" w:name="_Toc233023035"/>
      <w:bookmarkStart w:id="284" w:name="_Toc233023370"/>
      <w:bookmarkStart w:id="285" w:name="_Toc233023494"/>
      <w:bookmarkStart w:id="286" w:name="_Toc233028670"/>
      <w:bookmarkStart w:id="287" w:name="_Toc233028863"/>
      <w:bookmarkStart w:id="288" w:name="_Toc235787418"/>
      <w:bookmarkStart w:id="289" w:name="_Toc235791556"/>
      <w:bookmarkStart w:id="290" w:name="_Toc237872659"/>
      <w:r>
        <w:t>Education and training</w:t>
      </w:r>
      <w:bookmarkEnd w:id="282"/>
      <w:bookmarkEnd w:id="283"/>
      <w:bookmarkEnd w:id="284"/>
      <w:bookmarkEnd w:id="285"/>
      <w:bookmarkEnd w:id="286"/>
      <w:bookmarkEnd w:id="287"/>
      <w:bookmarkEnd w:id="288"/>
      <w:bookmarkEnd w:id="289"/>
      <w:bookmarkEnd w:id="290"/>
      <w:r>
        <w:t xml:space="preserve"> </w:t>
      </w:r>
    </w:p>
    <w:p w14:paraId="3E1D2E59" w14:textId="77777777" w:rsidR="00EB0D85" w:rsidRPr="00B326F7" w:rsidRDefault="00EB0D85" w:rsidP="00EB0D85">
      <w:r w:rsidRPr="00B326F7">
        <w:t xml:space="preserve">Individual staff were able to access training that meet their job requirements or career aspirations </w:t>
      </w:r>
      <w:r w:rsidRPr="00B326F7">
        <w:rPr>
          <w:rFonts w:cs="Arial"/>
        </w:rPr>
        <w:t xml:space="preserve">as part of </w:t>
      </w:r>
      <w:r w:rsidRPr="00B326F7">
        <w:t>their performance development plans. This included the following:</w:t>
      </w:r>
    </w:p>
    <w:p w14:paraId="0087DF95" w14:textId="77777777" w:rsidR="00EB0D85" w:rsidRPr="00B326F7" w:rsidRDefault="00EB0D85" w:rsidP="00EB0D85">
      <w:pPr>
        <w:pStyle w:val="ListLevel1"/>
        <w:ind w:left="1080"/>
      </w:pPr>
      <w:r>
        <w:t>Administrative Decision Making</w:t>
      </w:r>
    </w:p>
    <w:p w14:paraId="77990309" w14:textId="77777777" w:rsidR="00EB0D85" w:rsidRPr="00B326F7" w:rsidRDefault="00EB0D85" w:rsidP="00EB0D85">
      <w:pPr>
        <w:pStyle w:val="ListLevel1"/>
        <w:ind w:left="1080"/>
      </w:pPr>
      <w:r w:rsidRPr="00B326F7">
        <w:t xml:space="preserve">Artificial Intelligence in Government Fundamentals </w:t>
      </w:r>
    </w:p>
    <w:p w14:paraId="44165B0B" w14:textId="77777777" w:rsidR="00EB0D85" w:rsidRDefault="00EB0D85" w:rsidP="00EB0D85">
      <w:pPr>
        <w:pStyle w:val="ListLevel1"/>
        <w:ind w:left="1080"/>
      </w:pPr>
      <w:r w:rsidRPr="00B326F7">
        <w:t>Integrity and Fraud Prevention</w:t>
      </w:r>
    </w:p>
    <w:p w14:paraId="28AF943B" w14:textId="77777777" w:rsidR="00EB0D85" w:rsidRPr="00B326F7" w:rsidRDefault="00EB0D85" w:rsidP="00EB0D85">
      <w:pPr>
        <w:pStyle w:val="ListLevel1"/>
        <w:ind w:left="1080"/>
      </w:pPr>
      <w:r>
        <w:t>n</w:t>
      </w:r>
      <w:r w:rsidRPr="00B326F7">
        <w:t xml:space="preserve">eurodiversity </w:t>
      </w:r>
      <w:r>
        <w:t>a</w:t>
      </w:r>
      <w:r w:rsidRPr="00B326F7">
        <w:t>wareness</w:t>
      </w:r>
    </w:p>
    <w:p w14:paraId="72D6701A" w14:textId="77777777" w:rsidR="00EB0D85" w:rsidRPr="00B326F7" w:rsidRDefault="00EB0D85" w:rsidP="00EB0D85">
      <w:pPr>
        <w:pStyle w:val="ListLevel1"/>
        <w:ind w:left="1080"/>
      </w:pPr>
      <w:r>
        <w:t>p</w:t>
      </w:r>
      <w:r w:rsidRPr="00B326F7">
        <w:t>rocurement</w:t>
      </w:r>
      <w:r>
        <w:t>.</w:t>
      </w:r>
    </w:p>
    <w:p w14:paraId="27977907" w14:textId="77777777" w:rsidR="00EB0D85" w:rsidRDefault="00EB0D85" w:rsidP="00EB0D85">
      <w:pPr>
        <w:pStyle w:val="Heading2"/>
      </w:pPr>
      <w:bookmarkStart w:id="291" w:name="_Toc233022274"/>
      <w:bookmarkStart w:id="292" w:name="_Toc233023036"/>
      <w:bookmarkStart w:id="293" w:name="_Toc233023371"/>
      <w:bookmarkStart w:id="294" w:name="_Toc233028671"/>
      <w:bookmarkStart w:id="295" w:name="_Toc233028864"/>
      <w:bookmarkStart w:id="296" w:name="_Toc235787419"/>
      <w:bookmarkStart w:id="297" w:name="_Toc235791557"/>
      <w:bookmarkStart w:id="298" w:name="_Toc237872660"/>
      <w:r>
        <w:t>Work health and safety</w:t>
      </w:r>
      <w:bookmarkEnd w:id="291"/>
      <w:bookmarkEnd w:id="292"/>
      <w:bookmarkEnd w:id="293"/>
      <w:bookmarkEnd w:id="294"/>
      <w:bookmarkEnd w:id="295"/>
      <w:bookmarkEnd w:id="296"/>
      <w:bookmarkEnd w:id="297"/>
      <w:bookmarkEnd w:id="298"/>
    </w:p>
    <w:p w14:paraId="790AC473" w14:textId="77777777" w:rsidR="00EB0D85" w:rsidRPr="006D70FE" w:rsidRDefault="00EB0D85" w:rsidP="00EB0D85">
      <w:pPr>
        <w:rPr>
          <w:rFonts w:cs="Arial"/>
        </w:rPr>
      </w:pPr>
      <w:r w:rsidRPr="00B326F7">
        <w:rPr>
          <w:rFonts w:cs="Arial"/>
        </w:rPr>
        <w:t xml:space="preserve">Under the </w:t>
      </w:r>
      <w:hyperlink r:id="rId31" w:history="1">
        <w:r w:rsidRPr="001A6718">
          <w:rPr>
            <w:rStyle w:val="Hyperlink"/>
            <w:rFonts w:cs="Arial"/>
            <w:i/>
            <w:iCs/>
          </w:rPr>
          <w:t>Work Health and Safety Act 2011</w:t>
        </w:r>
      </w:hyperlink>
      <w:r w:rsidRPr="003C0605">
        <w:rPr>
          <w:rFonts w:cs="Arial"/>
        </w:rPr>
        <w:t xml:space="preserve"> </w:t>
      </w:r>
      <w:r w:rsidRPr="00B326F7">
        <w:rPr>
          <w:rFonts w:cs="Arial"/>
        </w:rPr>
        <w:t xml:space="preserve">(WHS Act), </w:t>
      </w:r>
      <w:r>
        <w:rPr>
          <w:rFonts w:cs="Arial"/>
        </w:rPr>
        <w:t>we have</w:t>
      </w:r>
      <w:r w:rsidRPr="00B326F7">
        <w:rPr>
          <w:rFonts w:cs="Arial"/>
        </w:rPr>
        <w:t xml:space="preserve"> a duty to ensure the health and safety of </w:t>
      </w:r>
      <w:r>
        <w:rPr>
          <w:rFonts w:cs="Arial"/>
        </w:rPr>
        <w:t xml:space="preserve">our </w:t>
      </w:r>
      <w:r w:rsidRPr="00B326F7">
        <w:rPr>
          <w:rFonts w:cs="Arial"/>
        </w:rPr>
        <w:t>workers and other persons, and to take reasonably practicable steps to eliminate or minimise health and safety risks. To satisfy this duty and ensure a productive work environment, we commit to take all reasonably practicable steps to provide:</w:t>
      </w:r>
    </w:p>
    <w:p w14:paraId="2D1F77D9" w14:textId="77777777" w:rsidR="00EB0D85" w:rsidRPr="006D70FE" w:rsidRDefault="00EB0D85" w:rsidP="00EB0D85">
      <w:pPr>
        <w:pStyle w:val="ListLevel1"/>
      </w:pPr>
      <w:r w:rsidRPr="006D70FE">
        <w:t>safe systems of work and working conditions</w:t>
      </w:r>
    </w:p>
    <w:p w14:paraId="2B459447" w14:textId="77777777" w:rsidR="00EB0D85" w:rsidRPr="006D70FE" w:rsidRDefault="00EB0D85" w:rsidP="00EB0D85">
      <w:pPr>
        <w:pStyle w:val="ListLevel1"/>
      </w:pPr>
      <w:r w:rsidRPr="006D70FE">
        <w:t>education on safe working practices</w:t>
      </w:r>
    </w:p>
    <w:p w14:paraId="27563678" w14:textId="77777777" w:rsidR="00EB0D85" w:rsidRPr="006D70FE" w:rsidRDefault="00EB0D85" w:rsidP="00EB0D85">
      <w:pPr>
        <w:pStyle w:val="ListLevel1"/>
      </w:pPr>
      <w:r w:rsidRPr="006D70FE">
        <w:t xml:space="preserve">information on, and control measures for, hazards in the workplace. </w:t>
      </w:r>
    </w:p>
    <w:p w14:paraId="317468CB" w14:textId="77777777" w:rsidR="00EB0D85" w:rsidRPr="006D70FE" w:rsidRDefault="00EB0D85" w:rsidP="00EB0D85">
      <w:pPr>
        <w:rPr>
          <w:rFonts w:cs="Arial"/>
        </w:rPr>
      </w:pPr>
      <w:r>
        <w:rPr>
          <w:rFonts w:cs="Arial"/>
        </w:rPr>
        <w:t>We</w:t>
      </w:r>
      <w:r w:rsidRPr="006D70FE">
        <w:rPr>
          <w:rFonts w:cs="Arial"/>
        </w:rPr>
        <w:t xml:space="preserve"> ha</w:t>
      </w:r>
      <w:r>
        <w:rPr>
          <w:rFonts w:cs="Arial"/>
        </w:rPr>
        <w:t>ve</w:t>
      </w:r>
      <w:r w:rsidRPr="006D70FE">
        <w:rPr>
          <w:rFonts w:cs="Arial"/>
        </w:rPr>
        <w:t xml:space="preserve"> a number of health and wellbeing initiatives and programs in place, including:</w:t>
      </w:r>
    </w:p>
    <w:p w14:paraId="59E50D5C" w14:textId="77777777" w:rsidR="00EB0D85" w:rsidRPr="006D70FE" w:rsidRDefault="00EB0D85" w:rsidP="00EB0D85">
      <w:pPr>
        <w:pStyle w:val="ListLevel1"/>
      </w:pPr>
      <w:r w:rsidRPr="006D70FE">
        <w:t>ergonomic workstation assessments</w:t>
      </w:r>
      <w:r>
        <w:t>, which</w:t>
      </w:r>
      <w:r w:rsidRPr="006D70FE">
        <w:t xml:space="preserve"> were conducted for all new staff and existing staff as required</w:t>
      </w:r>
    </w:p>
    <w:p w14:paraId="433E658D" w14:textId="77777777" w:rsidR="00EB0D85" w:rsidRPr="006D70FE" w:rsidRDefault="00EB0D85" w:rsidP="00EB0D85">
      <w:pPr>
        <w:pStyle w:val="ListLevel1"/>
      </w:pPr>
      <w:r w:rsidRPr="006D70FE">
        <w:t xml:space="preserve">access to an Employee Assistance Program  </w:t>
      </w:r>
    </w:p>
    <w:p w14:paraId="4BCAB7FA" w14:textId="77777777" w:rsidR="00EB0D85" w:rsidRPr="006D70FE" w:rsidRDefault="00EB0D85" w:rsidP="00EB0D85">
      <w:pPr>
        <w:pStyle w:val="ListLevel1"/>
      </w:pPr>
      <w:r w:rsidRPr="006D70FE">
        <w:t>flu vaccination program</w:t>
      </w:r>
    </w:p>
    <w:p w14:paraId="3B00BEEC" w14:textId="77777777" w:rsidR="00EB0D85" w:rsidRPr="006D70FE" w:rsidRDefault="00EB0D85" w:rsidP="00EB0D85">
      <w:pPr>
        <w:pStyle w:val="ListLevel1"/>
      </w:pPr>
      <w:r w:rsidRPr="006D70FE">
        <w:t>flexible working options to balance professional and personal commitments</w:t>
      </w:r>
    </w:p>
    <w:p w14:paraId="26A93A0E" w14:textId="77777777" w:rsidR="00EB0D85" w:rsidRPr="006D70FE" w:rsidRDefault="00EB0D85" w:rsidP="00EB0D85">
      <w:pPr>
        <w:pStyle w:val="ListLevel1"/>
      </w:pPr>
      <w:r w:rsidRPr="006D70FE">
        <w:t xml:space="preserve">time off during work hours to donate blood. </w:t>
      </w:r>
    </w:p>
    <w:p w14:paraId="4524E827" w14:textId="77777777" w:rsidR="00EB0D85" w:rsidRPr="006D70FE" w:rsidRDefault="00EB0D85" w:rsidP="00EB0D85">
      <w:pPr>
        <w:rPr>
          <w:rFonts w:cs="Arial"/>
        </w:rPr>
      </w:pPr>
      <w:r w:rsidRPr="006D70FE">
        <w:rPr>
          <w:rFonts w:cs="Arial"/>
        </w:rPr>
        <w:t>In 2025–26, our Health and Safety Committee continued to manage work health and safety matters in accordance with the WHS Act.</w:t>
      </w:r>
    </w:p>
    <w:p w14:paraId="33EAFB6F" w14:textId="77777777" w:rsidR="00EB0D85" w:rsidRPr="006D70FE" w:rsidRDefault="00EB0D85" w:rsidP="00EB0D85">
      <w:pPr>
        <w:rPr>
          <w:rFonts w:cs="Arial"/>
        </w:rPr>
      </w:pPr>
      <w:r w:rsidRPr="006D70FE">
        <w:rPr>
          <w:rFonts w:cs="Arial"/>
        </w:rPr>
        <w:t xml:space="preserve">The committee met </w:t>
      </w:r>
      <w:r>
        <w:rPr>
          <w:rFonts w:cs="Arial"/>
        </w:rPr>
        <w:t>4</w:t>
      </w:r>
      <w:r w:rsidRPr="006D70FE">
        <w:rPr>
          <w:rFonts w:cs="Arial"/>
        </w:rPr>
        <w:t xml:space="preserve"> times during the year and dealt with a range of work health and safety matters. Quarterly workplace inspections were conducted by health and safety representatives.</w:t>
      </w:r>
    </w:p>
    <w:p w14:paraId="58BC8DF1" w14:textId="77777777" w:rsidR="00EB0D85" w:rsidRPr="00195818" w:rsidRDefault="00EB0D85" w:rsidP="00EB0D85">
      <w:pPr>
        <w:rPr>
          <w:rFonts w:cs="Arial"/>
        </w:rPr>
      </w:pPr>
      <w:r w:rsidRPr="00195818">
        <w:rPr>
          <w:rFonts w:cs="Arial"/>
        </w:rPr>
        <w:lastRenderedPageBreak/>
        <w:t xml:space="preserve">In 2025–26, </w:t>
      </w:r>
      <w:r>
        <w:rPr>
          <w:rFonts w:cs="Arial"/>
        </w:rPr>
        <w:t>no</w:t>
      </w:r>
      <w:r w:rsidRPr="00195818">
        <w:rPr>
          <w:rFonts w:cs="Arial"/>
        </w:rPr>
        <w:t xml:space="preserve"> notifiable work health and safety incidents were identified, and 4 work health and safety investigations were conducted. Additionally, </w:t>
      </w:r>
      <w:r>
        <w:rPr>
          <w:rFonts w:cs="Arial"/>
        </w:rPr>
        <w:t>no</w:t>
      </w:r>
      <w:r w:rsidRPr="00195818">
        <w:rPr>
          <w:rFonts w:cs="Arial"/>
        </w:rPr>
        <w:t xml:space="preserve"> injuries to employees were reported during </w:t>
      </w:r>
      <w:r>
        <w:rPr>
          <w:rFonts w:cs="Arial"/>
        </w:rPr>
        <w:t>the year</w:t>
      </w:r>
      <w:r w:rsidRPr="00195818">
        <w:rPr>
          <w:rFonts w:cs="Arial"/>
        </w:rPr>
        <w:t xml:space="preserve">. </w:t>
      </w:r>
    </w:p>
    <w:p w14:paraId="549E2E5E" w14:textId="77777777" w:rsidR="00EB0D85" w:rsidRPr="00195818" w:rsidRDefault="00EB0D85" w:rsidP="00EB0D85">
      <w:pPr>
        <w:rPr>
          <w:rFonts w:cs="Arial"/>
        </w:rPr>
      </w:pPr>
      <w:r w:rsidRPr="00195818">
        <w:rPr>
          <w:rFonts w:cs="Arial"/>
        </w:rPr>
        <w:t xml:space="preserve">Each year Comcare undertakes proactive inspections of Commonwealth agencies under the WHS Act. </w:t>
      </w:r>
      <w:r>
        <w:rPr>
          <w:rFonts w:cs="Arial"/>
        </w:rPr>
        <w:t>One</w:t>
      </w:r>
      <w:r w:rsidRPr="00195818">
        <w:rPr>
          <w:rFonts w:cs="Arial"/>
        </w:rPr>
        <w:t xml:space="preserve"> inspection was undertaken in 2025–26, which focused on </w:t>
      </w:r>
      <w:r>
        <w:rPr>
          <w:rFonts w:cs="Arial"/>
        </w:rPr>
        <w:t>work health and safety</w:t>
      </w:r>
      <w:r w:rsidRPr="00195818">
        <w:rPr>
          <w:rFonts w:cs="Arial"/>
        </w:rPr>
        <w:t xml:space="preserve"> </w:t>
      </w:r>
      <w:r>
        <w:rPr>
          <w:rFonts w:cs="Arial"/>
        </w:rPr>
        <w:t>r</w:t>
      </w:r>
      <w:r w:rsidRPr="00195818">
        <w:rPr>
          <w:rFonts w:cs="Arial"/>
        </w:rPr>
        <w:t xml:space="preserve">isk </w:t>
      </w:r>
      <w:r>
        <w:rPr>
          <w:rFonts w:cs="Arial"/>
        </w:rPr>
        <w:t>m</w:t>
      </w:r>
      <w:r w:rsidRPr="00195818">
        <w:rPr>
          <w:rFonts w:cs="Arial"/>
        </w:rPr>
        <w:t xml:space="preserve">anagement. There were no adverse findings and Comcare </w:t>
      </w:r>
      <w:r>
        <w:rPr>
          <w:rFonts w:cs="Arial"/>
        </w:rPr>
        <w:t>confirmed</w:t>
      </w:r>
      <w:r w:rsidRPr="00195818">
        <w:rPr>
          <w:rFonts w:cs="Arial"/>
        </w:rPr>
        <w:t xml:space="preserve"> </w:t>
      </w:r>
      <w:r>
        <w:rPr>
          <w:rFonts w:cs="Arial"/>
        </w:rPr>
        <w:t>we</w:t>
      </w:r>
      <w:r w:rsidRPr="00195818">
        <w:rPr>
          <w:rFonts w:cs="Arial"/>
        </w:rPr>
        <w:t xml:space="preserve"> had systems in place to consult, coordinate and cooperate with workers and other duty holders </w:t>
      </w:r>
      <w:r>
        <w:rPr>
          <w:rFonts w:cs="Arial"/>
        </w:rPr>
        <w:t>in our</w:t>
      </w:r>
      <w:r w:rsidRPr="00195818">
        <w:rPr>
          <w:rFonts w:cs="Arial"/>
        </w:rPr>
        <w:t xml:space="preserve"> workplace. </w:t>
      </w:r>
    </w:p>
    <w:p w14:paraId="5365A17E" w14:textId="77777777" w:rsidR="00EB0D85" w:rsidRPr="000A3A6C" w:rsidRDefault="00EB0D85" w:rsidP="00EB0D85">
      <w:pPr>
        <w:pStyle w:val="Heading2"/>
      </w:pPr>
      <w:bookmarkStart w:id="299" w:name="_Toc233022275"/>
      <w:bookmarkStart w:id="300" w:name="_Toc233023037"/>
      <w:bookmarkStart w:id="301" w:name="_Toc233023372"/>
      <w:bookmarkStart w:id="302" w:name="_Toc233028672"/>
      <w:bookmarkStart w:id="303" w:name="_Toc233028865"/>
      <w:bookmarkStart w:id="304" w:name="_Toc235787420"/>
      <w:bookmarkStart w:id="305" w:name="_Toc235791558"/>
      <w:bookmarkStart w:id="306" w:name="_Toc237872661"/>
      <w:r>
        <w:t>Advertising and marketing research</w:t>
      </w:r>
      <w:bookmarkEnd w:id="299"/>
      <w:bookmarkEnd w:id="300"/>
      <w:bookmarkEnd w:id="301"/>
      <w:bookmarkEnd w:id="302"/>
      <w:bookmarkEnd w:id="303"/>
      <w:bookmarkEnd w:id="304"/>
      <w:bookmarkEnd w:id="305"/>
      <w:bookmarkEnd w:id="306"/>
    </w:p>
    <w:p w14:paraId="7CF13457" w14:textId="77777777" w:rsidR="00EB0D85" w:rsidRDefault="00EB0D85" w:rsidP="00EB0D85">
      <w:pPr>
        <w:rPr>
          <w:rFonts w:cs="Arial"/>
        </w:rPr>
      </w:pPr>
      <w:r w:rsidRPr="00195818">
        <w:rPr>
          <w:rFonts w:cs="Arial"/>
        </w:rPr>
        <w:t xml:space="preserve">In 2025–26, </w:t>
      </w:r>
      <w:r>
        <w:rPr>
          <w:rFonts w:cs="Arial"/>
        </w:rPr>
        <w:t>we did not</w:t>
      </w:r>
      <w:r w:rsidRPr="00195818">
        <w:rPr>
          <w:rFonts w:cs="Arial"/>
        </w:rPr>
        <w:t xml:space="preserve"> </w:t>
      </w:r>
      <w:r>
        <w:rPr>
          <w:rFonts w:cs="Arial"/>
        </w:rPr>
        <w:t xml:space="preserve">conduct any </w:t>
      </w:r>
      <w:r w:rsidRPr="00195818">
        <w:rPr>
          <w:rFonts w:cs="Arial"/>
        </w:rPr>
        <w:t>advertising</w:t>
      </w:r>
      <w:r>
        <w:rPr>
          <w:rFonts w:cs="Arial"/>
        </w:rPr>
        <w:t xml:space="preserve"> campaigns</w:t>
      </w:r>
      <w:r w:rsidRPr="00195818">
        <w:rPr>
          <w:rFonts w:cs="Arial"/>
        </w:rPr>
        <w:t>.</w:t>
      </w:r>
    </w:p>
    <w:p w14:paraId="4C71D814" w14:textId="77777777" w:rsidR="00EB0D85" w:rsidRDefault="00EB0D85" w:rsidP="00EB0D85">
      <w:pPr>
        <w:pStyle w:val="Heading2"/>
      </w:pPr>
      <w:bookmarkStart w:id="307" w:name="_Toc233022276"/>
      <w:bookmarkStart w:id="308" w:name="_Toc233023038"/>
      <w:bookmarkStart w:id="309" w:name="_Toc233023373"/>
      <w:bookmarkStart w:id="310" w:name="_Toc233028673"/>
      <w:bookmarkStart w:id="311" w:name="_Toc233028866"/>
      <w:bookmarkStart w:id="312" w:name="_Toc235787421"/>
      <w:bookmarkStart w:id="313" w:name="_Toc235791559"/>
      <w:bookmarkStart w:id="314" w:name="_Toc237872662"/>
      <w:r>
        <w:t>Key management personnel</w:t>
      </w:r>
      <w:bookmarkEnd w:id="307"/>
      <w:bookmarkEnd w:id="308"/>
      <w:bookmarkEnd w:id="309"/>
      <w:bookmarkEnd w:id="310"/>
      <w:bookmarkEnd w:id="311"/>
      <w:bookmarkEnd w:id="312"/>
      <w:bookmarkEnd w:id="313"/>
      <w:bookmarkEnd w:id="314"/>
      <w:r>
        <w:t xml:space="preserve"> </w:t>
      </w:r>
    </w:p>
    <w:p w14:paraId="5A5A9EA2" w14:textId="48DDC9CE" w:rsidR="00EB0D85" w:rsidRDefault="00EB0D85" w:rsidP="00EB0D85">
      <w:pPr>
        <w:rPr>
          <w:rFonts w:cs="Arial"/>
        </w:rPr>
      </w:pPr>
      <w:r w:rsidRPr="00195818">
        <w:t xml:space="preserve">Key management personnel </w:t>
      </w:r>
      <w:r w:rsidR="00DC297A">
        <w:t xml:space="preserve">(KMP) </w:t>
      </w:r>
      <w:r w:rsidRPr="00195818">
        <w:t>are those persons having</w:t>
      </w:r>
      <w:r w:rsidRPr="00195818">
        <w:rPr>
          <w:rFonts w:cs="Arial"/>
        </w:rPr>
        <w:t xml:space="preserve"> authority and responsibility for planning, directing and controlling the activities of the entity, directly or indirectly. </w:t>
      </w:r>
      <w:r w:rsidR="00367C3D">
        <w:rPr>
          <w:rFonts w:cs="Arial"/>
        </w:rPr>
        <w:t>IHACPA</w:t>
      </w:r>
      <w:r>
        <w:rPr>
          <w:rFonts w:cs="Arial"/>
        </w:rPr>
        <w:t xml:space="preserve"> ha</w:t>
      </w:r>
      <w:r w:rsidR="00484668">
        <w:rPr>
          <w:rFonts w:cs="Arial"/>
        </w:rPr>
        <w:t xml:space="preserve">s </w:t>
      </w:r>
      <w:r w:rsidRPr="00195818">
        <w:rPr>
          <w:rFonts w:cs="Arial"/>
        </w:rPr>
        <w:t xml:space="preserve">determined </w:t>
      </w:r>
      <w:r w:rsidR="00452639">
        <w:rPr>
          <w:rFonts w:cs="Arial"/>
        </w:rPr>
        <w:t>KMP</w:t>
      </w:r>
      <w:r w:rsidRPr="00195818">
        <w:rPr>
          <w:rFonts w:cs="Arial"/>
        </w:rPr>
        <w:t xml:space="preserve"> to be the C</w:t>
      </w:r>
      <w:r w:rsidR="00DA3BC9">
        <w:rPr>
          <w:rFonts w:cs="Arial"/>
        </w:rPr>
        <w:t>hief Executive Officer</w:t>
      </w:r>
      <w:r w:rsidRPr="00195818">
        <w:rPr>
          <w:rFonts w:cs="Arial"/>
        </w:rPr>
        <w:t xml:space="preserve"> and </w:t>
      </w:r>
      <w:r w:rsidR="00DA3BC9">
        <w:rPr>
          <w:rFonts w:cs="Arial"/>
        </w:rPr>
        <w:t>the Pricing Authority members</w:t>
      </w:r>
      <w:r w:rsidRPr="00195818">
        <w:rPr>
          <w:rFonts w:cs="Arial"/>
        </w:rPr>
        <w:t xml:space="preserve">. </w:t>
      </w:r>
      <w:r w:rsidR="005C5347">
        <w:rPr>
          <w:rFonts w:cs="Arial"/>
        </w:rPr>
        <w:t xml:space="preserve">The table below is in accordance with the Public Governance, Performance and Accountability Rule 2014. </w:t>
      </w:r>
    </w:p>
    <w:p w14:paraId="4B19BF23" w14:textId="77777777" w:rsidR="00702F18" w:rsidRDefault="00702F18" w:rsidP="00EB0D85">
      <w:pPr>
        <w:rPr>
          <w:rFonts w:cs="Arial"/>
        </w:rPr>
      </w:pPr>
    </w:p>
    <w:p w14:paraId="1D44C851" w14:textId="77777777" w:rsidR="00702F18" w:rsidRDefault="00702F18" w:rsidP="00EB0D85">
      <w:pPr>
        <w:rPr>
          <w:rFonts w:cs="Arial"/>
        </w:rPr>
      </w:pPr>
    </w:p>
    <w:p w14:paraId="203FF776" w14:textId="77777777" w:rsidR="00702F18" w:rsidRDefault="00702F18" w:rsidP="00EB0D85">
      <w:pPr>
        <w:rPr>
          <w:rFonts w:cs="Arial"/>
        </w:rPr>
      </w:pPr>
    </w:p>
    <w:p w14:paraId="4C0A0D3A" w14:textId="77777777" w:rsidR="00702F18" w:rsidRDefault="00702F18" w:rsidP="00EB0D85">
      <w:pPr>
        <w:rPr>
          <w:rFonts w:cs="Arial"/>
        </w:rPr>
      </w:pPr>
    </w:p>
    <w:p w14:paraId="77C54A43" w14:textId="77777777" w:rsidR="00702F18" w:rsidRDefault="00702F18" w:rsidP="00EB0D85">
      <w:pPr>
        <w:rPr>
          <w:rFonts w:cs="Arial"/>
        </w:rPr>
      </w:pPr>
    </w:p>
    <w:p w14:paraId="4277856B" w14:textId="77777777" w:rsidR="00702F18" w:rsidRDefault="00702F18" w:rsidP="00EB0D85">
      <w:pPr>
        <w:rPr>
          <w:rFonts w:cs="Arial"/>
        </w:rPr>
      </w:pPr>
    </w:p>
    <w:p w14:paraId="6876A50D" w14:textId="77777777" w:rsidR="00702F18" w:rsidRDefault="00702F18" w:rsidP="00EB0D85">
      <w:pPr>
        <w:rPr>
          <w:rFonts w:cs="Arial"/>
        </w:rPr>
      </w:pPr>
    </w:p>
    <w:p w14:paraId="5D49A660" w14:textId="77777777" w:rsidR="00702F18" w:rsidRDefault="00702F18" w:rsidP="00EB0D85">
      <w:pPr>
        <w:rPr>
          <w:rFonts w:cs="Arial"/>
        </w:rPr>
      </w:pPr>
    </w:p>
    <w:p w14:paraId="78D1CF14" w14:textId="77777777" w:rsidR="00702F18" w:rsidRDefault="00702F18" w:rsidP="00EB0D85">
      <w:pPr>
        <w:rPr>
          <w:rFonts w:cs="Arial"/>
        </w:rPr>
      </w:pPr>
    </w:p>
    <w:p w14:paraId="024303C3" w14:textId="77777777" w:rsidR="00702F18" w:rsidRDefault="00702F18" w:rsidP="00EB0D85">
      <w:pPr>
        <w:rPr>
          <w:rFonts w:cs="Arial"/>
        </w:rPr>
      </w:pPr>
    </w:p>
    <w:p w14:paraId="2C364E5F" w14:textId="77777777" w:rsidR="00702F18" w:rsidRDefault="00702F18" w:rsidP="00EB0D85">
      <w:pPr>
        <w:rPr>
          <w:rFonts w:cs="Arial"/>
        </w:rPr>
      </w:pPr>
    </w:p>
    <w:p w14:paraId="79BF06BE" w14:textId="77777777" w:rsidR="00702F18" w:rsidRDefault="00702F18" w:rsidP="00EB0D85">
      <w:pPr>
        <w:rPr>
          <w:rFonts w:cs="Arial"/>
        </w:rPr>
      </w:pPr>
    </w:p>
    <w:p w14:paraId="39696F1C" w14:textId="77777777" w:rsidR="00702F18" w:rsidRDefault="00702F18" w:rsidP="00EB0D85">
      <w:pPr>
        <w:rPr>
          <w:rFonts w:cs="Arial"/>
        </w:rPr>
      </w:pPr>
    </w:p>
    <w:p w14:paraId="35291799" w14:textId="77777777" w:rsidR="00702F18" w:rsidRDefault="00702F18" w:rsidP="00EB0D85">
      <w:pPr>
        <w:rPr>
          <w:rFonts w:cs="Arial"/>
        </w:rPr>
      </w:pPr>
    </w:p>
    <w:p w14:paraId="005D9802" w14:textId="77777777" w:rsidR="00702F18" w:rsidRDefault="00702F18" w:rsidP="00EB0D85">
      <w:pPr>
        <w:rPr>
          <w:rFonts w:cs="Arial"/>
        </w:rPr>
      </w:pPr>
    </w:p>
    <w:p w14:paraId="286ACA17" w14:textId="77777777" w:rsidR="00702F18" w:rsidRDefault="00702F18" w:rsidP="00EB0D85">
      <w:pPr>
        <w:rPr>
          <w:rFonts w:cs="Arial"/>
        </w:rPr>
      </w:pPr>
    </w:p>
    <w:p w14:paraId="22513C36" w14:textId="77777777" w:rsidR="00702F18" w:rsidRDefault="00702F18" w:rsidP="00EB0D85">
      <w:pPr>
        <w:rPr>
          <w:rFonts w:cs="Arial"/>
        </w:rPr>
      </w:pPr>
    </w:p>
    <w:p w14:paraId="145FD069" w14:textId="77777777" w:rsidR="00702F18" w:rsidRDefault="00702F18" w:rsidP="00EB0D85">
      <w:pPr>
        <w:rPr>
          <w:rFonts w:cs="Arial"/>
          <w:b/>
          <w:bCs/>
          <w:color w:val="auto"/>
        </w:rPr>
        <w:sectPr w:rsidR="00702F18" w:rsidSect="00702F18">
          <w:headerReference w:type="even" r:id="rId32"/>
          <w:headerReference w:type="default" r:id="rId33"/>
          <w:footerReference w:type="even" r:id="rId34"/>
          <w:footerReference w:type="default" r:id="rId35"/>
          <w:headerReference w:type="first" r:id="rId36"/>
          <w:footerReference w:type="first" r:id="rId37"/>
          <w:pgSz w:w="11906" w:h="16838"/>
          <w:pgMar w:top="1440" w:right="1077" w:bottom="1440" w:left="1077" w:header="709" w:footer="709" w:gutter="0"/>
          <w:cols w:space="708"/>
          <w:titlePg/>
          <w:docGrid w:linePitch="360"/>
        </w:sectPr>
      </w:pPr>
    </w:p>
    <w:p w14:paraId="3F0F8E9D" w14:textId="32D6FF3D" w:rsidR="00EB0D85" w:rsidRPr="00B82A5A" w:rsidRDefault="00EB0D85" w:rsidP="00EB0D85">
      <w:pPr>
        <w:rPr>
          <w:rFonts w:cs="Arial"/>
          <w:b/>
          <w:bCs/>
          <w:color w:val="auto"/>
        </w:rPr>
      </w:pPr>
      <w:r>
        <w:rPr>
          <w:rFonts w:cs="Arial"/>
          <w:b/>
          <w:bCs/>
          <w:color w:val="auto"/>
        </w:rPr>
        <w:lastRenderedPageBreak/>
        <w:t>Ta</w:t>
      </w:r>
      <w:r w:rsidRPr="000A3DEF">
        <w:rPr>
          <w:rFonts w:cs="Arial"/>
          <w:b/>
          <w:bCs/>
          <w:color w:val="auto"/>
        </w:rPr>
        <w:t>ble 2</w:t>
      </w:r>
      <w:r>
        <w:rPr>
          <w:rFonts w:cs="Arial"/>
          <w:b/>
          <w:bCs/>
          <w:color w:val="auto"/>
        </w:rPr>
        <w:t>:</w:t>
      </w:r>
      <w:r w:rsidRPr="000A3DEF">
        <w:rPr>
          <w:rFonts w:cs="Arial"/>
          <w:b/>
          <w:bCs/>
          <w:color w:val="auto"/>
        </w:rPr>
        <w:t xml:space="preserve"> Re</w:t>
      </w:r>
      <w:r>
        <w:rPr>
          <w:rFonts w:cs="Arial"/>
          <w:b/>
          <w:bCs/>
          <w:color w:val="auto"/>
        </w:rPr>
        <w:t>m</w:t>
      </w:r>
      <w:r w:rsidRPr="000A3DEF">
        <w:rPr>
          <w:rFonts w:cs="Arial"/>
          <w:b/>
          <w:bCs/>
          <w:color w:val="auto"/>
        </w:rPr>
        <w:t>u</w:t>
      </w:r>
      <w:r>
        <w:rPr>
          <w:rFonts w:cs="Arial"/>
          <w:b/>
          <w:bCs/>
          <w:color w:val="auto"/>
        </w:rPr>
        <w:t>n</w:t>
      </w:r>
      <w:r w:rsidRPr="000A3DEF">
        <w:rPr>
          <w:rFonts w:cs="Arial"/>
          <w:b/>
          <w:bCs/>
          <w:color w:val="auto"/>
        </w:rPr>
        <w:t xml:space="preserve">eration </w:t>
      </w:r>
      <w:r>
        <w:rPr>
          <w:rFonts w:cs="Arial"/>
          <w:b/>
          <w:bCs/>
          <w:color w:val="auto"/>
        </w:rPr>
        <w:t>of</w:t>
      </w:r>
      <w:r w:rsidRPr="000A3DEF">
        <w:rPr>
          <w:rFonts w:cs="Arial"/>
          <w:b/>
          <w:bCs/>
          <w:color w:val="auto"/>
        </w:rPr>
        <w:t xml:space="preserve"> </w:t>
      </w:r>
      <w:r w:rsidR="00FE2831">
        <w:rPr>
          <w:rFonts w:cs="Arial"/>
          <w:b/>
          <w:bCs/>
          <w:color w:val="auto"/>
        </w:rPr>
        <w:t>KMP</w:t>
      </w:r>
      <w:r w:rsidRPr="000A3DEF">
        <w:rPr>
          <w:rFonts w:cs="Arial"/>
          <w:b/>
          <w:bCs/>
          <w:color w:val="auto"/>
        </w:rPr>
        <w:t xml:space="preserve"> 2025–26</w:t>
      </w:r>
    </w:p>
    <w:tbl>
      <w:tblPr>
        <w:tblStyle w:val="IHACPATable"/>
        <w:tblW w:w="5281" w:type="pct"/>
        <w:tblInd w:w="-142" w:type="dxa"/>
        <w:tblLayout w:type="fixed"/>
        <w:tblLook w:val="01E0" w:firstRow="1" w:lastRow="1" w:firstColumn="1" w:lastColumn="1" w:noHBand="0" w:noVBand="0"/>
      </w:tblPr>
      <w:tblGrid>
        <w:gridCol w:w="2026"/>
        <w:gridCol w:w="1887"/>
        <w:gridCol w:w="1362"/>
        <w:gridCol w:w="1374"/>
        <w:gridCol w:w="1539"/>
        <w:gridCol w:w="1595"/>
        <w:gridCol w:w="1135"/>
        <w:gridCol w:w="1082"/>
        <w:gridCol w:w="1327"/>
        <w:gridCol w:w="1415"/>
      </w:tblGrid>
      <w:tr w:rsidR="00EB0D85" w:rsidRPr="00551BCC" w14:paraId="2F18B834" w14:textId="77777777" w:rsidTr="00ED2732">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687" w:type="pct"/>
          </w:tcPr>
          <w:p w14:paraId="52DF009D" w14:textId="77777777" w:rsidR="00EB0D85" w:rsidRPr="00551BCC" w:rsidRDefault="00EB0D85" w:rsidP="00ED2732">
            <w:pPr>
              <w:pStyle w:val="TableParagraph"/>
              <w:framePr w:hSpace="0" w:wrap="auto" w:vAnchor="margin" w:hAnchor="text" w:yAlign="inline"/>
              <w:tabs>
                <w:tab w:val="left" w:pos="142"/>
              </w:tabs>
              <w:spacing w:before="60" w:after="80" w:line="264" w:lineRule="auto"/>
              <w:ind w:left="85" w:right="85"/>
              <w:jc w:val="left"/>
              <w:rPr>
                <w:b/>
                <w:bCs/>
                <w:color w:val="104F99" w:themeColor="accent2"/>
                <w:sz w:val="16"/>
                <w:szCs w:val="16"/>
              </w:rPr>
            </w:pPr>
          </w:p>
        </w:tc>
        <w:tc>
          <w:tcPr>
            <w:tcW w:w="640" w:type="pct"/>
          </w:tcPr>
          <w:p w14:paraId="5027703C" w14:textId="77777777" w:rsidR="00EB0D85" w:rsidRPr="00551BCC" w:rsidRDefault="00EB0D85" w:rsidP="00ED2732">
            <w:pPr>
              <w:pStyle w:val="TableParagraph"/>
              <w:framePr w:hSpace="0" w:wrap="auto" w:vAnchor="margin" w:hAnchor="text" w:yAlign="inline"/>
              <w:spacing w:before="60" w:after="80" w:line="264" w:lineRule="auto"/>
              <w:ind w:left="85" w:right="85"/>
              <w:jc w:val="left"/>
              <w:cnfStyle w:val="100000000000" w:firstRow="1" w:lastRow="0" w:firstColumn="0" w:lastColumn="0" w:oddVBand="0" w:evenVBand="0" w:oddHBand="0" w:evenHBand="0" w:firstRowFirstColumn="0" w:firstRowLastColumn="0" w:lastRowFirstColumn="0" w:lastRowLastColumn="0"/>
              <w:rPr>
                <w:b/>
                <w:bCs/>
                <w:sz w:val="16"/>
                <w:szCs w:val="16"/>
              </w:rPr>
            </w:pPr>
          </w:p>
        </w:tc>
        <w:tc>
          <w:tcPr>
            <w:tcW w:w="927" w:type="pct"/>
            <w:gridSpan w:val="2"/>
          </w:tcPr>
          <w:p w14:paraId="1409888A" w14:textId="77777777" w:rsidR="00EB0D85" w:rsidRPr="00551BCC" w:rsidRDefault="00EB0D85" w:rsidP="00ED2732">
            <w:pPr>
              <w:pStyle w:val="TableParagraph"/>
              <w:framePr w:hSpace="0" w:wrap="auto" w:vAnchor="margin" w:hAnchor="text" w:yAlign="inline"/>
              <w:spacing w:before="60" w:after="80" w:line="264" w:lineRule="auto"/>
              <w:ind w:left="85" w:right="85" w:hanging="4"/>
              <w:cnfStyle w:val="100000000000" w:firstRow="1" w:lastRow="0" w:firstColumn="0" w:lastColumn="0" w:oddVBand="0" w:evenVBand="0" w:oddHBand="0" w:evenHBand="0" w:firstRowFirstColumn="0" w:firstRowLastColumn="0" w:lastRowFirstColumn="0" w:lastRowLastColumn="0"/>
              <w:rPr>
                <w:b/>
                <w:bCs/>
                <w:sz w:val="16"/>
                <w:szCs w:val="16"/>
              </w:rPr>
            </w:pPr>
            <w:r w:rsidRPr="00551BCC">
              <w:rPr>
                <w:b/>
                <w:bCs/>
                <w:sz w:val="16"/>
                <w:szCs w:val="16"/>
              </w:rPr>
              <w:t>Short</w:t>
            </w:r>
            <w:r>
              <w:rPr>
                <w:b/>
                <w:bCs/>
                <w:sz w:val="16"/>
                <w:szCs w:val="16"/>
              </w:rPr>
              <w:t>-</w:t>
            </w:r>
            <w:r w:rsidRPr="00551BCC">
              <w:rPr>
                <w:b/>
                <w:bCs/>
                <w:sz w:val="16"/>
                <w:szCs w:val="16"/>
              </w:rPr>
              <w:t>term benefits</w:t>
            </w:r>
          </w:p>
        </w:tc>
        <w:tc>
          <w:tcPr>
            <w:tcW w:w="1063" w:type="pct"/>
            <w:gridSpan w:val="2"/>
          </w:tcPr>
          <w:p w14:paraId="4CC7C856" w14:textId="77777777" w:rsidR="00EB0D85" w:rsidRPr="00551BCC" w:rsidRDefault="00EB0D85" w:rsidP="00ED2732">
            <w:pPr>
              <w:pStyle w:val="TableParagraph"/>
              <w:framePr w:hSpace="0" w:wrap="auto" w:vAnchor="margin" w:hAnchor="text" w:yAlign="inline"/>
              <w:spacing w:before="60" w:after="80" w:line="264" w:lineRule="auto"/>
              <w:ind w:left="85" w:right="85"/>
              <w:cnfStyle w:val="100000000000" w:firstRow="1" w:lastRow="0" w:firstColumn="0" w:lastColumn="0" w:oddVBand="0" w:evenVBand="0" w:oddHBand="0" w:evenHBand="0" w:firstRowFirstColumn="0" w:firstRowLastColumn="0" w:lastRowFirstColumn="0" w:lastRowLastColumn="0"/>
              <w:rPr>
                <w:b/>
                <w:bCs/>
                <w:sz w:val="16"/>
                <w:szCs w:val="16"/>
              </w:rPr>
            </w:pPr>
            <w:r w:rsidRPr="00551BCC">
              <w:rPr>
                <w:b/>
                <w:bCs/>
                <w:sz w:val="16"/>
                <w:szCs w:val="16"/>
              </w:rPr>
              <w:t>Post employment</w:t>
            </w:r>
          </w:p>
        </w:tc>
        <w:tc>
          <w:tcPr>
            <w:tcW w:w="1202" w:type="pct"/>
            <w:gridSpan w:val="3"/>
          </w:tcPr>
          <w:p w14:paraId="275D598B" w14:textId="77777777" w:rsidR="00EB0D85" w:rsidRPr="00551BCC" w:rsidRDefault="00EB0D85" w:rsidP="00ED2732">
            <w:pPr>
              <w:pStyle w:val="TableParagraph"/>
              <w:framePr w:hSpace="0" w:wrap="auto" w:vAnchor="margin" w:hAnchor="text" w:yAlign="inline"/>
              <w:spacing w:before="60" w:after="80" w:line="264" w:lineRule="auto"/>
              <w:ind w:left="85" w:right="85"/>
              <w:cnfStyle w:val="100000000000" w:firstRow="1" w:lastRow="0" w:firstColumn="0" w:lastColumn="0" w:oddVBand="0" w:evenVBand="0" w:oddHBand="0" w:evenHBand="0" w:firstRowFirstColumn="0" w:firstRowLastColumn="0" w:lastRowFirstColumn="0" w:lastRowLastColumn="0"/>
              <w:rPr>
                <w:b/>
                <w:bCs/>
                <w:sz w:val="16"/>
                <w:szCs w:val="16"/>
              </w:rPr>
            </w:pPr>
            <w:r w:rsidRPr="00551BCC">
              <w:rPr>
                <w:b/>
                <w:bCs/>
                <w:sz w:val="16"/>
                <w:szCs w:val="16"/>
              </w:rPr>
              <w:t>Other long</w:t>
            </w:r>
            <w:r w:rsidRPr="00551BCC">
              <w:rPr>
                <w:rFonts w:ascii="Cambria Math" w:hAnsi="Cambria Math" w:cs="Cambria Math"/>
                <w:b/>
                <w:bCs/>
                <w:sz w:val="16"/>
                <w:szCs w:val="16"/>
              </w:rPr>
              <w:t>‑</w:t>
            </w:r>
            <w:r w:rsidRPr="00551BCC">
              <w:rPr>
                <w:b/>
                <w:bCs/>
                <w:sz w:val="16"/>
                <w:szCs w:val="16"/>
              </w:rPr>
              <w:t>term benefits</w:t>
            </w:r>
          </w:p>
        </w:tc>
        <w:tc>
          <w:tcPr>
            <w:tcW w:w="481" w:type="pct"/>
          </w:tcPr>
          <w:p w14:paraId="4340FC38" w14:textId="77777777" w:rsidR="00EB0D85" w:rsidRPr="00551BCC" w:rsidRDefault="00EB0D85" w:rsidP="00ED2732">
            <w:pPr>
              <w:pStyle w:val="TableParagraph"/>
              <w:framePr w:hSpace="0" w:wrap="auto" w:vAnchor="margin" w:hAnchor="text" w:yAlign="inline"/>
              <w:spacing w:before="60" w:after="80" w:line="264" w:lineRule="auto"/>
              <w:ind w:left="85" w:right="85"/>
              <w:jc w:val="left"/>
              <w:cnfStyle w:val="100000000000" w:firstRow="1" w:lastRow="0" w:firstColumn="0" w:lastColumn="0" w:oddVBand="0" w:evenVBand="0" w:oddHBand="0" w:evenHBand="0" w:firstRowFirstColumn="0" w:firstRowLastColumn="0" w:lastRowFirstColumn="0" w:lastRowLastColumn="0"/>
              <w:rPr>
                <w:b/>
                <w:bCs/>
                <w:color w:val="104F99" w:themeColor="accent2"/>
                <w:sz w:val="16"/>
                <w:szCs w:val="16"/>
              </w:rPr>
            </w:pPr>
          </w:p>
        </w:tc>
      </w:tr>
      <w:tr w:rsidR="00EB0D85" w:rsidRPr="00551BCC" w14:paraId="57645D00" w14:textId="77777777" w:rsidTr="00ED2732">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687" w:type="pct"/>
          </w:tcPr>
          <w:p w14:paraId="625F5DC8" w14:textId="77777777" w:rsidR="00EB0D85" w:rsidRPr="00AE6486" w:rsidRDefault="00EB0D85" w:rsidP="00ED2732">
            <w:pPr>
              <w:pStyle w:val="TableParagraph"/>
              <w:framePr w:hSpace="0" w:wrap="auto" w:vAnchor="margin" w:hAnchor="text" w:yAlign="inline"/>
              <w:tabs>
                <w:tab w:val="left" w:pos="142"/>
              </w:tabs>
              <w:spacing w:before="100" w:after="80" w:line="264" w:lineRule="auto"/>
              <w:ind w:left="57" w:right="57"/>
              <w:jc w:val="left"/>
              <w:rPr>
                <w:b/>
                <w:bCs/>
                <w:color w:val="15272F" w:themeColor="text1"/>
                <w:sz w:val="16"/>
                <w:szCs w:val="16"/>
              </w:rPr>
            </w:pPr>
            <w:r w:rsidRPr="00AE6486">
              <w:rPr>
                <w:b/>
                <w:bCs/>
                <w:color w:val="15272F" w:themeColor="text1"/>
                <w:sz w:val="16"/>
                <w:szCs w:val="16"/>
              </w:rPr>
              <w:t>Name</w:t>
            </w:r>
          </w:p>
        </w:tc>
        <w:tc>
          <w:tcPr>
            <w:tcW w:w="640" w:type="pct"/>
          </w:tcPr>
          <w:p w14:paraId="7F9DB903" w14:textId="77777777" w:rsidR="00EB0D85" w:rsidRPr="00AE6486"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b/>
                <w:bCs/>
                <w:color w:val="15272F" w:themeColor="text1"/>
                <w:sz w:val="16"/>
                <w:szCs w:val="16"/>
              </w:rPr>
            </w:pPr>
            <w:r w:rsidRPr="00AE6486">
              <w:rPr>
                <w:b/>
                <w:bCs/>
                <w:color w:val="15272F" w:themeColor="text1"/>
                <w:sz w:val="16"/>
                <w:szCs w:val="16"/>
              </w:rPr>
              <w:t>Position title</w:t>
            </w:r>
          </w:p>
        </w:tc>
        <w:tc>
          <w:tcPr>
            <w:tcW w:w="462" w:type="pct"/>
          </w:tcPr>
          <w:p w14:paraId="60CFB5DA" w14:textId="77777777" w:rsidR="00EB0D85" w:rsidRPr="00AE6486"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b/>
                <w:bCs/>
                <w:i/>
                <w:iCs/>
                <w:color w:val="15272F" w:themeColor="text1"/>
                <w:sz w:val="16"/>
                <w:szCs w:val="16"/>
              </w:rPr>
            </w:pPr>
            <w:r w:rsidRPr="00AE6486">
              <w:rPr>
                <w:b/>
                <w:bCs/>
                <w:color w:val="15272F" w:themeColor="text1"/>
                <w:sz w:val="16"/>
                <w:szCs w:val="16"/>
              </w:rPr>
              <w:t>Base</w:t>
            </w:r>
            <w:r w:rsidRPr="00AE6486">
              <w:rPr>
                <w:b/>
                <w:bCs/>
                <w:color w:val="15272F" w:themeColor="text1"/>
                <w:sz w:val="16"/>
                <w:szCs w:val="16"/>
              </w:rPr>
              <w:br/>
              <w:t>salary</w:t>
            </w:r>
            <w:r w:rsidRPr="00AE6486">
              <w:rPr>
                <w:b/>
                <w:bCs/>
                <w:i/>
                <w:iCs/>
                <w:color w:val="15272F" w:themeColor="text1"/>
                <w:sz w:val="16"/>
                <w:szCs w:val="16"/>
              </w:rPr>
              <w:br/>
              <w:t>$</w:t>
            </w:r>
          </w:p>
        </w:tc>
        <w:tc>
          <w:tcPr>
            <w:tcW w:w="466" w:type="pct"/>
          </w:tcPr>
          <w:p w14:paraId="1B805F83" w14:textId="77777777" w:rsidR="00EB0D85" w:rsidRPr="00AE6486" w:rsidRDefault="00EB0D85" w:rsidP="00ED2732">
            <w:pPr>
              <w:pStyle w:val="TableParagraph"/>
              <w:framePr w:hSpace="0" w:wrap="auto" w:vAnchor="margin" w:hAnchor="text" w:yAlign="inline"/>
              <w:spacing w:before="100" w:after="80" w:line="264" w:lineRule="auto"/>
              <w:ind w:left="57" w:right="57" w:hanging="4"/>
              <w:cnfStyle w:val="000000100000" w:firstRow="0" w:lastRow="0" w:firstColumn="0" w:lastColumn="0" w:oddVBand="0" w:evenVBand="0" w:oddHBand="1" w:evenHBand="0" w:firstRowFirstColumn="0" w:firstRowLastColumn="0" w:lastRowFirstColumn="0" w:lastRowLastColumn="0"/>
              <w:rPr>
                <w:b/>
                <w:bCs/>
                <w:color w:val="15272F" w:themeColor="text1"/>
                <w:sz w:val="16"/>
                <w:szCs w:val="16"/>
              </w:rPr>
            </w:pPr>
            <w:r w:rsidRPr="00AE6486">
              <w:rPr>
                <w:b/>
                <w:bCs/>
                <w:color w:val="15272F" w:themeColor="text1"/>
                <w:sz w:val="16"/>
                <w:szCs w:val="16"/>
              </w:rPr>
              <w:t>Bonuses</w:t>
            </w:r>
            <w:r w:rsidRPr="00AE6486">
              <w:rPr>
                <w:b/>
                <w:bCs/>
                <w:color w:val="15272F" w:themeColor="text1"/>
                <w:sz w:val="16"/>
                <w:szCs w:val="16"/>
              </w:rPr>
              <w:br/>
              <w:t>$</w:t>
            </w:r>
          </w:p>
        </w:tc>
        <w:tc>
          <w:tcPr>
            <w:tcW w:w="522" w:type="pct"/>
          </w:tcPr>
          <w:p w14:paraId="26DCECF9" w14:textId="77777777" w:rsidR="00EB0D85" w:rsidRPr="00AE6486"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b/>
                <w:bCs/>
                <w:color w:val="15272F" w:themeColor="text1"/>
                <w:sz w:val="16"/>
                <w:szCs w:val="16"/>
              </w:rPr>
            </w:pPr>
            <w:r w:rsidRPr="00AE6486">
              <w:rPr>
                <w:b/>
                <w:bCs/>
                <w:color w:val="15272F" w:themeColor="text1"/>
                <w:sz w:val="16"/>
                <w:szCs w:val="16"/>
              </w:rPr>
              <w:t xml:space="preserve">Other </w:t>
            </w:r>
            <w:r w:rsidRPr="00AE6486">
              <w:rPr>
                <w:b/>
                <w:bCs/>
                <w:color w:val="15272F" w:themeColor="text1"/>
                <w:sz w:val="16"/>
                <w:szCs w:val="16"/>
              </w:rPr>
              <w:br/>
              <w:t>benefits and allowances</w:t>
            </w:r>
            <w:r w:rsidRPr="00AE6486">
              <w:rPr>
                <w:b/>
                <w:bCs/>
                <w:color w:val="15272F" w:themeColor="text1"/>
                <w:sz w:val="16"/>
                <w:szCs w:val="16"/>
              </w:rPr>
              <w:br/>
              <w:t>$</w:t>
            </w:r>
          </w:p>
        </w:tc>
        <w:tc>
          <w:tcPr>
            <w:tcW w:w="541" w:type="pct"/>
          </w:tcPr>
          <w:p w14:paraId="047BD1C5" w14:textId="77777777" w:rsidR="00EB0D85" w:rsidRPr="00AE6486"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b/>
                <w:bCs/>
                <w:color w:val="15272F" w:themeColor="text1"/>
                <w:sz w:val="16"/>
                <w:szCs w:val="16"/>
              </w:rPr>
            </w:pPr>
            <w:r w:rsidRPr="00AE6486">
              <w:rPr>
                <w:b/>
                <w:bCs/>
                <w:color w:val="15272F" w:themeColor="text1"/>
                <w:sz w:val="16"/>
                <w:szCs w:val="16"/>
              </w:rPr>
              <w:t>Superannuation</w:t>
            </w:r>
            <w:r w:rsidRPr="00AE6486">
              <w:rPr>
                <w:b/>
                <w:bCs/>
                <w:color w:val="15272F" w:themeColor="text1"/>
                <w:sz w:val="16"/>
                <w:szCs w:val="16"/>
              </w:rPr>
              <w:br/>
              <w:t>contributions</w:t>
            </w:r>
            <w:r w:rsidRPr="00AE6486">
              <w:rPr>
                <w:b/>
                <w:bCs/>
                <w:color w:val="15272F" w:themeColor="text1"/>
                <w:sz w:val="16"/>
                <w:szCs w:val="16"/>
              </w:rPr>
              <w:br/>
              <w:t>$</w:t>
            </w:r>
          </w:p>
        </w:tc>
        <w:tc>
          <w:tcPr>
            <w:tcW w:w="385" w:type="pct"/>
          </w:tcPr>
          <w:p w14:paraId="1D2B26B8" w14:textId="77777777" w:rsidR="00EB0D85" w:rsidRPr="00AE6486"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b/>
                <w:bCs/>
                <w:color w:val="15272F" w:themeColor="text1"/>
                <w:sz w:val="16"/>
                <w:szCs w:val="16"/>
              </w:rPr>
            </w:pPr>
            <w:r w:rsidRPr="00AE6486">
              <w:rPr>
                <w:b/>
                <w:bCs/>
                <w:color w:val="15272F" w:themeColor="text1"/>
                <w:sz w:val="16"/>
                <w:szCs w:val="16"/>
              </w:rPr>
              <w:t>Long</w:t>
            </w:r>
            <w:r w:rsidRPr="00AE6486">
              <w:rPr>
                <w:rFonts w:ascii="Cambria Math" w:hAnsi="Cambria Math" w:cs="Cambria Math"/>
                <w:b/>
                <w:bCs/>
                <w:color w:val="15272F" w:themeColor="text1"/>
                <w:sz w:val="16"/>
                <w:szCs w:val="16"/>
              </w:rPr>
              <w:t>‑</w:t>
            </w:r>
            <w:r w:rsidRPr="00AE6486">
              <w:rPr>
                <w:b/>
                <w:bCs/>
                <w:color w:val="15272F" w:themeColor="text1"/>
                <w:sz w:val="16"/>
                <w:szCs w:val="16"/>
              </w:rPr>
              <w:t xml:space="preserve">term </w:t>
            </w:r>
            <w:r w:rsidRPr="00AE6486">
              <w:rPr>
                <w:b/>
                <w:bCs/>
                <w:color w:val="15272F" w:themeColor="text1"/>
                <w:sz w:val="16"/>
                <w:szCs w:val="16"/>
              </w:rPr>
              <w:br/>
              <w:t>leave</w:t>
            </w:r>
            <w:r w:rsidRPr="00AE6486">
              <w:rPr>
                <w:b/>
                <w:bCs/>
                <w:color w:val="15272F" w:themeColor="text1"/>
                <w:sz w:val="16"/>
                <w:szCs w:val="16"/>
              </w:rPr>
              <w:br/>
              <w:t>$</w:t>
            </w:r>
          </w:p>
        </w:tc>
        <w:tc>
          <w:tcPr>
            <w:tcW w:w="367" w:type="pct"/>
          </w:tcPr>
          <w:p w14:paraId="1B792482" w14:textId="77777777" w:rsidR="00EB0D85" w:rsidRPr="00AE6486"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b/>
                <w:bCs/>
                <w:color w:val="15272F" w:themeColor="text1"/>
                <w:sz w:val="16"/>
                <w:szCs w:val="16"/>
              </w:rPr>
            </w:pPr>
            <w:r w:rsidRPr="00AE6486">
              <w:rPr>
                <w:b/>
                <w:bCs/>
                <w:color w:val="15272F" w:themeColor="text1"/>
                <w:sz w:val="16"/>
                <w:szCs w:val="16"/>
              </w:rPr>
              <w:t xml:space="preserve">Other service </w:t>
            </w:r>
            <w:r w:rsidRPr="00AE6486">
              <w:rPr>
                <w:b/>
                <w:bCs/>
                <w:color w:val="15272F" w:themeColor="text1"/>
                <w:sz w:val="16"/>
                <w:szCs w:val="16"/>
              </w:rPr>
              <w:br/>
              <w:t>benefit</w:t>
            </w:r>
            <w:r w:rsidRPr="00AE6486">
              <w:rPr>
                <w:b/>
                <w:bCs/>
                <w:color w:val="15272F" w:themeColor="text1"/>
                <w:sz w:val="16"/>
                <w:szCs w:val="16"/>
              </w:rPr>
              <w:br/>
              <w:t>$</w:t>
            </w:r>
          </w:p>
        </w:tc>
        <w:tc>
          <w:tcPr>
            <w:tcW w:w="450" w:type="pct"/>
          </w:tcPr>
          <w:p w14:paraId="117A4388" w14:textId="77777777" w:rsidR="00EB0D85" w:rsidRPr="00AE6486"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b/>
                <w:bCs/>
                <w:color w:val="15272F" w:themeColor="text1"/>
                <w:sz w:val="16"/>
                <w:szCs w:val="16"/>
              </w:rPr>
            </w:pPr>
            <w:r w:rsidRPr="00AE6486">
              <w:rPr>
                <w:b/>
                <w:bCs/>
                <w:color w:val="15272F" w:themeColor="text1"/>
                <w:sz w:val="16"/>
                <w:szCs w:val="16"/>
              </w:rPr>
              <w:t>Termination</w:t>
            </w:r>
            <w:r w:rsidRPr="00AE6486">
              <w:rPr>
                <w:b/>
                <w:bCs/>
                <w:color w:val="15272F" w:themeColor="text1"/>
                <w:sz w:val="16"/>
                <w:szCs w:val="16"/>
              </w:rPr>
              <w:br/>
              <w:t>$</w:t>
            </w:r>
          </w:p>
        </w:tc>
        <w:tc>
          <w:tcPr>
            <w:tcW w:w="481" w:type="pct"/>
          </w:tcPr>
          <w:p w14:paraId="1A7D63A4" w14:textId="77777777" w:rsidR="00EB0D85" w:rsidRPr="00AE6486"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b/>
                <w:bCs/>
                <w:color w:val="15272F" w:themeColor="text1"/>
                <w:sz w:val="16"/>
                <w:szCs w:val="16"/>
              </w:rPr>
            </w:pPr>
            <w:r w:rsidRPr="00AE6486">
              <w:rPr>
                <w:b/>
                <w:bCs/>
                <w:color w:val="15272F" w:themeColor="text1"/>
                <w:sz w:val="16"/>
                <w:szCs w:val="16"/>
              </w:rPr>
              <w:t>Total benefits remuneration</w:t>
            </w:r>
            <w:r w:rsidRPr="00AE6486">
              <w:rPr>
                <w:b/>
                <w:bCs/>
                <w:color w:val="15272F" w:themeColor="text1"/>
                <w:sz w:val="16"/>
                <w:szCs w:val="16"/>
              </w:rPr>
              <w:br/>
              <w:t>$</w:t>
            </w:r>
          </w:p>
        </w:tc>
      </w:tr>
      <w:tr w:rsidR="00EB0D85" w:rsidRPr="00551BCC" w14:paraId="1F05D27C" w14:textId="77777777" w:rsidTr="00ED2732">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687" w:type="pct"/>
          </w:tcPr>
          <w:p w14:paraId="40509B59" w14:textId="77777777" w:rsidR="00EB0D85" w:rsidRPr="00AE6486" w:rsidRDefault="00EB0D85" w:rsidP="00ED2732">
            <w:pPr>
              <w:pStyle w:val="TableParagraph"/>
              <w:framePr w:hSpace="0" w:wrap="auto" w:vAnchor="margin" w:hAnchor="text" w:yAlign="inline"/>
              <w:tabs>
                <w:tab w:val="left" w:pos="142"/>
              </w:tabs>
              <w:spacing w:before="100" w:after="80" w:line="264" w:lineRule="auto"/>
              <w:ind w:left="57" w:right="57"/>
              <w:jc w:val="left"/>
              <w:rPr>
                <w:b/>
                <w:bCs/>
                <w:color w:val="15272F" w:themeColor="text1"/>
                <w:sz w:val="16"/>
                <w:szCs w:val="16"/>
              </w:rPr>
            </w:pPr>
            <w:r w:rsidRPr="00AE6486">
              <w:rPr>
                <w:b/>
                <w:bCs/>
                <w:color w:val="15272F" w:themeColor="text1"/>
                <w:sz w:val="16"/>
                <w:szCs w:val="16"/>
              </w:rPr>
              <w:t>Mr Glenn Appleyard</w:t>
            </w:r>
            <w:r w:rsidRPr="00AE6486">
              <w:rPr>
                <w:rStyle w:val="FootnoteReference"/>
                <w:b/>
                <w:bCs/>
                <w:color w:val="15272F" w:themeColor="text1"/>
                <w:sz w:val="16"/>
                <w:szCs w:val="16"/>
              </w:rPr>
              <w:footnoteReference w:id="2"/>
            </w:r>
          </w:p>
        </w:tc>
        <w:tc>
          <w:tcPr>
            <w:tcW w:w="640" w:type="pct"/>
          </w:tcPr>
          <w:p w14:paraId="6F6470B5" w14:textId="77777777" w:rsidR="00EB0D85" w:rsidRPr="00AE6486"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color w:val="15272F" w:themeColor="text1"/>
                <w:sz w:val="16"/>
                <w:szCs w:val="16"/>
              </w:rPr>
            </w:pPr>
            <w:r w:rsidRPr="00AE6486">
              <w:rPr>
                <w:color w:val="15272F" w:themeColor="text1"/>
                <w:sz w:val="16"/>
                <w:szCs w:val="16"/>
              </w:rPr>
              <w:t>Pricing Authority member</w:t>
            </w:r>
          </w:p>
        </w:tc>
        <w:tc>
          <w:tcPr>
            <w:tcW w:w="462" w:type="pct"/>
          </w:tcPr>
          <w:p w14:paraId="7B44C59D" w14:textId="77777777" w:rsidR="00EB0D85" w:rsidRPr="00005CCD"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sidRPr="00005CCD">
              <w:rPr>
                <w:sz w:val="16"/>
                <w:szCs w:val="16"/>
              </w:rPr>
              <w:t>41,718</w:t>
            </w:r>
          </w:p>
        </w:tc>
        <w:tc>
          <w:tcPr>
            <w:tcW w:w="466" w:type="pct"/>
          </w:tcPr>
          <w:p w14:paraId="185E0D9A" w14:textId="77777777" w:rsidR="00EB0D85" w:rsidRPr="00551BCC" w:rsidRDefault="00EB0D85" w:rsidP="00ED2732">
            <w:pPr>
              <w:pStyle w:val="TableParagraph"/>
              <w:framePr w:hSpace="0" w:wrap="auto" w:vAnchor="margin" w:hAnchor="text" w:yAlign="inline"/>
              <w:spacing w:before="100" w:after="80" w:line="264" w:lineRule="auto"/>
              <w:ind w:left="57" w:right="57" w:hanging="4"/>
              <w:jc w:val="left"/>
              <w:cnfStyle w:val="000000010000" w:firstRow="0" w:lastRow="0" w:firstColumn="0" w:lastColumn="0" w:oddVBand="0" w:evenVBand="0" w:oddHBand="0" w:evenHBand="1" w:firstRowFirstColumn="0" w:firstRowLastColumn="0" w:lastRowFirstColumn="0" w:lastRowLastColumn="0"/>
              <w:rPr>
                <w:sz w:val="16"/>
                <w:szCs w:val="16"/>
              </w:rPr>
            </w:pPr>
            <w:r w:rsidRPr="00551BCC">
              <w:rPr>
                <w:sz w:val="16"/>
                <w:szCs w:val="16"/>
              </w:rPr>
              <w:t>-</w:t>
            </w:r>
          </w:p>
        </w:tc>
        <w:tc>
          <w:tcPr>
            <w:tcW w:w="522" w:type="pct"/>
          </w:tcPr>
          <w:p w14:paraId="6B3C8045"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r w:rsidRPr="00551BCC">
              <w:rPr>
                <w:sz w:val="16"/>
                <w:szCs w:val="16"/>
              </w:rPr>
              <w:t>-</w:t>
            </w:r>
          </w:p>
        </w:tc>
        <w:tc>
          <w:tcPr>
            <w:tcW w:w="541" w:type="pct"/>
          </w:tcPr>
          <w:p w14:paraId="0B11C12B"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6,425</w:t>
            </w:r>
          </w:p>
        </w:tc>
        <w:tc>
          <w:tcPr>
            <w:tcW w:w="385" w:type="pct"/>
          </w:tcPr>
          <w:p w14:paraId="432C49E4"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r w:rsidRPr="00551BCC">
              <w:rPr>
                <w:sz w:val="16"/>
                <w:szCs w:val="16"/>
              </w:rPr>
              <w:t>-</w:t>
            </w:r>
          </w:p>
        </w:tc>
        <w:tc>
          <w:tcPr>
            <w:tcW w:w="367" w:type="pct"/>
          </w:tcPr>
          <w:p w14:paraId="151B7D4F"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r w:rsidRPr="00551BCC">
              <w:rPr>
                <w:sz w:val="16"/>
                <w:szCs w:val="16"/>
              </w:rPr>
              <w:t>-</w:t>
            </w:r>
          </w:p>
        </w:tc>
        <w:tc>
          <w:tcPr>
            <w:tcW w:w="450" w:type="pct"/>
          </w:tcPr>
          <w:p w14:paraId="5AA2EC21"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r w:rsidRPr="00551BCC">
              <w:rPr>
                <w:sz w:val="16"/>
                <w:szCs w:val="16"/>
              </w:rPr>
              <w:t>-</w:t>
            </w:r>
          </w:p>
        </w:tc>
        <w:tc>
          <w:tcPr>
            <w:tcW w:w="481" w:type="pct"/>
          </w:tcPr>
          <w:p w14:paraId="3749A32D"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sidRPr="00AF4601">
              <w:rPr>
                <w:sz w:val="16"/>
                <w:szCs w:val="16"/>
              </w:rPr>
              <w:t>48</w:t>
            </w:r>
            <w:r>
              <w:rPr>
                <w:sz w:val="16"/>
                <w:szCs w:val="16"/>
              </w:rPr>
              <w:t>,</w:t>
            </w:r>
            <w:r w:rsidRPr="00AF4601">
              <w:rPr>
                <w:sz w:val="16"/>
                <w:szCs w:val="16"/>
              </w:rPr>
              <w:t>143</w:t>
            </w:r>
          </w:p>
        </w:tc>
      </w:tr>
      <w:tr w:rsidR="00EB0D85" w:rsidRPr="00551BCC" w14:paraId="4999758B" w14:textId="77777777" w:rsidTr="00ED2732">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687" w:type="pct"/>
          </w:tcPr>
          <w:p w14:paraId="3D68B06B" w14:textId="77777777" w:rsidR="00EB0D85" w:rsidRPr="00AE6486" w:rsidRDefault="00EB0D85" w:rsidP="00ED2732">
            <w:pPr>
              <w:pStyle w:val="TableParagraph"/>
              <w:framePr w:hSpace="0" w:wrap="auto" w:vAnchor="margin" w:hAnchor="text" w:yAlign="inline"/>
              <w:tabs>
                <w:tab w:val="left" w:pos="142"/>
              </w:tabs>
              <w:spacing w:before="100" w:after="80" w:line="264" w:lineRule="auto"/>
              <w:ind w:left="57" w:right="57"/>
              <w:jc w:val="left"/>
              <w:rPr>
                <w:b/>
                <w:bCs/>
                <w:color w:val="15272F" w:themeColor="text1"/>
                <w:sz w:val="16"/>
                <w:szCs w:val="16"/>
              </w:rPr>
            </w:pPr>
            <w:r w:rsidRPr="00AE6486">
              <w:rPr>
                <w:b/>
                <w:bCs/>
                <w:color w:val="15272F" w:themeColor="text1"/>
                <w:sz w:val="16"/>
                <w:szCs w:val="16"/>
              </w:rPr>
              <w:t>Dr Adam Coltzau</w:t>
            </w:r>
          </w:p>
        </w:tc>
        <w:tc>
          <w:tcPr>
            <w:tcW w:w="640" w:type="pct"/>
          </w:tcPr>
          <w:p w14:paraId="7444DCBF" w14:textId="77777777" w:rsidR="00EB0D85" w:rsidRPr="00AE6486"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color w:val="15272F" w:themeColor="text1"/>
                <w:sz w:val="16"/>
                <w:szCs w:val="16"/>
              </w:rPr>
            </w:pPr>
            <w:r w:rsidRPr="00AE6486">
              <w:rPr>
                <w:color w:val="15272F" w:themeColor="text1"/>
                <w:sz w:val="16"/>
                <w:szCs w:val="16"/>
              </w:rPr>
              <w:t>Pricing Authority member</w:t>
            </w:r>
          </w:p>
        </w:tc>
        <w:tc>
          <w:tcPr>
            <w:tcW w:w="462" w:type="pct"/>
          </w:tcPr>
          <w:p w14:paraId="10D59076" w14:textId="77777777" w:rsidR="00EB0D85" w:rsidRPr="00AF4601"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sidRPr="00AF4601">
              <w:rPr>
                <w:sz w:val="16"/>
                <w:szCs w:val="16"/>
              </w:rPr>
              <w:t>53,181</w:t>
            </w:r>
          </w:p>
        </w:tc>
        <w:tc>
          <w:tcPr>
            <w:tcW w:w="466" w:type="pct"/>
          </w:tcPr>
          <w:p w14:paraId="6C13C91E" w14:textId="77777777" w:rsidR="00EB0D85" w:rsidRPr="00551BCC" w:rsidRDefault="00EB0D85" w:rsidP="00ED2732">
            <w:pPr>
              <w:pStyle w:val="TableParagraph"/>
              <w:framePr w:hSpace="0" w:wrap="auto" w:vAnchor="margin" w:hAnchor="text" w:yAlign="inline"/>
              <w:spacing w:before="100" w:after="80" w:line="264" w:lineRule="auto"/>
              <w:ind w:left="57" w:right="57" w:hanging="4"/>
              <w:jc w:val="left"/>
              <w:cnfStyle w:val="000000100000" w:firstRow="0" w:lastRow="0" w:firstColumn="0" w:lastColumn="0" w:oddVBand="0" w:evenVBand="0" w:oddHBand="1" w:evenHBand="0" w:firstRowFirstColumn="0" w:firstRowLastColumn="0" w:lastRowFirstColumn="0" w:lastRowLastColumn="0"/>
              <w:rPr>
                <w:sz w:val="16"/>
                <w:szCs w:val="16"/>
              </w:rPr>
            </w:pPr>
            <w:r w:rsidRPr="00551BCC">
              <w:rPr>
                <w:sz w:val="16"/>
                <w:szCs w:val="16"/>
              </w:rPr>
              <w:t>-</w:t>
            </w:r>
          </w:p>
        </w:tc>
        <w:tc>
          <w:tcPr>
            <w:tcW w:w="522" w:type="pct"/>
          </w:tcPr>
          <w:p w14:paraId="4E178453"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551BCC">
              <w:rPr>
                <w:sz w:val="16"/>
                <w:szCs w:val="16"/>
              </w:rPr>
              <w:t>-</w:t>
            </w:r>
          </w:p>
        </w:tc>
        <w:tc>
          <w:tcPr>
            <w:tcW w:w="541" w:type="pct"/>
          </w:tcPr>
          <w:p w14:paraId="773C4AE0"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6,382</w:t>
            </w:r>
          </w:p>
        </w:tc>
        <w:tc>
          <w:tcPr>
            <w:tcW w:w="385" w:type="pct"/>
          </w:tcPr>
          <w:p w14:paraId="5F1174B3"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551BCC">
              <w:rPr>
                <w:sz w:val="16"/>
                <w:szCs w:val="16"/>
              </w:rPr>
              <w:t>-</w:t>
            </w:r>
          </w:p>
        </w:tc>
        <w:tc>
          <w:tcPr>
            <w:tcW w:w="367" w:type="pct"/>
          </w:tcPr>
          <w:p w14:paraId="3BB6E4A6"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551BCC">
              <w:rPr>
                <w:sz w:val="16"/>
                <w:szCs w:val="16"/>
              </w:rPr>
              <w:t>-</w:t>
            </w:r>
          </w:p>
        </w:tc>
        <w:tc>
          <w:tcPr>
            <w:tcW w:w="450" w:type="pct"/>
          </w:tcPr>
          <w:p w14:paraId="726E842D"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551BCC">
              <w:rPr>
                <w:sz w:val="16"/>
                <w:szCs w:val="16"/>
              </w:rPr>
              <w:t>-</w:t>
            </w:r>
          </w:p>
        </w:tc>
        <w:tc>
          <w:tcPr>
            <w:tcW w:w="481" w:type="pct"/>
          </w:tcPr>
          <w:p w14:paraId="14D1A451"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59,563</w:t>
            </w:r>
          </w:p>
        </w:tc>
      </w:tr>
      <w:tr w:rsidR="00EB0D85" w:rsidRPr="00551BCC" w14:paraId="506C96CA" w14:textId="77777777" w:rsidTr="00ED2732">
        <w:trPr>
          <w:cnfStyle w:val="000000010000" w:firstRow="0" w:lastRow="0" w:firstColumn="0" w:lastColumn="0" w:oddVBand="0" w:evenVBand="0" w:oddHBand="0" w:evenHBand="1"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687" w:type="pct"/>
          </w:tcPr>
          <w:p w14:paraId="1F3F1F3A" w14:textId="77777777" w:rsidR="00EB0D85" w:rsidRPr="00AE6486" w:rsidRDefault="00EB0D85" w:rsidP="00ED2732">
            <w:pPr>
              <w:pStyle w:val="TableParagraph"/>
              <w:framePr w:hSpace="0" w:wrap="auto" w:vAnchor="margin" w:hAnchor="text" w:yAlign="inline"/>
              <w:tabs>
                <w:tab w:val="left" w:pos="142"/>
              </w:tabs>
              <w:spacing w:before="100" w:after="80" w:line="264" w:lineRule="auto"/>
              <w:ind w:left="57" w:right="57"/>
              <w:jc w:val="left"/>
              <w:rPr>
                <w:b/>
                <w:bCs/>
                <w:color w:val="15272F" w:themeColor="text1"/>
                <w:sz w:val="16"/>
                <w:szCs w:val="16"/>
              </w:rPr>
            </w:pPr>
            <w:r w:rsidRPr="00AE6486">
              <w:rPr>
                <w:b/>
                <w:bCs/>
                <w:color w:val="15272F" w:themeColor="text1"/>
                <w:sz w:val="16"/>
                <w:szCs w:val="16"/>
              </w:rPr>
              <w:t>Ms Prudence Ford</w:t>
            </w:r>
          </w:p>
        </w:tc>
        <w:tc>
          <w:tcPr>
            <w:tcW w:w="640" w:type="pct"/>
          </w:tcPr>
          <w:p w14:paraId="539DC3B8" w14:textId="77777777" w:rsidR="00EB0D85" w:rsidRPr="00AE6486"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color w:val="15272F" w:themeColor="text1"/>
                <w:sz w:val="16"/>
                <w:szCs w:val="16"/>
              </w:rPr>
            </w:pPr>
            <w:r w:rsidRPr="00AE6486">
              <w:rPr>
                <w:color w:val="15272F" w:themeColor="text1"/>
                <w:sz w:val="16"/>
                <w:szCs w:val="16"/>
              </w:rPr>
              <w:t>Pricing Authority member</w:t>
            </w:r>
          </w:p>
        </w:tc>
        <w:tc>
          <w:tcPr>
            <w:tcW w:w="462" w:type="pct"/>
          </w:tcPr>
          <w:p w14:paraId="666A46E7" w14:textId="77777777" w:rsidR="00EB0D85" w:rsidRPr="00AA277A"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sidRPr="00AA277A">
              <w:rPr>
                <w:sz w:val="16"/>
                <w:szCs w:val="16"/>
              </w:rPr>
              <w:t>53,181</w:t>
            </w:r>
          </w:p>
        </w:tc>
        <w:tc>
          <w:tcPr>
            <w:tcW w:w="466" w:type="pct"/>
          </w:tcPr>
          <w:p w14:paraId="162EFCB0" w14:textId="77777777" w:rsidR="00EB0D85" w:rsidRPr="00551BCC" w:rsidRDefault="00EB0D85" w:rsidP="00ED2732">
            <w:pPr>
              <w:pStyle w:val="TableParagraph"/>
              <w:framePr w:hSpace="0" w:wrap="auto" w:vAnchor="margin" w:hAnchor="text" w:yAlign="inline"/>
              <w:spacing w:before="100" w:after="80" w:line="264" w:lineRule="auto"/>
              <w:ind w:left="57" w:right="57" w:hanging="4"/>
              <w:jc w:val="left"/>
              <w:cnfStyle w:val="000000010000" w:firstRow="0" w:lastRow="0" w:firstColumn="0" w:lastColumn="0" w:oddVBand="0" w:evenVBand="0" w:oddHBand="0" w:evenHBand="1" w:firstRowFirstColumn="0" w:firstRowLastColumn="0" w:lastRowFirstColumn="0" w:lastRowLastColumn="0"/>
              <w:rPr>
                <w:sz w:val="16"/>
                <w:szCs w:val="16"/>
              </w:rPr>
            </w:pPr>
            <w:r w:rsidRPr="00551BCC">
              <w:rPr>
                <w:sz w:val="16"/>
                <w:szCs w:val="16"/>
              </w:rPr>
              <w:t>-</w:t>
            </w:r>
          </w:p>
        </w:tc>
        <w:tc>
          <w:tcPr>
            <w:tcW w:w="522" w:type="pct"/>
          </w:tcPr>
          <w:p w14:paraId="23A0AD94"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r w:rsidRPr="00551BCC">
              <w:rPr>
                <w:sz w:val="16"/>
                <w:szCs w:val="16"/>
              </w:rPr>
              <w:t>-</w:t>
            </w:r>
          </w:p>
        </w:tc>
        <w:tc>
          <w:tcPr>
            <w:tcW w:w="541" w:type="pct"/>
          </w:tcPr>
          <w:p w14:paraId="662FBEBC"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6,382</w:t>
            </w:r>
          </w:p>
        </w:tc>
        <w:tc>
          <w:tcPr>
            <w:tcW w:w="385" w:type="pct"/>
          </w:tcPr>
          <w:p w14:paraId="50B5266F"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r w:rsidRPr="00551BCC">
              <w:rPr>
                <w:sz w:val="16"/>
                <w:szCs w:val="16"/>
              </w:rPr>
              <w:t>-</w:t>
            </w:r>
          </w:p>
        </w:tc>
        <w:tc>
          <w:tcPr>
            <w:tcW w:w="367" w:type="pct"/>
          </w:tcPr>
          <w:p w14:paraId="50905EFE"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r w:rsidRPr="00551BCC">
              <w:rPr>
                <w:sz w:val="16"/>
                <w:szCs w:val="16"/>
              </w:rPr>
              <w:t>-</w:t>
            </w:r>
          </w:p>
        </w:tc>
        <w:tc>
          <w:tcPr>
            <w:tcW w:w="450" w:type="pct"/>
          </w:tcPr>
          <w:p w14:paraId="4D991AFA"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r w:rsidRPr="00551BCC">
              <w:rPr>
                <w:sz w:val="16"/>
                <w:szCs w:val="16"/>
              </w:rPr>
              <w:t>-</w:t>
            </w:r>
          </w:p>
        </w:tc>
        <w:tc>
          <w:tcPr>
            <w:tcW w:w="481" w:type="pct"/>
          </w:tcPr>
          <w:p w14:paraId="05ACC775"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59,563</w:t>
            </w:r>
          </w:p>
        </w:tc>
      </w:tr>
      <w:tr w:rsidR="00EB0D85" w:rsidRPr="00551BCC" w14:paraId="420D9858" w14:textId="77777777" w:rsidTr="00ED2732">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687" w:type="pct"/>
          </w:tcPr>
          <w:p w14:paraId="70E1A191" w14:textId="77777777" w:rsidR="00EB0D85" w:rsidRPr="00AE6486" w:rsidRDefault="00EB0D85" w:rsidP="00ED2732">
            <w:pPr>
              <w:pStyle w:val="TableParagraph"/>
              <w:framePr w:hSpace="0" w:wrap="auto" w:vAnchor="margin" w:hAnchor="text" w:yAlign="inline"/>
              <w:tabs>
                <w:tab w:val="left" w:pos="142"/>
              </w:tabs>
              <w:spacing w:before="100" w:after="80" w:line="264" w:lineRule="auto"/>
              <w:ind w:left="57" w:right="57"/>
              <w:jc w:val="left"/>
              <w:rPr>
                <w:b/>
                <w:bCs/>
                <w:color w:val="15272F" w:themeColor="text1"/>
                <w:sz w:val="16"/>
                <w:szCs w:val="16"/>
              </w:rPr>
            </w:pPr>
            <w:r w:rsidRPr="00AE6486">
              <w:rPr>
                <w:b/>
                <w:bCs/>
                <w:color w:val="15272F" w:themeColor="text1"/>
                <w:sz w:val="16"/>
                <w:szCs w:val="16"/>
              </w:rPr>
              <w:t>Distinguished Prof Jane Hall AO</w:t>
            </w:r>
          </w:p>
        </w:tc>
        <w:tc>
          <w:tcPr>
            <w:tcW w:w="640" w:type="pct"/>
          </w:tcPr>
          <w:p w14:paraId="1B001DE1" w14:textId="77777777" w:rsidR="00EB0D85" w:rsidRPr="00AE6486"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color w:val="15272F" w:themeColor="text1"/>
                <w:sz w:val="16"/>
                <w:szCs w:val="16"/>
              </w:rPr>
            </w:pPr>
            <w:r w:rsidRPr="00AE6486">
              <w:rPr>
                <w:color w:val="15272F" w:themeColor="text1"/>
                <w:sz w:val="16"/>
                <w:szCs w:val="16"/>
              </w:rPr>
              <w:t>Pricing Authority member</w:t>
            </w:r>
          </w:p>
        </w:tc>
        <w:tc>
          <w:tcPr>
            <w:tcW w:w="462" w:type="pct"/>
          </w:tcPr>
          <w:p w14:paraId="6E871149" w14:textId="77777777" w:rsidR="00EB0D85" w:rsidRPr="00DB40EF"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sidRPr="00DB40EF">
              <w:rPr>
                <w:sz w:val="16"/>
                <w:szCs w:val="16"/>
              </w:rPr>
              <w:t>53,181</w:t>
            </w:r>
          </w:p>
        </w:tc>
        <w:tc>
          <w:tcPr>
            <w:tcW w:w="466" w:type="pct"/>
          </w:tcPr>
          <w:p w14:paraId="4EAF0179" w14:textId="77777777" w:rsidR="00EB0D85" w:rsidRPr="00551BCC" w:rsidRDefault="00EB0D85" w:rsidP="00ED2732">
            <w:pPr>
              <w:pStyle w:val="TableParagraph"/>
              <w:framePr w:hSpace="0" w:wrap="auto" w:vAnchor="margin" w:hAnchor="text" w:yAlign="inline"/>
              <w:spacing w:before="100" w:after="80" w:line="264" w:lineRule="auto"/>
              <w:ind w:left="57" w:right="57" w:hanging="4"/>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522" w:type="pct"/>
          </w:tcPr>
          <w:p w14:paraId="2AD864C9"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541" w:type="pct"/>
          </w:tcPr>
          <w:p w14:paraId="4A9F4717"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6,382</w:t>
            </w:r>
          </w:p>
        </w:tc>
        <w:tc>
          <w:tcPr>
            <w:tcW w:w="385" w:type="pct"/>
          </w:tcPr>
          <w:p w14:paraId="5B770F8D"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367" w:type="pct"/>
          </w:tcPr>
          <w:p w14:paraId="019C7808"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450" w:type="pct"/>
          </w:tcPr>
          <w:p w14:paraId="6AB57C48"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481" w:type="pct"/>
          </w:tcPr>
          <w:p w14:paraId="4F6DCAE5"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59,563</w:t>
            </w:r>
          </w:p>
        </w:tc>
      </w:tr>
      <w:tr w:rsidR="00EB0D85" w:rsidRPr="00551BCC" w14:paraId="3A58046A" w14:textId="77777777" w:rsidTr="00ED2732">
        <w:trPr>
          <w:cnfStyle w:val="000000010000" w:firstRow="0" w:lastRow="0" w:firstColumn="0" w:lastColumn="0" w:oddVBand="0" w:evenVBand="0" w:oddHBand="0" w:evenHBand="1"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687" w:type="pct"/>
          </w:tcPr>
          <w:p w14:paraId="1E9A4A0D" w14:textId="77777777" w:rsidR="00EB0D85" w:rsidRPr="00AE6486" w:rsidRDefault="00EB0D85" w:rsidP="00ED2732">
            <w:pPr>
              <w:pStyle w:val="TableParagraph"/>
              <w:framePr w:hSpace="0" w:wrap="auto" w:vAnchor="margin" w:hAnchor="text" w:yAlign="inline"/>
              <w:tabs>
                <w:tab w:val="left" w:pos="142"/>
              </w:tabs>
              <w:spacing w:before="100" w:after="80" w:line="264" w:lineRule="auto"/>
              <w:ind w:left="57" w:right="57"/>
              <w:jc w:val="left"/>
              <w:rPr>
                <w:b/>
                <w:bCs/>
                <w:color w:val="15272F" w:themeColor="text1"/>
                <w:sz w:val="16"/>
                <w:szCs w:val="16"/>
              </w:rPr>
            </w:pPr>
            <w:r w:rsidRPr="00AE6486">
              <w:rPr>
                <w:b/>
                <w:bCs/>
                <w:color w:val="15272F" w:themeColor="text1"/>
                <w:sz w:val="16"/>
                <w:szCs w:val="16"/>
              </w:rPr>
              <w:t>Prof Maria Inacio</w:t>
            </w:r>
          </w:p>
        </w:tc>
        <w:tc>
          <w:tcPr>
            <w:tcW w:w="640" w:type="pct"/>
          </w:tcPr>
          <w:p w14:paraId="2017A5A6" w14:textId="77777777" w:rsidR="00EB0D85" w:rsidRPr="00AE6486"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color w:val="15272F" w:themeColor="text1"/>
                <w:sz w:val="16"/>
                <w:szCs w:val="16"/>
              </w:rPr>
            </w:pPr>
            <w:r w:rsidRPr="00AE6486">
              <w:rPr>
                <w:color w:val="15272F" w:themeColor="text1"/>
                <w:sz w:val="16"/>
                <w:szCs w:val="16"/>
              </w:rPr>
              <w:t>Pricing Authority member</w:t>
            </w:r>
          </w:p>
        </w:tc>
        <w:tc>
          <w:tcPr>
            <w:tcW w:w="462" w:type="pct"/>
          </w:tcPr>
          <w:p w14:paraId="463A8B60" w14:textId="77777777" w:rsidR="00EB0D85" w:rsidRPr="00AC0863"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sidRPr="00AC0863">
              <w:rPr>
                <w:sz w:val="16"/>
                <w:szCs w:val="16"/>
              </w:rPr>
              <w:t>53,181</w:t>
            </w:r>
          </w:p>
        </w:tc>
        <w:tc>
          <w:tcPr>
            <w:tcW w:w="466" w:type="pct"/>
          </w:tcPr>
          <w:p w14:paraId="4F01B2F2" w14:textId="77777777" w:rsidR="00EB0D85" w:rsidRPr="00551BCC" w:rsidRDefault="00EB0D85" w:rsidP="00ED2732">
            <w:pPr>
              <w:pStyle w:val="TableParagraph"/>
              <w:framePr w:hSpace="0" w:wrap="auto" w:vAnchor="margin" w:hAnchor="text" w:yAlign="inline"/>
              <w:spacing w:before="100" w:after="80" w:line="264" w:lineRule="auto"/>
              <w:ind w:left="57" w:right="57" w:hanging="4"/>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522" w:type="pct"/>
          </w:tcPr>
          <w:p w14:paraId="0F3ADC49"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541" w:type="pct"/>
          </w:tcPr>
          <w:p w14:paraId="6021A559"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6,382</w:t>
            </w:r>
          </w:p>
        </w:tc>
        <w:tc>
          <w:tcPr>
            <w:tcW w:w="385" w:type="pct"/>
          </w:tcPr>
          <w:p w14:paraId="05D13674"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367" w:type="pct"/>
          </w:tcPr>
          <w:p w14:paraId="4622C1ED"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450" w:type="pct"/>
          </w:tcPr>
          <w:p w14:paraId="3E768D5F"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p>
        </w:tc>
        <w:tc>
          <w:tcPr>
            <w:tcW w:w="481" w:type="pct"/>
          </w:tcPr>
          <w:p w14:paraId="651A3B0B"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59,563</w:t>
            </w:r>
          </w:p>
        </w:tc>
      </w:tr>
      <w:tr w:rsidR="00EB0D85" w:rsidRPr="00551BCC" w14:paraId="54D8DB77" w14:textId="77777777" w:rsidTr="00ED2732">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687" w:type="pct"/>
          </w:tcPr>
          <w:p w14:paraId="5DAE342B" w14:textId="77777777" w:rsidR="00EB0D85" w:rsidRPr="00AE6486" w:rsidRDefault="00EB0D85" w:rsidP="00ED2732">
            <w:pPr>
              <w:pStyle w:val="TableParagraph"/>
              <w:framePr w:hSpace="0" w:wrap="auto" w:vAnchor="margin" w:hAnchor="text" w:yAlign="inline"/>
              <w:tabs>
                <w:tab w:val="left" w:pos="142"/>
              </w:tabs>
              <w:spacing w:before="100" w:after="80" w:line="264" w:lineRule="auto"/>
              <w:ind w:left="57" w:right="57"/>
              <w:jc w:val="left"/>
              <w:rPr>
                <w:b/>
                <w:bCs/>
                <w:color w:val="15272F" w:themeColor="text1"/>
                <w:sz w:val="16"/>
                <w:szCs w:val="16"/>
              </w:rPr>
            </w:pPr>
            <w:r w:rsidRPr="00AE6486">
              <w:rPr>
                <w:b/>
                <w:bCs/>
                <w:color w:val="15272F" w:themeColor="text1"/>
                <w:sz w:val="16"/>
                <w:szCs w:val="16"/>
              </w:rPr>
              <w:t>Dr Stephen Judd AM</w:t>
            </w:r>
          </w:p>
        </w:tc>
        <w:tc>
          <w:tcPr>
            <w:tcW w:w="640" w:type="pct"/>
          </w:tcPr>
          <w:p w14:paraId="7F143168" w14:textId="77777777" w:rsidR="00EB0D85" w:rsidRPr="00AE6486"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color w:val="15272F" w:themeColor="text1"/>
                <w:sz w:val="16"/>
                <w:szCs w:val="16"/>
              </w:rPr>
            </w:pPr>
            <w:r w:rsidRPr="00AE6486">
              <w:rPr>
                <w:color w:val="15272F" w:themeColor="text1"/>
                <w:sz w:val="16"/>
                <w:szCs w:val="16"/>
              </w:rPr>
              <w:t>Pricing Authority member: Deputy Chair (Aged Care Pricing)</w:t>
            </w:r>
          </w:p>
        </w:tc>
        <w:tc>
          <w:tcPr>
            <w:tcW w:w="462" w:type="pct"/>
          </w:tcPr>
          <w:p w14:paraId="44B8502D" w14:textId="77777777" w:rsidR="00EB0D85" w:rsidRPr="00A906F5"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sidRPr="00A906F5">
              <w:rPr>
                <w:sz w:val="16"/>
                <w:szCs w:val="16"/>
              </w:rPr>
              <w:t>79,757</w:t>
            </w:r>
          </w:p>
        </w:tc>
        <w:tc>
          <w:tcPr>
            <w:tcW w:w="466" w:type="pct"/>
          </w:tcPr>
          <w:p w14:paraId="6DE8AFAD" w14:textId="77777777" w:rsidR="00EB0D85" w:rsidRPr="00551BCC" w:rsidRDefault="00EB0D85" w:rsidP="00ED2732">
            <w:pPr>
              <w:pStyle w:val="TableParagraph"/>
              <w:framePr w:hSpace="0" w:wrap="auto" w:vAnchor="margin" w:hAnchor="text" w:yAlign="inline"/>
              <w:spacing w:before="100" w:after="80" w:line="264" w:lineRule="auto"/>
              <w:ind w:left="57" w:right="57" w:hanging="4"/>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522" w:type="pct"/>
          </w:tcPr>
          <w:p w14:paraId="12A87E2E"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541" w:type="pct"/>
          </w:tcPr>
          <w:p w14:paraId="64FD67C7"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9,571</w:t>
            </w:r>
          </w:p>
        </w:tc>
        <w:tc>
          <w:tcPr>
            <w:tcW w:w="385" w:type="pct"/>
          </w:tcPr>
          <w:p w14:paraId="6883188E"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367" w:type="pct"/>
          </w:tcPr>
          <w:p w14:paraId="0851E292"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450" w:type="pct"/>
          </w:tcPr>
          <w:p w14:paraId="486DAC7E"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481" w:type="pct"/>
          </w:tcPr>
          <w:p w14:paraId="327F331E"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89,328</w:t>
            </w:r>
          </w:p>
        </w:tc>
      </w:tr>
      <w:tr w:rsidR="00EB0D85" w:rsidRPr="00551BCC" w14:paraId="75B0860A" w14:textId="77777777" w:rsidTr="00ED2732">
        <w:trPr>
          <w:cnfStyle w:val="000000010000" w:firstRow="0" w:lastRow="0" w:firstColumn="0" w:lastColumn="0" w:oddVBand="0" w:evenVBand="0" w:oddHBand="0" w:evenHBand="1"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687" w:type="pct"/>
          </w:tcPr>
          <w:p w14:paraId="1E684EB5" w14:textId="77777777" w:rsidR="00EB0D85" w:rsidRPr="00AE6486" w:rsidRDefault="00EB0D85" w:rsidP="00ED2732">
            <w:pPr>
              <w:pStyle w:val="TableParagraph"/>
              <w:framePr w:hSpace="0" w:wrap="auto" w:vAnchor="margin" w:hAnchor="text" w:yAlign="inline"/>
              <w:tabs>
                <w:tab w:val="left" w:pos="142"/>
              </w:tabs>
              <w:spacing w:before="100" w:after="80" w:line="264" w:lineRule="auto"/>
              <w:ind w:left="57" w:right="57"/>
              <w:jc w:val="left"/>
              <w:rPr>
                <w:b/>
                <w:bCs/>
                <w:color w:val="15272F" w:themeColor="text1"/>
                <w:sz w:val="16"/>
                <w:szCs w:val="16"/>
              </w:rPr>
            </w:pPr>
            <w:r w:rsidRPr="00AE6486">
              <w:rPr>
                <w:b/>
                <w:bCs/>
                <w:color w:val="15272F" w:themeColor="text1"/>
                <w:sz w:val="16"/>
                <w:szCs w:val="16"/>
              </w:rPr>
              <w:t>Prof Michael Pervan</w:t>
            </w:r>
          </w:p>
        </w:tc>
        <w:tc>
          <w:tcPr>
            <w:tcW w:w="640" w:type="pct"/>
          </w:tcPr>
          <w:p w14:paraId="22A02D81" w14:textId="77777777" w:rsidR="00EB0D85" w:rsidRPr="00AE6486"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color w:val="15272F" w:themeColor="text1"/>
                <w:sz w:val="16"/>
                <w:szCs w:val="16"/>
              </w:rPr>
            </w:pPr>
            <w:r w:rsidRPr="00AE6486">
              <w:rPr>
                <w:color w:val="15272F" w:themeColor="text1"/>
                <w:sz w:val="16"/>
                <w:szCs w:val="16"/>
              </w:rPr>
              <w:t>Chief Executive Officer</w:t>
            </w:r>
          </w:p>
        </w:tc>
        <w:tc>
          <w:tcPr>
            <w:tcW w:w="462" w:type="pct"/>
          </w:tcPr>
          <w:p w14:paraId="75FE66BB" w14:textId="77777777" w:rsidR="00EB0D85" w:rsidRPr="00BC2C2F"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sidRPr="00BC2C2F">
              <w:rPr>
                <w:sz w:val="16"/>
                <w:szCs w:val="16"/>
              </w:rPr>
              <w:t>589,186</w:t>
            </w:r>
          </w:p>
        </w:tc>
        <w:tc>
          <w:tcPr>
            <w:tcW w:w="466" w:type="pct"/>
          </w:tcPr>
          <w:p w14:paraId="3BB80EF7" w14:textId="77777777" w:rsidR="00EB0D85" w:rsidRPr="00551BCC" w:rsidRDefault="00EB0D85" w:rsidP="00ED2732">
            <w:pPr>
              <w:pStyle w:val="TableParagraph"/>
              <w:framePr w:hSpace="0" w:wrap="auto" w:vAnchor="margin" w:hAnchor="text" w:yAlign="inline"/>
              <w:spacing w:before="100" w:after="80" w:line="264" w:lineRule="auto"/>
              <w:ind w:left="57" w:right="57" w:hanging="4"/>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522" w:type="pct"/>
          </w:tcPr>
          <w:p w14:paraId="1F22FD76"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541" w:type="pct"/>
          </w:tcPr>
          <w:p w14:paraId="1C6268A4"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30,169</w:t>
            </w:r>
          </w:p>
        </w:tc>
        <w:tc>
          <w:tcPr>
            <w:tcW w:w="385" w:type="pct"/>
          </w:tcPr>
          <w:p w14:paraId="06552E14"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14,008</w:t>
            </w:r>
          </w:p>
        </w:tc>
        <w:tc>
          <w:tcPr>
            <w:tcW w:w="367" w:type="pct"/>
          </w:tcPr>
          <w:p w14:paraId="0CD56838"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450" w:type="pct"/>
          </w:tcPr>
          <w:p w14:paraId="720BF399"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481" w:type="pct"/>
          </w:tcPr>
          <w:p w14:paraId="4F8D2AD1"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633,363</w:t>
            </w:r>
          </w:p>
        </w:tc>
      </w:tr>
      <w:tr w:rsidR="00EB0D85" w:rsidRPr="00551BCC" w14:paraId="4DAF806D" w14:textId="77777777" w:rsidTr="00ED2732">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687" w:type="pct"/>
          </w:tcPr>
          <w:p w14:paraId="10131FFA" w14:textId="77777777" w:rsidR="00EB0D85" w:rsidRPr="00AE6486" w:rsidRDefault="00EB0D85" w:rsidP="00ED2732">
            <w:pPr>
              <w:pStyle w:val="TableParagraph"/>
              <w:framePr w:hSpace="0" w:wrap="auto" w:vAnchor="margin" w:hAnchor="text" w:yAlign="inline"/>
              <w:tabs>
                <w:tab w:val="left" w:pos="142"/>
              </w:tabs>
              <w:spacing w:before="100" w:after="80" w:line="264" w:lineRule="auto"/>
              <w:ind w:left="57" w:right="57"/>
              <w:jc w:val="left"/>
              <w:rPr>
                <w:b/>
                <w:bCs/>
                <w:color w:val="15272F" w:themeColor="text1"/>
                <w:sz w:val="16"/>
                <w:szCs w:val="16"/>
              </w:rPr>
            </w:pPr>
            <w:r w:rsidRPr="00AE6486">
              <w:rPr>
                <w:b/>
                <w:bCs/>
                <w:color w:val="15272F" w:themeColor="text1"/>
                <w:sz w:val="16"/>
                <w:szCs w:val="16"/>
              </w:rPr>
              <w:t>Mr David Tune AO PSM</w:t>
            </w:r>
          </w:p>
        </w:tc>
        <w:tc>
          <w:tcPr>
            <w:tcW w:w="640" w:type="pct"/>
          </w:tcPr>
          <w:p w14:paraId="48BE747D" w14:textId="77777777" w:rsidR="00EB0D85" w:rsidRPr="00AE6486"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color w:val="15272F" w:themeColor="text1"/>
                <w:sz w:val="16"/>
                <w:szCs w:val="16"/>
              </w:rPr>
            </w:pPr>
            <w:r w:rsidRPr="00AE6486">
              <w:rPr>
                <w:color w:val="15272F" w:themeColor="text1"/>
                <w:sz w:val="16"/>
                <w:szCs w:val="16"/>
              </w:rPr>
              <w:t>Pricing Authority member: Chair</w:t>
            </w:r>
          </w:p>
        </w:tc>
        <w:tc>
          <w:tcPr>
            <w:tcW w:w="462" w:type="pct"/>
          </w:tcPr>
          <w:p w14:paraId="4D87C1DE" w14:textId="77777777" w:rsidR="00EB0D85" w:rsidRPr="00BC2C2F"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sidRPr="00BC2C2F">
              <w:rPr>
                <w:sz w:val="16"/>
                <w:szCs w:val="16"/>
              </w:rPr>
              <w:t>106,342</w:t>
            </w:r>
          </w:p>
        </w:tc>
        <w:tc>
          <w:tcPr>
            <w:tcW w:w="466" w:type="pct"/>
          </w:tcPr>
          <w:p w14:paraId="6C252F0C" w14:textId="77777777" w:rsidR="00EB0D85" w:rsidRPr="00551BCC" w:rsidRDefault="00EB0D85" w:rsidP="00ED2732">
            <w:pPr>
              <w:pStyle w:val="TableParagraph"/>
              <w:framePr w:hSpace="0" w:wrap="auto" w:vAnchor="margin" w:hAnchor="text" w:yAlign="inline"/>
              <w:spacing w:before="100" w:after="80" w:line="264" w:lineRule="auto"/>
              <w:ind w:left="57" w:right="57" w:hanging="4"/>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522" w:type="pct"/>
          </w:tcPr>
          <w:p w14:paraId="698AD18C"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541" w:type="pct"/>
          </w:tcPr>
          <w:p w14:paraId="0D95E12C"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12,761</w:t>
            </w:r>
          </w:p>
        </w:tc>
        <w:tc>
          <w:tcPr>
            <w:tcW w:w="385" w:type="pct"/>
          </w:tcPr>
          <w:p w14:paraId="49EC0B62"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367" w:type="pct"/>
          </w:tcPr>
          <w:p w14:paraId="7F7D837E"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450" w:type="pct"/>
          </w:tcPr>
          <w:p w14:paraId="0D2A7143"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481" w:type="pct"/>
          </w:tcPr>
          <w:p w14:paraId="3047CDD0"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119,103</w:t>
            </w:r>
          </w:p>
        </w:tc>
      </w:tr>
      <w:tr w:rsidR="00EB0D85" w:rsidRPr="00551BCC" w14:paraId="5DDC7495" w14:textId="77777777" w:rsidTr="00ED2732">
        <w:trPr>
          <w:cnfStyle w:val="000000010000" w:firstRow="0" w:lastRow="0" w:firstColumn="0" w:lastColumn="0" w:oddVBand="0" w:evenVBand="0" w:oddHBand="0" w:evenHBand="1"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687" w:type="pct"/>
          </w:tcPr>
          <w:p w14:paraId="60DEA399" w14:textId="77777777" w:rsidR="00EB0D85" w:rsidRPr="00AE6486" w:rsidRDefault="00EB0D85" w:rsidP="00ED2732">
            <w:pPr>
              <w:pStyle w:val="TableParagraph"/>
              <w:framePr w:hSpace="0" w:wrap="auto" w:vAnchor="margin" w:hAnchor="text" w:yAlign="inline"/>
              <w:spacing w:before="100" w:after="80" w:line="264" w:lineRule="auto"/>
              <w:ind w:left="57" w:right="57"/>
              <w:jc w:val="left"/>
              <w:rPr>
                <w:b/>
                <w:bCs/>
                <w:color w:val="15272F" w:themeColor="text1"/>
                <w:sz w:val="16"/>
                <w:szCs w:val="16"/>
              </w:rPr>
            </w:pPr>
            <w:r w:rsidRPr="00AE6486">
              <w:rPr>
                <w:b/>
                <w:bCs/>
                <w:color w:val="15272F" w:themeColor="text1"/>
                <w:sz w:val="16"/>
                <w:szCs w:val="16"/>
              </w:rPr>
              <w:t>Ms Jennifer Williams AM</w:t>
            </w:r>
          </w:p>
        </w:tc>
        <w:tc>
          <w:tcPr>
            <w:tcW w:w="640" w:type="pct"/>
          </w:tcPr>
          <w:p w14:paraId="583701CB" w14:textId="77777777" w:rsidR="00EB0D85" w:rsidRPr="00AE6486"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color w:val="15272F" w:themeColor="text1"/>
                <w:sz w:val="16"/>
                <w:szCs w:val="16"/>
              </w:rPr>
            </w:pPr>
            <w:r w:rsidRPr="00AE6486">
              <w:rPr>
                <w:color w:val="15272F" w:themeColor="text1"/>
                <w:sz w:val="16"/>
                <w:szCs w:val="16"/>
              </w:rPr>
              <w:t>Pricing Authority member: Deputy Chair (Hospital Pricing)</w:t>
            </w:r>
          </w:p>
        </w:tc>
        <w:tc>
          <w:tcPr>
            <w:tcW w:w="462" w:type="pct"/>
          </w:tcPr>
          <w:p w14:paraId="514CA116" w14:textId="77777777" w:rsidR="00EB0D85" w:rsidRPr="00BC2C2F"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sidRPr="00BC2C2F">
              <w:rPr>
                <w:sz w:val="16"/>
                <w:szCs w:val="16"/>
              </w:rPr>
              <w:t>79,757</w:t>
            </w:r>
          </w:p>
        </w:tc>
        <w:tc>
          <w:tcPr>
            <w:tcW w:w="466" w:type="pct"/>
          </w:tcPr>
          <w:p w14:paraId="03CCA8C1" w14:textId="77777777" w:rsidR="00EB0D85" w:rsidRPr="00551BCC" w:rsidRDefault="00EB0D85" w:rsidP="00ED2732">
            <w:pPr>
              <w:pStyle w:val="TableParagraph"/>
              <w:framePr w:hSpace="0" w:wrap="auto" w:vAnchor="margin" w:hAnchor="text" w:yAlign="inline"/>
              <w:spacing w:before="100" w:after="80" w:line="264" w:lineRule="auto"/>
              <w:ind w:left="57" w:right="57" w:hanging="4"/>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522" w:type="pct"/>
          </w:tcPr>
          <w:p w14:paraId="5D72ACD5"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541" w:type="pct"/>
          </w:tcPr>
          <w:p w14:paraId="135D547A"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9,571</w:t>
            </w:r>
          </w:p>
        </w:tc>
        <w:tc>
          <w:tcPr>
            <w:tcW w:w="385" w:type="pct"/>
          </w:tcPr>
          <w:p w14:paraId="7E7E91C6"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367" w:type="pct"/>
          </w:tcPr>
          <w:p w14:paraId="58AB67BE"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450" w:type="pct"/>
          </w:tcPr>
          <w:p w14:paraId="42B7C5F4"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00000010000" w:firstRow="0" w:lastRow="0" w:firstColumn="0" w:lastColumn="0" w:oddVBand="0" w:evenVBand="0" w:oddHBand="0" w:evenHBand="1" w:firstRowFirstColumn="0" w:firstRowLastColumn="0" w:lastRowFirstColumn="0" w:lastRowLastColumn="0"/>
              <w:rPr>
                <w:sz w:val="16"/>
                <w:szCs w:val="16"/>
              </w:rPr>
            </w:pPr>
          </w:p>
        </w:tc>
        <w:tc>
          <w:tcPr>
            <w:tcW w:w="481" w:type="pct"/>
          </w:tcPr>
          <w:p w14:paraId="1F320AFE" w14:textId="77777777" w:rsidR="00EB0D85" w:rsidRPr="00551BCC" w:rsidRDefault="00EB0D85" w:rsidP="00ED2732">
            <w:pPr>
              <w:pStyle w:val="TableParagraph"/>
              <w:framePr w:hSpace="0" w:wrap="auto" w:vAnchor="margin" w:hAnchor="text" w:yAlign="inline"/>
              <w:spacing w:before="100" w:after="80" w:line="264" w:lineRule="auto"/>
              <w:ind w:left="57" w:right="57"/>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89,328</w:t>
            </w:r>
          </w:p>
        </w:tc>
      </w:tr>
      <w:tr w:rsidR="00EB0D85" w:rsidRPr="00551BCC" w14:paraId="45AB349E" w14:textId="77777777" w:rsidTr="00ED2732">
        <w:trPr>
          <w:cnfStyle w:val="010000000000" w:firstRow="0" w:lastRow="1" w:firstColumn="0" w:lastColumn="0" w:oddVBand="0" w:evenVBand="0" w:oddHBand="0"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327" w:type="pct"/>
            <w:gridSpan w:val="2"/>
            <w:shd w:val="clear" w:color="auto" w:fill="DFEBF1" w:themeFill="text1" w:themeFillTint="1A"/>
          </w:tcPr>
          <w:p w14:paraId="6D716ED0" w14:textId="77777777" w:rsidR="00EB0D85" w:rsidRPr="00551BCC" w:rsidRDefault="00EB0D85" w:rsidP="00ED2732">
            <w:pPr>
              <w:pStyle w:val="TableParagraph"/>
              <w:framePr w:hSpace="0" w:wrap="auto" w:vAnchor="margin" w:hAnchor="text" w:yAlign="inline"/>
              <w:spacing w:before="100" w:after="80" w:line="264" w:lineRule="auto"/>
              <w:ind w:left="57" w:right="57"/>
              <w:jc w:val="left"/>
              <w:rPr>
                <w:b/>
                <w:bCs/>
                <w:color w:val="231F20"/>
                <w:sz w:val="16"/>
                <w:szCs w:val="16"/>
              </w:rPr>
            </w:pPr>
            <w:r w:rsidRPr="00195818">
              <w:rPr>
                <w:b/>
                <w:bCs/>
                <w:color w:val="15272F" w:themeColor="text1"/>
                <w:sz w:val="16"/>
                <w:szCs w:val="16"/>
              </w:rPr>
              <w:t>Total</w:t>
            </w:r>
          </w:p>
        </w:tc>
        <w:tc>
          <w:tcPr>
            <w:tcW w:w="462" w:type="pct"/>
            <w:shd w:val="clear" w:color="auto" w:fill="DFEBF1" w:themeFill="text1" w:themeFillTint="1A"/>
          </w:tcPr>
          <w:p w14:paraId="33B516FA" w14:textId="77777777" w:rsidR="00EB0D85" w:rsidRPr="004C74C1" w:rsidRDefault="00EB0D85" w:rsidP="00ED2732">
            <w:pPr>
              <w:pStyle w:val="TableParagraph"/>
              <w:framePr w:hSpace="0" w:wrap="auto" w:vAnchor="margin" w:hAnchor="text" w:yAlign="inline"/>
              <w:spacing w:before="100" w:after="80" w:line="264" w:lineRule="auto"/>
              <w:ind w:left="57" w:right="57"/>
              <w:jc w:val="left"/>
              <w:cnfStyle w:val="010000000000" w:firstRow="0" w:lastRow="1" w:firstColumn="0" w:lastColumn="0" w:oddVBand="0" w:evenVBand="0" w:oddHBand="0" w:evenHBand="0" w:firstRowFirstColumn="0" w:firstRowLastColumn="0" w:lastRowFirstColumn="0" w:lastRowLastColumn="0"/>
              <w:rPr>
                <w:b/>
                <w:bCs/>
                <w:sz w:val="16"/>
                <w:szCs w:val="16"/>
              </w:rPr>
            </w:pPr>
            <w:r w:rsidRPr="004C74C1">
              <w:rPr>
                <w:b/>
                <w:bCs/>
                <w:sz w:val="16"/>
                <w:szCs w:val="16"/>
              </w:rPr>
              <w:t>1,109,484</w:t>
            </w:r>
          </w:p>
        </w:tc>
        <w:tc>
          <w:tcPr>
            <w:tcW w:w="466" w:type="pct"/>
            <w:shd w:val="clear" w:color="auto" w:fill="DFEBF1" w:themeFill="text1" w:themeFillTint="1A"/>
          </w:tcPr>
          <w:p w14:paraId="453F4093" w14:textId="77777777" w:rsidR="00EB0D85" w:rsidRPr="00551BCC" w:rsidRDefault="00EB0D85" w:rsidP="00ED2732">
            <w:pPr>
              <w:pStyle w:val="TableParagraph"/>
              <w:framePr w:hSpace="0" w:wrap="auto" w:vAnchor="margin" w:hAnchor="text" w:yAlign="inline"/>
              <w:spacing w:before="100" w:after="80" w:line="264" w:lineRule="auto"/>
              <w:ind w:left="57" w:right="57" w:hanging="4"/>
              <w:jc w:val="left"/>
              <w:cnfStyle w:val="010000000000" w:firstRow="0" w:lastRow="1" w:firstColumn="0" w:lastColumn="0" w:oddVBand="0" w:evenVBand="0" w:oddHBand="0" w:evenHBand="0" w:firstRowFirstColumn="0" w:firstRowLastColumn="0" w:lastRowFirstColumn="0" w:lastRowLastColumn="0"/>
              <w:rPr>
                <w:b/>
                <w:bCs/>
                <w:sz w:val="16"/>
                <w:szCs w:val="16"/>
              </w:rPr>
            </w:pPr>
          </w:p>
        </w:tc>
        <w:tc>
          <w:tcPr>
            <w:tcW w:w="522" w:type="pct"/>
            <w:shd w:val="clear" w:color="auto" w:fill="DFEBF1" w:themeFill="text1" w:themeFillTint="1A"/>
          </w:tcPr>
          <w:p w14:paraId="269D1362"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10000000000" w:firstRow="0" w:lastRow="1" w:firstColumn="0" w:lastColumn="0" w:oddVBand="0" w:evenVBand="0" w:oddHBand="0" w:evenHBand="0" w:firstRowFirstColumn="0" w:firstRowLastColumn="0" w:lastRowFirstColumn="0" w:lastRowLastColumn="0"/>
              <w:rPr>
                <w:b/>
                <w:bCs/>
                <w:sz w:val="16"/>
                <w:szCs w:val="16"/>
              </w:rPr>
            </w:pPr>
          </w:p>
        </w:tc>
        <w:tc>
          <w:tcPr>
            <w:tcW w:w="541" w:type="pct"/>
            <w:shd w:val="clear" w:color="auto" w:fill="DFEBF1" w:themeFill="text1" w:themeFillTint="1A"/>
          </w:tcPr>
          <w:p w14:paraId="72FD511E" w14:textId="77777777" w:rsidR="00EB0D85" w:rsidRPr="00551BCC" w:rsidRDefault="00EB0D85" w:rsidP="00ED2732">
            <w:pPr>
              <w:pStyle w:val="TableParagraph"/>
              <w:framePr w:hSpace="0" w:wrap="auto" w:vAnchor="margin" w:hAnchor="text" w:yAlign="inline"/>
              <w:spacing w:before="100" w:after="80" w:line="264" w:lineRule="auto"/>
              <w:ind w:left="57" w:right="57"/>
              <w:cnfStyle w:val="010000000000" w:firstRow="0" w:lastRow="1" w:firstColumn="0" w:lastColumn="0" w:oddVBand="0" w:evenVBand="0" w:oddHBand="0" w:evenHBand="0" w:firstRowFirstColumn="0" w:firstRowLastColumn="0" w:lastRowFirstColumn="0" w:lastRowLastColumn="0"/>
              <w:rPr>
                <w:b/>
                <w:bCs/>
                <w:sz w:val="16"/>
                <w:szCs w:val="16"/>
              </w:rPr>
            </w:pPr>
            <w:r>
              <w:rPr>
                <w:b/>
                <w:bCs/>
                <w:sz w:val="16"/>
                <w:szCs w:val="16"/>
              </w:rPr>
              <w:t>94,025</w:t>
            </w:r>
          </w:p>
        </w:tc>
        <w:tc>
          <w:tcPr>
            <w:tcW w:w="385" w:type="pct"/>
            <w:shd w:val="clear" w:color="auto" w:fill="DFEBF1" w:themeFill="text1" w:themeFillTint="1A"/>
          </w:tcPr>
          <w:p w14:paraId="7B1DE6C7"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10000000000" w:firstRow="0" w:lastRow="1" w:firstColumn="0" w:lastColumn="0" w:oddVBand="0" w:evenVBand="0" w:oddHBand="0" w:evenHBand="0" w:firstRowFirstColumn="0" w:firstRowLastColumn="0" w:lastRowFirstColumn="0" w:lastRowLastColumn="0"/>
              <w:rPr>
                <w:b/>
                <w:bCs/>
                <w:sz w:val="16"/>
                <w:szCs w:val="16"/>
              </w:rPr>
            </w:pPr>
            <w:r>
              <w:rPr>
                <w:b/>
                <w:bCs/>
                <w:sz w:val="16"/>
                <w:szCs w:val="16"/>
              </w:rPr>
              <w:t>14,008</w:t>
            </w:r>
          </w:p>
        </w:tc>
        <w:tc>
          <w:tcPr>
            <w:tcW w:w="367" w:type="pct"/>
            <w:shd w:val="clear" w:color="auto" w:fill="DFEBF1" w:themeFill="text1" w:themeFillTint="1A"/>
          </w:tcPr>
          <w:p w14:paraId="452B5C4D"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10000000000" w:firstRow="0" w:lastRow="1" w:firstColumn="0" w:lastColumn="0" w:oddVBand="0" w:evenVBand="0" w:oddHBand="0" w:evenHBand="0" w:firstRowFirstColumn="0" w:firstRowLastColumn="0" w:lastRowFirstColumn="0" w:lastRowLastColumn="0"/>
              <w:rPr>
                <w:b/>
                <w:bCs/>
                <w:sz w:val="16"/>
                <w:szCs w:val="16"/>
              </w:rPr>
            </w:pPr>
          </w:p>
        </w:tc>
        <w:tc>
          <w:tcPr>
            <w:tcW w:w="450" w:type="pct"/>
            <w:shd w:val="clear" w:color="auto" w:fill="DFEBF1" w:themeFill="text1" w:themeFillTint="1A"/>
          </w:tcPr>
          <w:p w14:paraId="2B80C121" w14:textId="77777777" w:rsidR="00EB0D85" w:rsidRPr="00551BCC" w:rsidRDefault="00EB0D85" w:rsidP="00ED2732">
            <w:pPr>
              <w:pStyle w:val="TableParagraph"/>
              <w:framePr w:hSpace="0" w:wrap="auto" w:vAnchor="margin" w:hAnchor="text" w:yAlign="inline"/>
              <w:spacing w:before="100" w:after="80" w:line="264" w:lineRule="auto"/>
              <w:ind w:left="57" w:right="57"/>
              <w:jc w:val="left"/>
              <w:cnfStyle w:val="010000000000" w:firstRow="0" w:lastRow="1" w:firstColumn="0" w:lastColumn="0" w:oddVBand="0" w:evenVBand="0" w:oddHBand="0" w:evenHBand="0" w:firstRowFirstColumn="0" w:firstRowLastColumn="0" w:lastRowFirstColumn="0" w:lastRowLastColumn="0"/>
              <w:rPr>
                <w:b/>
                <w:bCs/>
                <w:sz w:val="16"/>
                <w:szCs w:val="16"/>
              </w:rPr>
            </w:pPr>
          </w:p>
        </w:tc>
        <w:tc>
          <w:tcPr>
            <w:tcW w:w="481" w:type="pct"/>
            <w:shd w:val="clear" w:color="auto" w:fill="DFEBF1" w:themeFill="text1" w:themeFillTint="1A"/>
          </w:tcPr>
          <w:p w14:paraId="057DC996" w14:textId="77777777" w:rsidR="00EB0D85" w:rsidRPr="00551BCC" w:rsidRDefault="00EB0D85" w:rsidP="00ED2732">
            <w:pPr>
              <w:pStyle w:val="TableParagraph"/>
              <w:framePr w:hSpace="0" w:wrap="auto" w:vAnchor="margin" w:hAnchor="text" w:yAlign="inline"/>
              <w:spacing w:before="100" w:after="80" w:line="264" w:lineRule="auto"/>
              <w:ind w:left="57" w:right="57"/>
              <w:cnfStyle w:val="010000000000" w:firstRow="0" w:lastRow="1" w:firstColumn="0" w:lastColumn="0" w:oddVBand="0" w:evenVBand="0" w:oddHBand="0" w:evenHBand="0" w:firstRowFirstColumn="0" w:firstRowLastColumn="0" w:lastRowFirstColumn="0" w:lastRowLastColumn="0"/>
              <w:rPr>
                <w:b/>
                <w:bCs/>
                <w:sz w:val="16"/>
                <w:szCs w:val="16"/>
              </w:rPr>
            </w:pPr>
            <w:r>
              <w:rPr>
                <w:b/>
                <w:bCs/>
                <w:sz w:val="16"/>
                <w:szCs w:val="16"/>
              </w:rPr>
              <w:t>1,217,517</w:t>
            </w:r>
          </w:p>
        </w:tc>
      </w:tr>
    </w:tbl>
    <w:p w14:paraId="540E62EB" w14:textId="77777777" w:rsidR="00EB0D85" w:rsidRDefault="00EB0D85" w:rsidP="00EB0D85">
      <w:pPr>
        <w:pStyle w:val="Heading1"/>
        <w:sectPr w:rsidR="00EB0D85" w:rsidSect="00702F18">
          <w:pgSz w:w="16838" w:h="11906" w:orient="landscape"/>
          <w:pgMar w:top="1077" w:right="1440" w:bottom="1077" w:left="1440" w:header="709" w:footer="709" w:gutter="0"/>
          <w:cols w:space="708"/>
          <w:titlePg/>
          <w:docGrid w:linePitch="360"/>
        </w:sectPr>
      </w:pPr>
    </w:p>
    <w:p w14:paraId="564476FA" w14:textId="77777777" w:rsidR="00EB0D85" w:rsidRPr="00195818" w:rsidRDefault="00EB0D85" w:rsidP="00EB0D85">
      <w:pPr>
        <w:pStyle w:val="Heading1"/>
      </w:pPr>
      <w:bookmarkStart w:id="315" w:name="_Toc235787422"/>
      <w:bookmarkStart w:id="316" w:name="_Toc235791560"/>
      <w:bookmarkStart w:id="317" w:name="_Toc237872663"/>
      <w:r w:rsidRPr="00195818">
        <w:lastRenderedPageBreak/>
        <w:t>2.3</w:t>
      </w:r>
      <w:r w:rsidRPr="00195818">
        <w:tab/>
        <w:t>Closing the Gap</w:t>
      </w:r>
      <w:bookmarkEnd w:id="315"/>
      <w:bookmarkEnd w:id="316"/>
      <w:bookmarkEnd w:id="317"/>
      <w:r w:rsidRPr="00195818">
        <w:t xml:space="preserve"> </w:t>
      </w:r>
    </w:p>
    <w:p w14:paraId="1B9534E2" w14:textId="77777777" w:rsidR="00EB0D85" w:rsidRDefault="00EB0D85" w:rsidP="00EB0D85">
      <w:pPr>
        <w:rPr>
          <w:rFonts w:cs="Arial"/>
          <w:color w:val="auto"/>
        </w:rPr>
      </w:pPr>
      <w:r w:rsidRPr="00195818">
        <w:rPr>
          <w:rFonts w:cs="Arial"/>
        </w:rPr>
        <w:t xml:space="preserve">In 2025–26, </w:t>
      </w:r>
      <w:r>
        <w:rPr>
          <w:rFonts w:cs="Arial"/>
        </w:rPr>
        <w:t>we</w:t>
      </w:r>
      <w:r w:rsidRPr="00195818">
        <w:rPr>
          <w:rFonts w:cs="Arial"/>
        </w:rPr>
        <w:t xml:space="preserve"> continued to support the implementation of the </w:t>
      </w:r>
      <w:hyperlink r:id="rId38" w:history="1">
        <w:r w:rsidRPr="00ED41C9">
          <w:rPr>
            <w:rStyle w:val="Hyperlink"/>
            <w:rFonts w:cs="Arial"/>
          </w:rPr>
          <w:t>Closing the Gap Priority Reforms</w:t>
        </w:r>
      </w:hyperlink>
      <w:r w:rsidRPr="00A8036D">
        <w:rPr>
          <w:rFonts w:cs="Arial"/>
          <w:color w:val="auto"/>
        </w:rPr>
        <w:t xml:space="preserve"> </w:t>
      </w:r>
      <w:r w:rsidRPr="00195818">
        <w:rPr>
          <w:rFonts w:cs="Arial"/>
        </w:rPr>
        <w:t xml:space="preserve">and to advance efforts to improve outcomes for Aboriginal and Torres Strait Islander people. </w:t>
      </w:r>
      <w:r w:rsidRPr="00195818">
        <w:rPr>
          <w:rFonts w:cs="Arial"/>
        </w:rPr>
        <w:br/>
      </w:r>
    </w:p>
    <w:p w14:paraId="461A8756" w14:textId="77777777" w:rsidR="00EB0D85" w:rsidRPr="00A8036D" w:rsidRDefault="00EB0D85" w:rsidP="00EB0D85">
      <w:pPr>
        <w:pStyle w:val="Heading2"/>
      </w:pPr>
      <w:bookmarkStart w:id="318" w:name="_Toc233022278"/>
      <w:bookmarkStart w:id="319" w:name="_Toc233023040"/>
      <w:bookmarkStart w:id="320" w:name="_Toc233023375"/>
      <w:bookmarkStart w:id="321" w:name="_Toc233023499"/>
      <w:bookmarkStart w:id="322" w:name="_Toc233028675"/>
      <w:bookmarkStart w:id="323" w:name="_Toc233028868"/>
      <w:bookmarkStart w:id="324" w:name="_Toc235787423"/>
      <w:bookmarkStart w:id="325" w:name="_Toc235791561"/>
      <w:bookmarkStart w:id="326" w:name="_Toc237872664"/>
      <w:r w:rsidRPr="00A8036D">
        <w:t xml:space="preserve">Priority </w:t>
      </w:r>
      <w:r>
        <w:t>R</w:t>
      </w:r>
      <w:r w:rsidRPr="005B6160">
        <w:t>eforms</w:t>
      </w:r>
      <w:bookmarkEnd w:id="318"/>
      <w:bookmarkEnd w:id="319"/>
      <w:bookmarkEnd w:id="320"/>
      <w:bookmarkEnd w:id="321"/>
      <w:bookmarkEnd w:id="322"/>
      <w:bookmarkEnd w:id="323"/>
      <w:bookmarkEnd w:id="324"/>
      <w:bookmarkEnd w:id="325"/>
      <w:bookmarkEnd w:id="326"/>
      <w:r w:rsidRPr="00A8036D">
        <w:t xml:space="preserve"> </w:t>
      </w:r>
    </w:p>
    <w:p w14:paraId="02C6C1CB" w14:textId="77777777" w:rsidR="00EB0D85" w:rsidRPr="00AE6486" w:rsidRDefault="00EB0D85" w:rsidP="00EB0D85">
      <w:pPr>
        <w:pStyle w:val="Heading4"/>
      </w:pPr>
      <w:bookmarkStart w:id="327" w:name="_Toc233023500"/>
      <w:bookmarkStart w:id="328" w:name="_Toc233028676"/>
      <w:r w:rsidRPr="00AE6486">
        <w:t>Priority Reform 1: Formal partnerships and shared decision</w:t>
      </w:r>
      <w:r>
        <w:t>-</w:t>
      </w:r>
      <w:r w:rsidRPr="00AE6486">
        <w:t>making</w:t>
      </w:r>
      <w:bookmarkEnd w:id="327"/>
      <w:bookmarkEnd w:id="328"/>
      <w:r w:rsidRPr="00AE6486">
        <w:t xml:space="preserve"> </w:t>
      </w:r>
    </w:p>
    <w:p w14:paraId="1E052A2B" w14:textId="77777777" w:rsidR="00EB0D85" w:rsidRPr="00AE6486" w:rsidRDefault="00EB0D85" w:rsidP="00EB0D85">
      <w:pPr>
        <w:rPr>
          <w:rFonts w:cs="Arial"/>
        </w:rPr>
      </w:pPr>
      <w:r>
        <w:rPr>
          <w:rFonts w:cs="Arial"/>
        </w:rPr>
        <w:t>We established the</w:t>
      </w:r>
      <w:r w:rsidRPr="00AE6486">
        <w:rPr>
          <w:rFonts w:cs="Arial"/>
        </w:rPr>
        <w:t xml:space="preserve"> Aged Care Network (ACN) in August 2025, with membership including several Aboriginal and Torres Strait Islander organisations from both government and community sectors. The ACN enables </w:t>
      </w:r>
      <w:r>
        <w:rPr>
          <w:rFonts w:cs="Arial"/>
        </w:rPr>
        <w:t xml:space="preserve">us </w:t>
      </w:r>
      <w:r w:rsidRPr="00AE6486">
        <w:rPr>
          <w:rFonts w:cs="Arial"/>
        </w:rPr>
        <w:t>to seek targeted feedback and input on a broad range of relevant aged care matters and supplement</w:t>
      </w:r>
      <w:r>
        <w:rPr>
          <w:rFonts w:cs="Arial"/>
        </w:rPr>
        <w:t>s</w:t>
      </w:r>
      <w:r w:rsidRPr="00AE6486">
        <w:rPr>
          <w:rFonts w:cs="Arial"/>
        </w:rPr>
        <w:t xml:space="preserve"> existing formal consultation processes. </w:t>
      </w:r>
    </w:p>
    <w:p w14:paraId="472F678C" w14:textId="77777777" w:rsidR="00EB0D85" w:rsidRPr="00AE6486" w:rsidRDefault="00EB0D85" w:rsidP="00EB0D85">
      <w:pPr>
        <w:rPr>
          <w:rFonts w:cs="Arial"/>
        </w:rPr>
      </w:pPr>
      <w:r w:rsidRPr="00BA0984">
        <w:rPr>
          <w:rFonts w:cs="Arial"/>
        </w:rPr>
        <w:t xml:space="preserve">In December 2025, we finalised our Stakeholder Engagement Plan 2025–27 which notes that strengthening engagement with First Nations stakeholders is a core priority for us, reflecting our commitment to foster sustainable and inclusive practices. </w:t>
      </w:r>
    </w:p>
    <w:p w14:paraId="00A451FC" w14:textId="77777777" w:rsidR="00EB0D85" w:rsidRPr="00195818" w:rsidRDefault="00EB0D85" w:rsidP="00EB0D85">
      <w:pPr>
        <w:rPr>
          <w:rFonts w:cs="Arial"/>
          <w:b/>
          <w:bCs/>
        </w:rPr>
      </w:pPr>
      <w:r w:rsidRPr="00195818">
        <w:rPr>
          <w:rFonts w:cs="Arial"/>
          <w:b/>
          <w:bCs/>
        </w:rPr>
        <w:t xml:space="preserve">Priority Reform 2: Building the community-controlled sector </w:t>
      </w:r>
    </w:p>
    <w:p w14:paraId="3AE9E825" w14:textId="77777777" w:rsidR="00EB0D85" w:rsidRPr="00195818" w:rsidRDefault="00EB0D85" w:rsidP="00EB0D85">
      <w:pPr>
        <w:rPr>
          <w:rFonts w:cs="Arial"/>
        </w:rPr>
      </w:pPr>
      <w:r w:rsidRPr="00195818">
        <w:rPr>
          <w:rFonts w:cs="Arial"/>
        </w:rPr>
        <w:t xml:space="preserve">Currently, Aboriginal Community Controlled Health Organisations (ACCHOs) are not considered in-scope for public hospital services. </w:t>
      </w:r>
      <w:r>
        <w:rPr>
          <w:rFonts w:cs="Arial"/>
        </w:rPr>
        <w:t>T</w:t>
      </w:r>
      <w:r w:rsidRPr="00195818">
        <w:rPr>
          <w:rFonts w:cs="Arial"/>
        </w:rPr>
        <w:t xml:space="preserve">he </w:t>
      </w:r>
      <w:hyperlink r:id="rId39" w:history="1">
        <w:r w:rsidRPr="00DF6A4C">
          <w:rPr>
            <w:rStyle w:val="Hyperlink"/>
            <w:rFonts w:cs="Arial"/>
          </w:rPr>
          <w:t>Addendum to the National Health Reform Agreement (NHRA) 2026–31</w:t>
        </w:r>
      </w:hyperlink>
      <w:r w:rsidRPr="00A8036D">
        <w:rPr>
          <w:rFonts w:cs="Arial"/>
          <w:color w:val="auto"/>
        </w:rPr>
        <w:t xml:space="preserve"> </w:t>
      </w:r>
      <w:r>
        <w:rPr>
          <w:rFonts w:cs="Arial"/>
        </w:rPr>
        <w:t>requires</w:t>
      </w:r>
      <w:r w:rsidRPr="00195818">
        <w:rPr>
          <w:rFonts w:cs="Arial"/>
        </w:rPr>
        <w:t xml:space="preserve"> IHACPA to review funding models to better support and incentivise ACCHOs delivering in-scope hospital services. </w:t>
      </w:r>
      <w:r>
        <w:rPr>
          <w:rFonts w:cs="Arial"/>
        </w:rPr>
        <w:t>We</w:t>
      </w:r>
      <w:r w:rsidRPr="00195818">
        <w:rPr>
          <w:rFonts w:cs="Arial"/>
        </w:rPr>
        <w:t xml:space="preserve"> will investigate formal partnership arrangements with Aboriginal and Torres Strait Islander people and the Aboriginal and Torres Strait Islander health sector to review funding models.</w:t>
      </w:r>
    </w:p>
    <w:p w14:paraId="3A7BA4BE" w14:textId="77777777" w:rsidR="00EB0D85" w:rsidRPr="00AE6486" w:rsidRDefault="00EB0D85" w:rsidP="00EB0D85">
      <w:pPr>
        <w:pStyle w:val="Heading4"/>
      </w:pPr>
      <w:bookmarkStart w:id="329" w:name="_Toc233023501"/>
      <w:bookmarkStart w:id="330" w:name="_Toc233028677"/>
      <w:r w:rsidRPr="00AE6486">
        <w:t>Priority Reform 3: Transforming government organisations</w:t>
      </w:r>
      <w:bookmarkEnd w:id="329"/>
      <w:bookmarkEnd w:id="330"/>
      <w:r w:rsidRPr="00AE6486">
        <w:t xml:space="preserve"> </w:t>
      </w:r>
    </w:p>
    <w:p w14:paraId="346BCF09" w14:textId="77777777" w:rsidR="00EB0D85" w:rsidRPr="00AE6486" w:rsidRDefault="00EB0D85" w:rsidP="00EB0D85">
      <w:pPr>
        <w:rPr>
          <w:rFonts w:cs="Arial"/>
        </w:rPr>
      </w:pPr>
      <w:r w:rsidRPr="00AE6486">
        <w:rPr>
          <w:rFonts w:cs="Arial"/>
        </w:rPr>
        <w:t xml:space="preserve">In 2025–26, we participated in Reconciliation Week and NAIDOC Week events run by our Social Committee. </w:t>
      </w:r>
    </w:p>
    <w:p w14:paraId="26F26716" w14:textId="77777777" w:rsidR="00EB0D85" w:rsidRPr="00AE6486" w:rsidRDefault="00EB0D85" w:rsidP="00EB0D85">
      <w:pPr>
        <w:rPr>
          <w:rFonts w:cs="Arial"/>
        </w:rPr>
      </w:pPr>
      <w:r w:rsidRPr="00AE6486">
        <w:rPr>
          <w:rFonts w:cs="Arial"/>
        </w:rPr>
        <w:t xml:space="preserve">In 2025, we developed a First Nations Graphic Artwork Style Guide to support the respectful and appropriate use of First Nations artwork across </w:t>
      </w:r>
      <w:r>
        <w:rPr>
          <w:rFonts w:cs="Arial"/>
        </w:rPr>
        <w:t>our</w:t>
      </w:r>
      <w:r w:rsidRPr="00AE6486">
        <w:rPr>
          <w:rFonts w:cs="Arial"/>
        </w:rPr>
        <w:t xml:space="preserve"> agency. Bespoke artwork by First Nations artist Chern’ee Sutton is used across internal and external publications, digital assets, Acknowledgment of Country materials and a framed artwork story is mounted in the Sydney office.  </w:t>
      </w:r>
    </w:p>
    <w:p w14:paraId="3C69702A" w14:textId="77777777" w:rsidR="00EB0D85" w:rsidRPr="00195818" w:rsidRDefault="00EB0D85" w:rsidP="00EB0D85">
      <w:pPr>
        <w:pStyle w:val="Heading4"/>
      </w:pPr>
      <w:bookmarkStart w:id="331" w:name="_Toc233023502"/>
      <w:bookmarkStart w:id="332" w:name="_Toc233028678"/>
      <w:r w:rsidRPr="00195818">
        <w:t>Priority Reform 4: Shared access to data and information at a regional level</w:t>
      </w:r>
      <w:bookmarkEnd w:id="331"/>
      <w:bookmarkEnd w:id="332"/>
      <w:r w:rsidRPr="00195818">
        <w:t xml:space="preserve"> </w:t>
      </w:r>
    </w:p>
    <w:p w14:paraId="3400C570" w14:textId="77777777" w:rsidR="00EB0D85" w:rsidRDefault="00EB0D85" w:rsidP="00EB0D85">
      <w:pPr>
        <w:rPr>
          <w:rFonts w:cs="Arial"/>
          <w:color w:val="auto"/>
        </w:rPr>
      </w:pPr>
      <w:r w:rsidRPr="00195818">
        <w:rPr>
          <w:rFonts w:cs="Arial"/>
        </w:rPr>
        <w:t xml:space="preserve">In November 2025, we published the </w:t>
      </w:r>
      <w:hyperlink r:id="rId40" w:history="1">
        <w:r w:rsidRPr="003204D3">
          <w:rPr>
            <w:rStyle w:val="Hyperlink"/>
            <w:rFonts w:cs="Arial"/>
          </w:rPr>
          <w:t>P</w:t>
        </w:r>
        <w:bookmarkStart w:id="333" w:name="_Hlt233383393"/>
        <w:bookmarkStart w:id="334" w:name="_Hlt233383394"/>
        <w:r w:rsidRPr="003204D3">
          <w:rPr>
            <w:rStyle w:val="Hyperlink"/>
            <w:rFonts w:cs="Arial"/>
          </w:rPr>
          <w:t>r</w:t>
        </w:r>
        <w:bookmarkEnd w:id="333"/>
        <w:bookmarkEnd w:id="334"/>
        <w:r w:rsidRPr="003204D3">
          <w:rPr>
            <w:rStyle w:val="Hyperlink"/>
            <w:rFonts w:cs="Arial"/>
          </w:rPr>
          <w:t>icing for Australian public hospital services for First Nations peoples – Fact sheet</w:t>
        </w:r>
      </w:hyperlink>
      <w:r w:rsidRPr="00195818">
        <w:rPr>
          <w:rFonts w:cs="Arial"/>
        </w:rPr>
        <w:t>,</w:t>
      </w:r>
      <w:r>
        <w:rPr>
          <w:rFonts w:cs="Arial"/>
        </w:rPr>
        <w:t xml:space="preserve"> </w:t>
      </w:r>
      <w:r w:rsidRPr="00195818">
        <w:rPr>
          <w:rFonts w:cs="Arial"/>
        </w:rPr>
        <w:t xml:space="preserve">which outlines </w:t>
      </w:r>
      <w:r>
        <w:rPr>
          <w:rFonts w:cs="Arial"/>
        </w:rPr>
        <w:t>our</w:t>
      </w:r>
      <w:r w:rsidRPr="00195818">
        <w:rPr>
          <w:rFonts w:cs="Arial"/>
        </w:rPr>
        <w:t xml:space="preserve"> role under the NHRA in relation to public hospital services for First Nations peoples. The fact sheet explains how we</w:t>
      </w:r>
      <w:r>
        <w:rPr>
          <w:rFonts w:cs="Arial"/>
        </w:rPr>
        <w:t xml:space="preserve"> calculate and</w:t>
      </w:r>
      <w:r w:rsidRPr="00195818">
        <w:rPr>
          <w:rFonts w:cs="Arial"/>
        </w:rPr>
        <w:t xml:space="preserve"> determine the national efficient price (NEP) and the national efficient cost for the Australian public hospital system, including the Indigenous adjustment applied to the NEP</w:t>
      </w:r>
      <w:r>
        <w:rPr>
          <w:rFonts w:cs="Arial"/>
        </w:rPr>
        <w:t>.</w:t>
      </w:r>
      <w:r w:rsidRPr="00195818">
        <w:rPr>
          <w:rFonts w:cs="Arial"/>
        </w:rPr>
        <w:t xml:space="preserve">  </w:t>
      </w:r>
    </w:p>
    <w:p w14:paraId="1CA32CC9" w14:textId="77777777" w:rsidR="00EB0D85" w:rsidRDefault="00EB0D85" w:rsidP="00EB0D85">
      <w:pPr>
        <w:pStyle w:val="Sectionnumber"/>
        <w:rPr>
          <w:rFonts w:ascii="Arial" w:hAnsi="Arial" w:cs="Arial"/>
          <w:color w:val="15272F" w:themeColor="text1"/>
        </w:rPr>
      </w:pPr>
      <w:r w:rsidRPr="007C342E">
        <w:rPr>
          <w:rFonts w:ascii="Arial" w:hAnsi="Arial" w:cs="Arial"/>
          <w:color w:val="15272F" w:themeColor="text1"/>
        </w:rPr>
        <w:lastRenderedPageBreak/>
        <w:t>0</w:t>
      </w:r>
      <w:r>
        <w:rPr>
          <w:rFonts w:ascii="Arial" w:hAnsi="Arial" w:cs="Arial"/>
          <w:color w:val="15272F" w:themeColor="text1"/>
        </w:rPr>
        <w:t>3</w:t>
      </w:r>
    </w:p>
    <w:p w14:paraId="3AF9DF5B" w14:textId="77777777" w:rsidR="00EB0D85" w:rsidRPr="009D6C95" w:rsidRDefault="00EB0D85" w:rsidP="00EB0D85">
      <w:pPr>
        <w:pStyle w:val="Sectionnumber"/>
        <w:rPr>
          <w:rFonts w:ascii="Arial" w:hAnsi="Arial" w:cs="Arial"/>
          <w:color w:val="15272F" w:themeColor="text1"/>
          <w:sz w:val="72"/>
          <w:szCs w:val="72"/>
        </w:rPr>
      </w:pPr>
      <w:r w:rsidRPr="009D6C95">
        <w:rPr>
          <w:rFonts w:ascii="Arial" w:hAnsi="Arial" w:cs="Arial"/>
          <w:color w:val="15272F" w:themeColor="text1"/>
          <w:sz w:val="72"/>
          <w:szCs w:val="72"/>
        </w:rPr>
        <w:t>Governance and accountability</w:t>
      </w:r>
    </w:p>
    <w:p w14:paraId="060C33E1" w14:textId="77777777" w:rsidR="00EB0D85" w:rsidRPr="00B326F7" w:rsidRDefault="00EB0D85" w:rsidP="00EB0D85">
      <w:pPr>
        <w:pStyle w:val="Heading1"/>
      </w:pPr>
      <w:bookmarkStart w:id="335" w:name="_Toc233022279"/>
      <w:bookmarkStart w:id="336" w:name="_Toc233023041"/>
      <w:bookmarkStart w:id="337" w:name="_Toc233023376"/>
      <w:bookmarkStart w:id="338" w:name="_Toc233028679"/>
      <w:bookmarkStart w:id="339" w:name="_Toc233028869"/>
      <w:bookmarkStart w:id="340" w:name="_Toc235787424"/>
      <w:bookmarkStart w:id="341" w:name="_Toc235791562"/>
      <w:bookmarkStart w:id="342" w:name="_Toc237872665"/>
      <w:r w:rsidRPr="00B326F7">
        <w:lastRenderedPageBreak/>
        <w:t>3.1</w:t>
      </w:r>
      <w:r w:rsidRPr="00B326F7">
        <w:tab/>
        <w:t>The Pricing Authority</w:t>
      </w:r>
      <w:bookmarkEnd w:id="335"/>
      <w:bookmarkEnd w:id="336"/>
      <w:bookmarkEnd w:id="337"/>
      <w:bookmarkEnd w:id="338"/>
      <w:bookmarkEnd w:id="339"/>
      <w:bookmarkEnd w:id="340"/>
      <w:bookmarkEnd w:id="341"/>
      <w:bookmarkEnd w:id="342"/>
      <w:r w:rsidRPr="00B326F7">
        <w:t xml:space="preserve"> </w:t>
      </w:r>
    </w:p>
    <w:p w14:paraId="1D2EE4BB" w14:textId="77777777" w:rsidR="00EB0D85" w:rsidRPr="00195818" w:rsidRDefault="00EB0D85" w:rsidP="00EB0D85">
      <w:pPr>
        <w:rPr>
          <w:rFonts w:cs="Arial"/>
        </w:rPr>
      </w:pPr>
      <w:r w:rsidRPr="00195818">
        <w:rPr>
          <w:rFonts w:cs="Arial"/>
        </w:rPr>
        <w:t xml:space="preserve">The Pricing Authority provides independent and transparent advice to the Australian Government in relation to the pricing of public hospital and aged care services. The Pricing Authority has an overall governance role and is responsible for the proper and efficient performance of IHACPA’s functions. </w:t>
      </w:r>
    </w:p>
    <w:p w14:paraId="2B0990EF" w14:textId="77777777" w:rsidR="00EB0D85" w:rsidRPr="00072F4A" w:rsidRDefault="00EB0D85" w:rsidP="00EB0D85">
      <w:pPr>
        <w:rPr>
          <w:rFonts w:cs="Arial"/>
        </w:rPr>
      </w:pPr>
      <w:r w:rsidRPr="00072F4A">
        <w:rPr>
          <w:rFonts w:cs="Arial"/>
        </w:rPr>
        <w:t>Pricing Authority members are appointed for a period of up to 5 years</w:t>
      </w:r>
      <w:r>
        <w:rPr>
          <w:rFonts w:cs="Arial"/>
        </w:rPr>
        <w:t xml:space="preserve"> and can be reappointed</w:t>
      </w:r>
      <w:r w:rsidRPr="00072F4A">
        <w:rPr>
          <w:rFonts w:cs="Arial"/>
        </w:rPr>
        <w:t xml:space="preserve">. </w:t>
      </w:r>
      <w:r>
        <w:rPr>
          <w:rFonts w:cs="Arial"/>
        </w:rPr>
        <w:t>The</w:t>
      </w:r>
      <w:r w:rsidRPr="00072F4A">
        <w:rPr>
          <w:rFonts w:cs="Arial"/>
        </w:rPr>
        <w:t xml:space="preserve"> Chair and Deputy Chair (Aged Care Pricing) are appointed by the Minister for Health and Ageing. The Deputy Chair (Hospital Pricing) is appointed by the minister with the agreement of first ministers of all states and territories. The remaining members are appointed with the agreement of the Prime Minister and first ministers of the states and territories.</w:t>
      </w:r>
    </w:p>
    <w:p w14:paraId="2909E0BD" w14:textId="77777777" w:rsidR="00EB0D85" w:rsidRPr="00195818" w:rsidRDefault="00EB0D85" w:rsidP="00EB0D85">
      <w:pPr>
        <w:rPr>
          <w:rFonts w:cs="Arial"/>
        </w:rPr>
      </w:pPr>
      <w:r w:rsidRPr="00195818">
        <w:rPr>
          <w:rFonts w:cs="Arial"/>
        </w:rPr>
        <w:t>Members bring significant and varied expertise to their roles, including substantial experience and knowledge of the health and aged care sectors, health care needs, and the provision of these services in regional and rural areas.</w:t>
      </w:r>
    </w:p>
    <w:p w14:paraId="7AFF8A2C" w14:textId="77777777" w:rsidR="00EB0D85" w:rsidRPr="00195818" w:rsidRDefault="00EB0D85" w:rsidP="00EB0D85">
      <w:pPr>
        <w:rPr>
          <w:rFonts w:cs="Arial"/>
        </w:rPr>
      </w:pPr>
      <w:r w:rsidRPr="00195818">
        <w:rPr>
          <w:rFonts w:cs="Arial"/>
        </w:rPr>
        <w:t xml:space="preserve">The Pricing Authority is supported by the CEO, who </w:t>
      </w:r>
      <w:r>
        <w:rPr>
          <w:rFonts w:cs="Arial"/>
        </w:rPr>
        <w:t xml:space="preserve">manages IHACPA’s operations. All Pricing Authority members are non-executive. </w:t>
      </w:r>
    </w:p>
    <w:p w14:paraId="3864C02F" w14:textId="77777777" w:rsidR="00EB0D85" w:rsidRPr="00776784" w:rsidRDefault="00EB0D85" w:rsidP="00EB0D85">
      <w:pPr>
        <w:pStyle w:val="Heading3"/>
      </w:pPr>
      <w:bookmarkStart w:id="343" w:name="_Toc233022280"/>
      <w:bookmarkStart w:id="344" w:name="_Toc233023042"/>
      <w:bookmarkStart w:id="345" w:name="_Toc233023377"/>
      <w:bookmarkStart w:id="346" w:name="_Toc233023504"/>
      <w:bookmarkStart w:id="347" w:name="_Toc233028680"/>
      <w:bookmarkStart w:id="348" w:name="_Toc233028870"/>
      <w:bookmarkStart w:id="349" w:name="_Toc235786094"/>
      <w:bookmarkStart w:id="350" w:name="_Toc235787425"/>
      <w:bookmarkStart w:id="351" w:name="_Toc235791563"/>
      <w:bookmarkStart w:id="352" w:name="_Toc237872666"/>
      <w:bookmarkStart w:id="353" w:name="_Hlk199260210"/>
      <w:r w:rsidRPr="00776784">
        <w:t>Mr David Tune AO PSM, Chair</w:t>
      </w:r>
      <w:bookmarkEnd w:id="343"/>
      <w:bookmarkEnd w:id="344"/>
      <w:bookmarkEnd w:id="345"/>
      <w:bookmarkEnd w:id="346"/>
      <w:bookmarkEnd w:id="347"/>
      <w:bookmarkEnd w:id="348"/>
      <w:bookmarkEnd w:id="349"/>
      <w:bookmarkEnd w:id="350"/>
      <w:bookmarkEnd w:id="351"/>
      <w:bookmarkEnd w:id="352"/>
    </w:p>
    <w:p w14:paraId="0C2D8AD7" w14:textId="77777777" w:rsidR="00EB0D85" w:rsidRPr="00195818" w:rsidRDefault="00EB0D85" w:rsidP="00EB0D85">
      <w:pPr>
        <w:rPr>
          <w:rFonts w:cs="Arial"/>
        </w:rPr>
      </w:pPr>
      <w:r w:rsidRPr="00195818">
        <w:rPr>
          <w:rFonts w:cs="Arial"/>
        </w:rPr>
        <w:t xml:space="preserve">Mr David Tune AO PSM was appointed Chair of the Pricing Authority with effect from </w:t>
      </w:r>
      <w:r>
        <w:rPr>
          <w:rFonts w:cs="Arial"/>
        </w:rPr>
        <w:br/>
      </w:r>
      <w:r w:rsidRPr="00195818">
        <w:rPr>
          <w:rFonts w:cs="Arial"/>
        </w:rPr>
        <w:t>1 February 2022.</w:t>
      </w:r>
    </w:p>
    <w:p w14:paraId="4A3423AF" w14:textId="77777777" w:rsidR="00EB0D85" w:rsidRPr="00195818" w:rsidRDefault="00EB0D85" w:rsidP="00EB0D85">
      <w:pPr>
        <w:rPr>
          <w:rFonts w:cs="Arial"/>
        </w:rPr>
      </w:pPr>
      <w:r w:rsidRPr="00195818">
        <w:rPr>
          <w:rFonts w:cs="Arial"/>
        </w:rPr>
        <w:t>He was formerly Chair of the Aged Care Sector Committee that provided advice to the Commonwealth Government on aged care from early 2015 to July 2021.</w:t>
      </w:r>
    </w:p>
    <w:p w14:paraId="4D49D8A6" w14:textId="77777777" w:rsidR="00EB0D85" w:rsidRPr="00195818" w:rsidRDefault="00EB0D85" w:rsidP="00EB0D85">
      <w:pPr>
        <w:rPr>
          <w:rFonts w:cs="Arial"/>
        </w:rPr>
      </w:pPr>
      <w:r w:rsidRPr="00195818">
        <w:rPr>
          <w:rFonts w:cs="Arial"/>
        </w:rPr>
        <w:t>He has undertaken many reviews for the Commonwealth and state governments, including the Legislative Review of Aged Care in 2016.</w:t>
      </w:r>
    </w:p>
    <w:p w14:paraId="25093D9C" w14:textId="77777777" w:rsidR="00EB0D85" w:rsidRPr="00195818" w:rsidRDefault="00EB0D85" w:rsidP="00EB0D85">
      <w:pPr>
        <w:rPr>
          <w:rFonts w:cs="Arial"/>
        </w:rPr>
      </w:pPr>
      <w:r w:rsidRPr="00195818">
        <w:rPr>
          <w:rFonts w:cs="Arial"/>
        </w:rPr>
        <w:t>Mr Tune was Secretary of the Australian Government Department of Finance from 2009 until 2014.</w:t>
      </w:r>
    </w:p>
    <w:p w14:paraId="6E8D5353" w14:textId="77777777" w:rsidR="00EB0D85" w:rsidRPr="00776784" w:rsidRDefault="00EB0D85" w:rsidP="00EB0D85">
      <w:pPr>
        <w:pStyle w:val="Heading3"/>
      </w:pPr>
      <w:bookmarkStart w:id="354" w:name="_Toc233022281"/>
      <w:bookmarkStart w:id="355" w:name="_Toc233023043"/>
      <w:bookmarkStart w:id="356" w:name="_Toc233023378"/>
      <w:bookmarkStart w:id="357" w:name="_Toc233023505"/>
      <w:bookmarkStart w:id="358" w:name="_Toc233028681"/>
      <w:bookmarkStart w:id="359" w:name="_Toc233028871"/>
      <w:bookmarkStart w:id="360" w:name="_Toc235786095"/>
      <w:bookmarkStart w:id="361" w:name="_Toc235787426"/>
      <w:bookmarkStart w:id="362" w:name="_Toc235791564"/>
      <w:bookmarkStart w:id="363" w:name="_Toc237872667"/>
      <w:bookmarkEnd w:id="353"/>
      <w:r w:rsidRPr="00776784">
        <w:t xml:space="preserve">Ms Jennifer Williams AM, </w:t>
      </w:r>
      <w:r w:rsidRPr="004F64C7">
        <w:t>Deputy</w:t>
      </w:r>
      <w:r w:rsidRPr="00776784">
        <w:t> Chair, Hospital Pricing</w:t>
      </w:r>
      <w:bookmarkEnd w:id="354"/>
      <w:bookmarkEnd w:id="355"/>
      <w:bookmarkEnd w:id="356"/>
      <w:bookmarkEnd w:id="357"/>
      <w:bookmarkEnd w:id="358"/>
      <w:bookmarkEnd w:id="359"/>
      <w:bookmarkEnd w:id="360"/>
      <w:bookmarkEnd w:id="361"/>
      <w:bookmarkEnd w:id="362"/>
      <w:bookmarkEnd w:id="363"/>
    </w:p>
    <w:p w14:paraId="3EC28632" w14:textId="77777777" w:rsidR="00EB0D85" w:rsidRPr="008011F3" w:rsidRDefault="00EB0D85" w:rsidP="00EB0D85">
      <w:bookmarkStart w:id="364" w:name="_Hlk199260646"/>
      <w:r w:rsidRPr="00900685">
        <w:t xml:space="preserve">Ms Jennifer Williams AM is an experienced board member serving on several health service related boards. </w:t>
      </w:r>
      <w:r w:rsidRPr="008011F3">
        <w:t>She recently completed 10 years as the Chair of Northern Health and completed her term as Chair of Yooralla in 2024–25 after 9 years.</w:t>
      </w:r>
    </w:p>
    <w:p w14:paraId="47A30D7F" w14:textId="77777777" w:rsidR="00EB0D85" w:rsidRPr="00195818" w:rsidRDefault="00EB0D85" w:rsidP="00EB0D85">
      <w:r w:rsidRPr="00195818">
        <w:t xml:space="preserve">Her other </w:t>
      </w:r>
      <w:r>
        <w:t>b</w:t>
      </w:r>
      <w:r w:rsidRPr="00195818">
        <w:t xml:space="preserve">oard appointments </w:t>
      </w:r>
      <w:r>
        <w:t>were</w:t>
      </w:r>
      <w:r w:rsidRPr="00195818">
        <w:t xml:space="preserve"> with Barwon Health and the Victorian Health Building Authority Advisory Board. Ms Williams has previously held the positions of Chief Executive of the Australian Red Cross Blood Service, Chief Executive of Alfred Health and Chief Executive of Austin Health. </w:t>
      </w:r>
    </w:p>
    <w:p w14:paraId="5549991A" w14:textId="77777777" w:rsidR="00EB0D85" w:rsidRPr="00195818" w:rsidRDefault="00EB0D85" w:rsidP="00EB0D85">
      <w:r w:rsidRPr="00195818">
        <w:t>She has considerable experience in the health sector over several decades, working across the hospital, aged care and community sectors.</w:t>
      </w:r>
    </w:p>
    <w:p w14:paraId="03835DBB" w14:textId="77777777" w:rsidR="00EB0D85" w:rsidRPr="00776784" w:rsidRDefault="00EB0D85" w:rsidP="00EB0D85">
      <w:pPr>
        <w:pStyle w:val="Heading3"/>
        <w:rPr>
          <w:rFonts w:cs="Arial"/>
          <w:bCs/>
          <w:szCs w:val="24"/>
        </w:rPr>
      </w:pPr>
      <w:bookmarkStart w:id="365" w:name="_Toc233022282"/>
      <w:bookmarkStart w:id="366" w:name="_Toc233023044"/>
      <w:bookmarkStart w:id="367" w:name="_Toc233023379"/>
      <w:bookmarkStart w:id="368" w:name="_Toc233023506"/>
      <w:bookmarkStart w:id="369" w:name="_Toc233028682"/>
      <w:bookmarkStart w:id="370" w:name="_Toc233028872"/>
      <w:bookmarkStart w:id="371" w:name="_Toc235786096"/>
      <w:bookmarkStart w:id="372" w:name="_Toc235787427"/>
      <w:bookmarkStart w:id="373" w:name="_Toc235791565"/>
      <w:bookmarkStart w:id="374" w:name="_Toc237872668"/>
      <w:r w:rsidRPr="00776784">
        <w:lastRenderedPageBreak/>
        <w:t>Dr Stephen Judd AM, Deputy Chair, Aged Care Pricing</w:t>
      </w:r>
      <w:bookmarkEnd w:id="365"/>
      <w:bookmarkEnd w:id="366"/>
      <w:bookmarkEnd w:id="367"/>
      <w:bookmarkEnd w:id="368"/>
      <w:bookmarkEnd w:id="369"/>
      <w:bookmarkEnd w:id="370"/>
      <w:bookmarkEnd w:id="371"/>
      <w:bookmarkEnd w:id="372"/>
      <w:bookmarkEnd w:id="373"/>
      <w:bookmarkEnd w:id="374"/>
    </w:p>
    <w:p w14:paraId="61AF75E5" w14:textId="77777777" w:rsidR="00EB0D85" w:rsidRPr="00195818" w:rsidRDefault="00EB0D85" w:rsidP="00EB0D85">
      <w:pPr>
        <w:rPr>
          <w:rFonts w:cs="Arial"/>
        </w:rPr>
      </w:pPr>
      <w:r w:rsidRPr="00195818">
        <w:rPr>
          <w:rFonts w:cs="Arial"/>
        </w:rPr>
        <w:t>Dr Stephen Judd was Chief Executive of health and aged care services provider, HammondCare, from 1995–2020. When he stepped down, HammondCare had grown to provide care and services to more than 25,000 clients.</w:t>
      </w:r>
    </w:p>
    <w:p w14:paraId="234ABD6A" w14:textId="77777777" w:rsidR="00EB0D85" w:rsidRPr="00195818" w:rsidRDefault="00EB0D85" w:rsidP="00EB0D85">
      <w:pPr>
        <w:rPr>
          <w:rFonts w:cs="Arial"/>
        </w:rPr>
      </w:pPr>
      <w:r w:rsidRPr="00195818">
        <w:rPr>
          <w:rFonts w:cs="Arial"/>
        </w:rPr>
        <w:t>He has written and contributed to books on dementia care, aged care design and the role of charities in contemporary Australian society. He has served on numerous government and industry committees. Until 2020, he was a member of the Advisory Council of the Australian Aged Care Quality Agency.</w:t>
      </w:r>
    </w:p>
    <w:p w14:paraId="05516294" w14:textId="77777777" w:rsidR="00EB0D85" w:rsidRPr="00195818" w:rsidRDefault="00EB0D85" w:rsidP="00EB0D85">
      <w:pPr>
        <w:rPr>
          <w:rFonts w:cs="Arial"/>
        </w:rPr>
      </w:pPr>
      <w:r w:rsidRPr="00195818">
        <w:rPr>
          <w:rFonts w:cs="Arial"/>
        </w:rPr>
        <w:t>Dr Judd has served as a Senior Visiting Fellow at the School of Population Health, UNSW Medicine, University of New South Wales and as the inaugural Fellow, Council on the Ageing, a peak consumer advocacy group, until the end of 2022.</w:t>
      </w:r>
    </w:p>
    <w:p w14:paraId="1E3F7DCB" w14:textId="77777777" w:rsidR="00EB0D85" w:rsidRPr="00776784" w:rsidRDefault="00EB0D85" w:rsidP="00EB0D85">
      <w:pPr>
        <w:pStyle w:val="Heading3"/>
        <w:rPr>
          <w:rFonts w:cs="Arial"/>
          <w:bCs/>
        </w:rPr>
      </w:pPr>
      <w:bookmarkStart w:id="375" w:name="_Toc233022283"/>
      <w:bookmarkStart w:id="376" w:name="_Toc233023045"/>
      <w:bookmarkStart w:id="377" w:name="_Toc233023380"/>
      <w:bookmarkStart w:id="378" w:name="_Toc233023507"/>
      <w:bookmarkStart w:id="379" w:name="_Toc233028683"/>
      <w:bookmarkStart w:id="380" w:name="_Toc233028873"/>
      <w:bookmarkStart w:id="381" w:name="_Toc235786097"/>
      <w:bookmarkStart w:id="382" w:name="_Toc235787428"/>
      <w:bookmarkStart w:id="383" w:name="_Toc235791566"/>
      <w:bookmarkStart w:id="384" w:name="_Toc237872669"/>
      <w:bookmarkStart w:id="385" w:name="_Hlk199260833"/>
      <w:bookmarkEnd w:id="364"/>
      <w:r w:rsidRPr="00776784">
        <w:t>Mr Glenn Appleyard</w:t>
      </w:r>
      <w:bookmarkEnd w:id="375"/>
      <w:bookmarkEnd w:id="376"/>
      <w:bookmarkEnd w:id="377"/>
      <w:bookmarkEnd w:id="378"/>
      <w:bookmarkEnd w:id="379"/>
      <w:bookmarkEnd w:id="380"/>
      <w:bookmarkEnd w:id="381"/>
      <w:bookmarkEnd w:id="382"/>
      <w:bookmarkEnd w:id="383"/>
      <w:bookmarkEnd w:id="384"/>
    </w:p>
    <w:p w14:paraId="04C986CD" w14:textId="77777777" w:rsidR="00EB0D85" w:rsidRPr="00FF6587" w:rsidRDefault="00EB0D85" w:rsidP="00EB0D85">
      <w:pPr>
        <w:rPr>
          <w:rFonts w:cs="Arial"/>
        </w:rPr>
      </w:pPr>
      <w:r w:rsidRPr="00FF6587">
        <w:rPr>
          <w:rFonts w:cs="Arial"/>
        </w:rPr>
        <w:t xml:space="preserve">Mr Glenn Appleyard was a member of the Australian Accounting Standards Board from </w:t>
      </w:r>
      <w:r>
        <w:rPr>
          <w:rFonts w:cs="Arial"/>
        </w:rPr>
        <w:br/>
      </w:r>
      <w:r w:rsidRPr="00FF6587">
        <w:rPr>
          <w:rFonts w:cs="Arial"/>
        </w:rPr>
        <w:t>1 January 2003 to 31 December 2011.</w:t>
      </w:r>
    </w:p>
    <w:p w14:paraId="424526D6" w14:textId="77777777" w:rsidR="00EB0D85" w:rsidRPr="00FF6587" w:rsidRDefault="00EB0D85" w:rsidP="00EB0D85">
      <w:pPr>
        <w:rPr>
          <w:rFonts w:cs="Arial"/>
        </w:rPr>
      </w:pPr>
      <w:r w:rsidRPr="00FF6587">
        <w:rPr>
          <w:rFonts w:cs="Arial"/>
        </w:rPr>
        <w:t>He has held several senior positions within the public service, including Deputy Secretary in the Tasmanian and Victorian Departments of Treasury and Finance, and Regional Director for the Australian Bureau of Statistics in Tasmania.</w:t>
      </w:r>
    </w:p>
    <w:p w14:paraId="71EFBAB4" w14:textId="77777777" w:rsidR="00EB0D85" w:rsidRPr="00FF6587" w:rsidRDefault="00EB0D85" w:rsidP="00EB0D85">
      <w:pPr>
        <w:rPr>
          <w:rFonts w:cs="Arial"/>
        </w:rPr>
      </w:pPr>
      <w:r w:rsidRPr="00FF6587">
        <w:rPr>
          <w:rFonts w:cs="Arial"/>
        </w:rPr>
        <w:t>He was a member of the Commonwealth Grants Commission for 11 years and Chair of the Tasmanian Economic Regulator.</w:t>
      </w:r>
    </w:p>
    <w:p w14:paraId="14DA78DD" w14:textId="77777777" w:rsidR="00EB0D85" w:rsidRPr="00FF6587" w:rsidRDefault="00EB0D85" w:rsidP="00EB0D85">
      <w:pPr>
        <w:rPr>
          <w:rFonts w:cs="Arial"/>
        </w:rPr>
      </w:pPr>
      <w:r>
        <w:rPr>
          <w:rFonts w:cs="Arial"/>
        </w:rPr>
        <w:t>Mr Appleyard</w:t>
      </w:r>
      <w:r w:rsidRPr="1B907566">
        <w:rPr>
          <w:rFonts w:cs="Arial"/>
        </w:rPr>
        <w:t xml:space="preserve"> re</w:t>
      </w:r>
      <w:r>
        <w:rPr>
          <w:rFonts w:cs="Arial"/>
        </w:rPr>
        <w:t>signed</w:t>
      </w:r>
      <w:r w:rsidRPr="1B907566">
        <w:rPr>
          <w:rFonts w:cs="Arial"/>
        </w:rPr>
        <w:t xml:space="preserve"> from </w:t>
      </w:r>
      <w:r>
        <w:rPr>
          <w:rFonts w:cs="Arial"/>
        </w:rPr>
        <w:t>his position on the</w:t>
      </w:r>
      <w:r w:rsidRPr="1B907566">
        <w:rPr>
          <w:rFonts w:cs="Arial"/>
        </w:rPr>
        <w:t xml:space="preserve"> Pricing Authority on 31 March 2026.</w:t>
      </w:r>
      <w:r>
        <w:rPr>
          <w:rFonts w:cs="Arial"/>
        </w:rPr>
        <w:t xml:space="preserve"> </w:t>
      </w:r>
      <w:r w:rsidRPr="00FF6587">
        <w:rPr>
          <w:rFonts w:cs="Arial"/>
        </w:rPr>
        <w:t>As a founding member</w:t>
      </w:r>
      <w:r>
        <w:rPr>
          <w:rFonts w:cs="Arial"/>
        </w:rPr>
        <w:t xml:space="preserve"> of the Pricing Authority,</w:t>
      </w:r>
      <w:r w:rsidRPr="00FF6587">
        <w:rPr>
          <w:rFonts w:cs="Arial"/>
        </w:rPr>
        <w:t xml:space="preserve"> his contribution and expertise made a significant contribution to IHACPA and were instrumental in establishing the strength of the Pricing Authority’s processes and advice. </w:t>
      </w:r>
    </w:p>
    <w:p w14:paraId="1C5B784D" w14:textId="77777777" w:rsidR="00EB0D85" w:rsidRPr="00776784" w:rsidRDefault="00EB0D85" w:rsidP="00EB0D85">
      <w:pPr>
        <w:pStyle w:val="Heading3"/>
        <w:rPr>
          <w:rFonts w:cs="Arial"/>
          <w:bCs/>
        </w:rPr>
      </w:pPr>
      <w:bookmarkStart w:id="386" w:name="_Toc233022284"/>
      <w:bookmarkStart w:id="387" w:name="_Toc233023046"/>
      <w:bookmarkStart w:id="388" w:name="_Toc233023381"/>
      <w:bookmarkStart w:id="389" w:name="_Toc233023508"/>
      <w:bookmarkStart w:id="390" w:name="_Toc233028684"/>
      <w:bookmarkStart w:id="391" w:name="_Toc233028874"/>
      <w:bookmarkStart w:id="392" w:name="_Toc235786098"/>
      <w:bookmarkStart w:id="393" w:name="_Toc235787429"/>
      <w:bookmarkStart w:id="394" w:name="_Toc235791567"/>
      <w:bookmarkStart w:id="395" w:name="_Toc237872670"/>
      <w:bookmarkStart w:id="396" w:name="_Hlk199260924"/>
      <w:bookmarkEnd w:id="385"/>
      <w:r w:rsidRPr="00776784">
        <w:t>Ms Prudence Ford</w:t>
      </w:r>
      <w:bookmarkEnd w:id="386"/>
      <w:bookmarkEnd w:id="387"/>
      <w:bookmarkEnd w:id="388"/>
      <w:bookmarkEnd w:id="389"/>
      <w:bookmarkEnd w:id="390"/>
      <w:bookmarkEnd w:id="391"/>
      <w:bookmarkEnd w:id="392"/>
      <w:bookmarkEnd w:id="393"/>
      <w:bookmarkEnd w:id="394"/>
      <w:bookmarkEnd w:id="395"/>
    </w:p>
    <w:p w14:paraId="7C22D66B" w14:textId="77777777" w:rsidR="00EB0D85" w:rsidRPr="00040260" w:rsidRDefault="00EB0D85" w:rsidP="00EB0D85">
      <w:pPr>
        <w:rPr>
          <w:rFonts w:cs="Arial"/>
        </w:rPr>
      </w:pPr>
      <w:r w:rsidRPr="00040260">
        <w:rPr>
          <w:rFonts w:cs="Arial"/>
        </w:rPr>
        <w:t>Ms Prudence Ford is a member of the Health Consumers’ Council of Western Australia. She was an inaugural member of the Medical Board of Australia and has previously been a member of the National Blood Authority, the National Health and Medical Research Council, the Brightwater Care Group Board (a provider of aged and disability care services) and the Western Australian Medical Board.</w:t>
      </w:r>
    </w:p>
    <w:p w14:paraId="5F88CCC4" w14:textId="77777777" w:rsidR="00EB0D85" w:rsidRPr="00040260" w:rsidRDefault="00EB0D85" w:rsidP="00EB0D85">
      <w:pPr>
        <w:rPr>
          <w:rFonts w:cs="Arial"/>
        </w:rPr>
      </w:pPr>
      <w:r w:rsidRPr="00040260">
        <w:rPr>
          <w:rFonts w:cs="Arial"/>
        </w:rPr>
        <w:t>Ms Ford has 30 years’ experience in the public service at Commonwealth and state levels. She has held senior executive positions in the (then) Australian Government departments of Community Services and Health, Finance, and the Attorney General, and in the Western Australian Departments of Health and Premier and Cabinet.</w:t>
      </w:r>
    </w:p>
    <w:p w14:paraId="1E246BD3" w14:textId="77777777" w:rsidR="00EB0D85" w:rsidRDefault="00EB0D85" w:rsidP="00EB0D85">
      <w:pPr>
        <w:spacing w:line="259" w:lineRule="auto"/>
        <w:rPr>
          <w:rFonts w:eastAsiaTheme="majorEastAsia" w:cstheme="majorBidi"/>
          <w:b/>
          <w:color w:val="008550"/>
          <w:sz w:val="28"/>
          <w:szCs w:val="28"/>
        </w:rPr>
      </w:pPr>
      <w:bookmarkStart w:id="397" w:name="_Hlk199260513"/>
      <w:bookmarkEnd w:id="396"/>
      <w:r>
        <w:br w:type="page"/>
      </w:r>
    </w:p>
    <w:p w14:paraId="7649315A" w14:textId="77777777" w:rsidR="00EB0D85" w:rsidRPr="004F64C7" w:rsidRDefault="00EB0D85" w:rsidP="00EB0D85">
      <w:pPr>
        <w:pStyle w:val="Heading3"/>
        <w:rPr>
          <w:rFonts w:cs="Arial"/>
          <w:bCs/>
        </w:rPr>
      </w:pPr>
      <w:bookmarkStart w:id="398" w:name="_Toc233022285"/>
      <w:bookmarkStart w:id="399" w:name="_Toc233023047"/>
      <w:bookmarkStart w:id="400" w:name="_Toc233023382"/>
      <w:bookmarkStart w:id="401" w:name="_Toc233023509"/>
      <w:bookmarkStart w:id="402" w:name="_Toc233028685"/>
      <w:bookmarkStart w:id="403" w:name="_Toc233028875"/>
      <w:bookmarkStart w:id="404" w:name="_Toc235786099"/>
      <w:bookmarkStart w:id="405" w:name="_Toc235787430"/>
      <w:bookmarkStart w:id="406" w:name="_Toc235791568"/>
      <w:bookmarkStart w:id="407" w:name="_Toc237872671"/>
      <w:r w:rsidRPr="004F64C7">
        <w:lastRenderedPageBreak/>
        <w:t>Dr Adam Coltzau</w:t>
      </w:r>
      <w:bookmarkEnd w:id="398"/>
      <w:bookmarkEnd w:id="399"/>
      <w:bookmarkEnd w:id="400"/>
      <w:bookmarkEnd w:id="401"/>
      <w:bookmarkEnd w:id="402"/>
      <w:bookmarkEnd w:id="403"/>
      <w:bookmarkEnd w:id="404"/>
      <w:bookmarkEnd w:id="405"/>
      <w:bookmarkEnd w:id="406"/>
      <w:bookmarkEnd w:id="407"/>
    </w:p>
    <w:p w14:paraId="70F73045" w14:textId="77777777" w:rsidR="00EB0D85" w:rsidRPr="00FF6587" w:rsidRDefault="00EB0D85" w:rsidP="00EB0D85">
      <w:pPr>
        <w:rPr>
          <w:rFonts w:cs="Arial"/>
        </w:rPr>
      </w:pPr>
      <w:r w:rsidRPr="00FF6587">
        <w:rPr>
          <w:rFonts w:cs="Arial"/>
        </w:rPr>
        <w:t>Dr Adam Coltzau is the Director of Medical Services at St George Hospital in rural Queensland.</w:t>
      </w:r>
    </w:p>
    <w:p w14:paraId="5603BA88" w14:textId="77777777" w:rsidR="00EB0D85" w:rsidRPr="00FF6587" w:rsidRDefault="00EB0D85" w:rsidP="00EB0D85">
      <w:pPr>
        <w:rPr>
          <w:rFonts w:cs="Arial"/>
        </w:rPr>
      </w:pPr>
      <w:r w:rsidRPr="00FF6587">
        <w:rPr>
          <w:rFonts w:cs="Arial"/>
        </w:rPr>
        <w:t>He is a rural generalist with extensive experience in hospital management, aged care and Aboriginal and Torres Strait Islander Health.</w:t>
      </w:r>
    </w:p>
    <w:p w14:paraId="6817C9CC" w14:textId="77777777" w:rsidR="00EB0D85" w:rsidRPr="00FF6587" w:rsidRDefault="00EB0D85" w:rsidP="00EB0D85">
      <w:pPr>
        <w:rPr>
          <w:rFonts w:cs="Arial"/>
        </w:rPr>
      </w:pPr>
      <w:r w:rsidRPr="00FF6587">
        <w:rPr>
          <w:rFonts w:cs="Arial"/>
        </w:rPr>
        <w:t xml:space="preserve">Dr Coltzau is a Fellow of both the Royal Australian College of General Practitioners and Australian College of Rural and Remote Medicine. He is also a senior clinical lecturer at the University of Queensland Rural Clinical School and </w:t>
      </w:r>
      <w:r>
        <w:rPr>
          <w:rFonts w:cs="Arial"/>
        </w:rPr>
        <w:t>g</w:t>
      </w:r>
      <w:r w:rsidRPr="00FF6587">
        <w:rPr>
          <w:rFonts w:cs="Arial"/>
        </w:rPr>
        <w:t>eneral practitioner training supervisor.</w:t>
      </w:r>
    </w:p>
    <w:p w14:paraId="73A58181" w14:textId="77777777" w:rsidR="00EB0D85" w:rsidRPr="00FF6587" w:rsidRDefault="00EB0D85" w:rsidP="00EB0D85">
      <w:pPr>
        <w:rPr>
          <w:rFonts w:cs="Arial"/>
        </w:rPr>
      </w:pPr>
      <w:r w:rsidRPr="00FF6587">
        <w:rPr>
          <w:rFonts w:cs="Arial"/>
        </w:rPr>
        <w:t xml:space="preserve">He </w:t>
      </w:r>
      <w:r>
        <w:rPr>
          <w:rFonts w:cs="Arial"/>
        </w:rPr>
        <w:t>served as</w:t>
      </w:r>
      <w:r w:rsidRPr="00FF6587">
        <w:rPr>
          <w:rFonts w:cs="Arial"/>
        </w:rPr>
        <w:t xml:space="preserve"> President and on the boards of the Rural Doctors Association of Queensland and the Rural Doctors Association of Australia.</w:t>
      </w:r>
    </w:p>
    <w:p w14:paraId="2F662F5F" w14:textId="77777777" w:rsidR="00EB0D85" w:rsidRPr="00FF6587" w:rsidRDefault="00EB0D85" w:rsidP="00EB0D85">
      <w:pPr>
        <w:rPr>
          <w:rFonts w:cs="Arial"/>
        </w:rPr>
      </w:pPr>
      <w:r w:rsidRPr="00FF6587">
        <w:rPr>
          <w:rFonts w:cs="Arial"/>
        </w:rPr>
        <w:t>Dr Coltzau also served as the inaugural Chair of the Board of the Rural Doctors Foundation, which he helped establish.</w:t>
      </w:r>
    </w:p>
    <w:p w14:paraId="7E340C93" w14:textId="77777777" w:rsidR="00EB0D85" w:rsidRPr="00291C52" w:rsidRDefault="00EB0D85" w:rsidP="00EB0D85">
      <w:pPr>
        <w:pStyle w:val="Heading3"/>
      </w:pPr>
      <w:bookmarkStart w:id="408" w:name="_Toc233022286"/>
      <w:bookmarkStart w:id="409" w:name="_Toc233023048"/>
      <w:bookmarkStart w:id="410" w:name="_Toc233023383"/>
      <w:bookmarkStart w:id="411" w:name="_Toc233023510"/>
      <w:bookmarkStart w:id="412" w:name="_Toc233028686"/>
      <w:bookmarkStart w:id="413" w:name="_Toc233028876"/>
      <w:bookmarkStart w:id="414" w:name="_Toc235786100"/>
      <w:bookmarkStart w:id="415" w:name="_Toc235787431"/>
      <w:bookmarkStart w:id="416" w:name="_Toc235791569"/>
      <w:bookmarkStart w:id="417" w:name="_Toc237872672"/>
      <w:bookmarkEnd w:id="397"/>
      <w:r w:rsidRPr="00291C52">
        <w:t>Distinguished Professor Jane Hall AO</w:t>
      </w:r>
      <w:bookmarkEnd w:id="408"/>
      <w:bookmarkEnd w:id="409"/>
      <w:bookmarkEnd w:id="410"/>
      <w:bookmarkEnd w:id="411"/>
      <w:bookmarkEnd w:id="412"/>
      <w:bookmarkEnd w:id="413"/>
      <w:bookmarkEnd w:id="414"/>
      <w:bookmarkEnd w:id="415"/>
      <w:bookmarkEnd w:id="416"/>
      <w:bookmarkEnd w:id="417"/>
    </w:p>
    <w:p w14:paraId="2DD36508" w14:textId="77777777" w:rsidR="00EB0D85" w:rsidRPr="00FF6587" w:rsidRDefault="00EB0D85" w:rsidP="00EB0D85">
      <w:pPr>
        <w:rPr>
          <w:rFonts w:cs="Arial"/>
        </w:rPr>
      </w:pPr>
      <w:r w:rsidRPr="00FF6587">
        <w:rPr>
          <w:rFonts w:cs="Arial"/>
        </w:rPr>
        <w:t>Professor Jane Hall AO is a Distinguished Professor of Health Economics at the University of Technology Sydney</w:t>
      </w:r>
      <w:r>
        <w:rPr>
          <w:rFonts w:cs="Arial"/>
        </w:rPr>
        <w:t>, and Honorary Professor at the Leeder Centre for Health Policy, Economics and Data</w:t>
      </w:r>
      <w:r w:rsidRPr="00FF6587">
        <w:rPr>
          <w:rFonts w:cs="Arial"/>
        </w:rPr>
        <w:t>. She received the National Health and Medical Research Council Outstanding Contribution Award in 2017</w:t>
      </w:r>
      <w:r>
        <w:rPr>
          <w:rFonts w:cs="Arial"/>
        </w:rPr>
        <w:t xml:space="preserve"> and was</w:t>
      </w:r>
      <w:r w:rsidRPr="00FF6587">
        <w:rPr>
          <w:rFonts w:cs="Arial"/>
        </w:rPr>
        <w:t xml:space="preserve"> named</w:t>
      </w:r>
      <w:r>
        <w:rPr>
          <w:rFonts w:cs="Arial"/>
        </w:rPr>
        <w:t xml:space="preserve"> as</w:t>
      </w:r>
      <w:r w:rsidRPr="00FF6587">
        <w:rPr>
          <w:rFonts w:cs="Arial"/>
        </w:rPr>
        <w:t xml:space="preserve"> one of the</w:t>
      </w:r>
      <w:r w:rsidRPr="00FF6587">
        <w:rPr>
          <w:rFonts w:cs="Arial"/>
          <w:i/>
          <w:iCs/>
        </w:rPr>
        <w:t xml:space="preserve"> </w:t>
      </w:r>
      <w:r w:rsidRPr="000D5D1C">
        <w:rPr>
          <w:rFonts w:cs="Arial"/>
        </w:rPr>
        <w:t>Australian Financial Review/Westpac</w:t>
      </w:r>
      <w:r w:rsidRPr="00FF6587">
        <w:rPr>
          <w:rFonts w:cs="Arial"/>
        </w:rPr>
        <w:t xml:space="preserve"> 100 Women of Influence in 2016.</w:t>
      </w:r>
    </w:p>
    <w:p w14:paraId="21D7A0AD" w14:textId="77777777" w:rsidR="00EB0D85" w:rsidRPr="00FF6587" w:rsidRDefault="00EB0D85" w:rsidP="00EB0D85">
      <w:pPr>
        <w:rPr>
          <w:rFonts w:cs="Arial"/>
        </w:rPr>
      </w:pPr>
      <w:r w:rsidRPr="00FF6587">
        <w:rPr>
          <w:rFonts w:cs="Arial"/>
        </w:rPr>
        <w:t>Professor Hall is a Fellow of the Academy of Social Sciences in Australia</w:t>
      </w:r>
      <w:r>
        <w:rPr>
          <w:rFonts w:cs="Arial"/>
        </w:rPr>
        <w:t>, where she previously served as President,</w:t>
      </w:r>
      <w:r w:rsidRPr="00FF6587">
        <w:rPr>
          <w:rFonts w:cs="Arial"/>
        </w:rPr>
        <w:t xml:space="preserve"> </w:t>
      </w:r>
      <w:r>
        <w:rPr>
          <w:rFonts w:cs="Arial"/>
        </w:rPr>
        <w:t xml:space="preserve">and </w:t>
      </w:r>
      <w:r w:rsidRPr="00FF6587">
        <w:rPr>
          <w:rFonts w:cs="Arial"/>
        </w:rPr>
        <w:t>of the Australian Academy of Health and Medical Sciences.</w:t>
      </w:r>
    </w:p>
    <w:p w14:paraId="683BCC3C" w14:textId="77777777" w:rsidR="00EB0D85" w:rsidRPr="00FF6587" w:rsidRDefault="00EB0D85" w:rsidP="00EB0D85">
      <w:pPr>
        <w:rPr>
          <w:rFonts w:ascii="Calibri" w:hAnsi="Calibri" w:cs="Calibri"/>
        </w:rPr>
      </w:pPr>
      <w:r w:rsidRPr="00FF6587">
        <w:rPr>
          <w:rFonts w:cs="Arial"/>
        </w:rPr>
        <w:t>She has worked across many areas of health economics. Her current research is focussed on funding and financing issues and payment reform.</w:t>
      </w:r>
    </w:p>
    <w:p w14:paraId="59170D43" w14:textId="77777777" w:rsidR="00EB0D85" w:rsidRPr="00291C52" w:rsidRDefault="00EB0D85" w:rsidP="00EB0D85">
      <w:pPr>
        <w:pStyle w:val="Heading3"/>
      </w:pPr>
      <w:bookmarkStart w:id="418" w:name="_Toc233022287"/>
      <w:bookmarkStart w:id="419" w:name="_Toc233023049"/>
      <w:bookmarkStart w:id="420" w:name="_Toc233023384"/>
      <w:bookmarkStart w:id="421" w:name="_Toc233023511"/>
      <w:bookmarkStart w:id="422" w:name="_Toc233028687"/>
      <w:bookmarkStart w:id="423" w:name="_Toc233028877"/>
      <w:bookmarkStart w:id="424" w:name="_Toc235786101"/>
      <w:bookmarkStart w:id="425" w:name="_Toc235787432"/>
      <w:bookmarkStart w:id="426" w:name="_Toc235791570"/>
      <w:bookmarkStart w:id="427" w:name="_Toc237872673"/>
      <w:r w:rsidRPr="00291C52">
        <w:t>Professor Maria Inacio</w:t>
      </w:r>
      <w:bookmarkEnd w:id="418"/>
      <w:bookmarkEnd w:id="419"/>
      <w:bookmarkEnd w:id="420"/>
      <w:bookmarkEnd w:id="421"/>
      <w:bookmarkEnd w:id="422"/>
      <w:bookmarkEnd w:id="423"/>
      <w:bookmarkEnd w:id="424"/>
      <w:bookmarkEnd w:id="425"/>
      <w:bookmarkEnd w:id="426"/>
      <w:bookmarkEnd w:id="427"/>
    </w:p>
    <w:p w14:paraId="646499A8" w14:textId="77777777" w:rsidR="00EB0D85" w:rsidRPr="00DA596C" w:rsidRDefault="00EB0D85" w:rsidP="00EB0D85">
      <w:r w:rsidRPr="00DA596C">
        <w:t>Professor Maria Inacio is an epidemiologist with expertise in population health surveillance, aged and health care services research. She is the Director of the Registry of Senior Australians (ROSA) Research Centre at the South Australian Health and Medical Research Institute, Matthew Flinders Professor of Health Services and Epidemiology at Flinders University Caring Futures Institute and a National Health and Medical Research Council Fellow. </w:t>
      </w:r>
    </w:p>
    <w:p w14:paraId="0267A577" w14:textId="77777777" w:rsidR="00EB0D85" w:rsidRPr="00DA596C" w:rsidRDefault="00EB0D85" w:rsidP="00EB0D85">
      <w:r w:rsidRPr="00DA596C">
        <w:t>Since 2017</w:t>
      </w:r>
      <w:r>
        <w:t>,</w:t>
      </w:r>
      <w:r w:rsidRPr="00DA596C">
        <w:t xml:space="preserve"> Professor Inacio has led the ROSA Research Centre, which includes a multidisciplinary team of over 30 researchers dedicated to creating high quality evidence to improve the quality of care and ageing for older people. </w:t>
      </w:r>
      <w:r>
        <w:t>S</w:t>
      </w:r>
      <w:r w:rsidRPr="00DA596C">
        <w:t xml:space="preserve">he has been awarded several competitive grants, including multiple grants as Chief Investigator from national funding bodies such as the National Health and Medical Research Council and Medical Research Future Fund, and </w:t>
      </w:r>
      <w:r>
        <w:t xml:space="preserve">has </w:t>
      </w:r>
      <w:r w:rsidRPr="00DA596C">
        <w:t>published over 265 scientific articles.</w:t>
      </w:r>
    </w:p>
    <w:p w14:paraId="5D437B21" w14:textId="77777777" w:rsidR="00EB0D85" w:rsidRDefault="00EB0D85" w:rsidP="00EB0D85">
      <w:pPr>
        <w:rPr>
          <w:rFonts w:cs="Arial"/>
        </w:rPr>
      </w:pPr>
    </w:p>
    <w:p w14:paraId="00D783FA" w14:textId="77777777" w:rsidR="00EB0D85" w:rsidRDefault="00EB0D85" w:rsidP="00EB0D85">
      <w:pPr>
        <w:rPr>
          <w:rFonts w:cs="Arial"/>
        </w:rPr>
      </w:pPr>
    </w:p>
    <w:p w14:paraId="66EEAFE9" w14:textId="77777777" w:rsidR="00EB0D85" w:rsidRDefault="00EB0D85" w:rsidP="00EB0D85">
      <w:pPr>
        <w:rPr>
          <w:rFonts w:cs="Arial"/>
        </w:rPr>
      </w:pPr>
    </w:p>
    <w:p w14:paraId="6DDF7049" w14:textId="77777777" w:rsidR="00EB0D85" w:rsidRPr="00A8036D" w:rsidRDefault="00EB0D85" w:rsidP="00EB0D85">
      <w:pPr>
        <w:pStyle w:val="Heading2"/>
      </w:pPr>
      <w:bookmarkStart w:id="428" w:name="_Toc233022288"/>
      <w:bookmarkStart w:id="429" w:name="_Toc233023050"/>
      <w:bookmarkStart w:id="430" w:name="_Toc233023385"/>
      <w:bookmarkStart w:id="431" w:name="_Toc233028688"/>
      <w:bookmarkStart w:id="432" w:name="_Toc233028878"/>
      <w:bookmarkStart w:id="433" w:name="_Toc235787433"/>
      <w:bookmarkStart w:id="434" w:name="_Toc235791571"/>
      <w:bookmarkStart w:id="435" w:name="_Toc237872674"/>
      <w:r>
        <w:lastRenderedPageBreak/>
        <w:t>Meetings of the Pricing Authority 2025–26</w:t>
      </w:r>
      <w:bookmarkStart w:id="436" w:name="_Hlk199261070"/>
      <w:bookmarkEnd w:id="428"/>
      <w:bookmarkEnd w:id="429"/>
      <w:bookmarkEnd w:id="430"/>
      <w:bookmarkEnd w:id="431"/>
      <w:bookmarkEnd w:id="432"/>
      <w:bookmarkEnd w:id="433"/>
      <w:bookmarkEnd w:id="434"/>
      <w:bookmarkEnd w:id="435"/>
    </w:p>
    <w:p w14:paraId="2FE38261" w14:textId="77777777" w:rsidR="00EB0D85" w:rsidRPr="00FF6587" w:rsidRDefault="00EB0D85" w:rsidP="00EB0D85">
      <w:pPr>
        <w:spacing w:after="240"/>
        <w:rPr>
          <w:rFonts w:cs="Arial"/>
        </w:rPr>
      </w:pPr>
      <w:r w:rsidRPr="00FF6587">
        <w:rPr>
          <w:rFonts w:cs="Arial"/>
        </w:rPr>
        <w:t xml:space="preserve">The Pricing Authority met </w:t>
      </w:r>
      <w:r w:rsidRPr="00FF6587">
        <w:t xml:space="preserve">on </w:t>
      </w:r>
      <w:r>
        <w:t>10</w:t>
      </w:r>
      <w:r w:rsidRPr="00FF6587">
        <w:t xml:space="preserve"> occasions between 1 July 2025 and 30 June 2026</w:t>
      </w:r>
      <w:r w:rsidRPr="00FF6587">
        <w:rPr>
          <w:rFonts w:cs="Arial"/>
        </w:rPr>
        <w:t xml:space="preserve">. </w:t>
      </w:r>
      <w:r>
        <w:rPr>
          <w:rFonts w:cs="Arial"/>
        </w:rPr>
        <w:t>Our</w:t>
      </w:r>
      <w:r w:rsidRPr="00FF6587">
        <w:rPr>
          <w:rFonts w:cs="Arial"/>
        </w:rPr>
        <w:t xml:space="preserve"> CEO, Professor Michael Pervan, </w:t>
      </w:r>
      <w:r w:rsidRPr="00FF6587">
        <w:t>attended </w:t>
      </w:r>
      <w:r>
        <w:t>10</w:t>
      </w:r>
      <w:r w:rsidRPr="00FF6587">
        <w:t xml:space="preserve"> meetings</w:t>
      </w:r>
      <w:r w:rsidRPr="00FF6587">
        <w:rPr>
          <w:rFonts w:cs="Arial"/>
        </w:rPr>
        <w:t xml:space="preserve"> as the accountable authority.</w:t>
      </w:r>
    </w:p>
    <w:p w14:paraId="460D7F68" w14:textId="77777777" w:rsidR="00EB0D85" w:rsidRPr="00FF6587" w:rsidRDefault="00EB0D85" w:rsidP="00EB0D85">
      <w:pPr>
        <w:spacing w:after="240"/>
        <w:rPr>
          <w:rFonts w:cs="Arial"/>
          <w:b/>
          <w:bCs/>
        </w:rPr>
      </w:pPr>
      <w:r w:rsidRPr="00FF6587">
        <w:rPr>
          <w:rFonts w:cs="Arial"/>
          <w:b/>
          <w:bCs/>
        </w:rPr>
        <w:t>Table 3</w:t>
      </w:r>
      <w:r>
        <w:rPr>
          <w:rFonts w:cs="Arial"/>
          <w:b/>
          <w:bCs/>
        </w:rPr>
        <w:t>:</w:t>
      </w:r>
      <w:r w:rsidRPr="00FF6587">
        <w:rPr>
          <w:rFonts w:cs="Arial"/>
          <w:b/>
          <w:bCs/>
        </w:rPr>
        <w:t xml:space="preserve"> Meetings of the Pricing Authority 2025–26 </w:t>
      </w:r>
    </w:p>
    <w:tbl>
      <w:tblPr>
        <w:tblStyle w:val="IHACPATable"/>
        <w:tblW w:w="9854" w:type="dxa"/>
        <w:tblLook w:val="04A0" w:firstRow="1" w:lastRow="0" w:firstColumn="1" w:lastColumn="0" w:noHBand="0" w:noVBand="1"/>
      </w:tblPr>
      <w:tblGrid>
        <w:gridCol w:w="5165"/>
        <w:gridCol w:w="2439"/>
        <w:gridCol w:w="2250"/>
      </w:tblGrid>
      <w:tr w:rsidR="00EB0D85" w14:paraId="175771E8" w14:textId="77777777" w:rsidTr="00ED2732">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5165" w:type="dxa"/>
          </w:tcPr>
          <w:p w14:paraId="0EDD8D27" w14:textId="77777777" w:rsidR="00EB0D85" w:rsidRPr="00FD4876" w:rsidRDefault="00EB0D85" w:rsidP="00ED2732">
            <w:pPr>
              <w:rPr>
                <w:b/>
                <w:bCs/>
                <w:color w:val="FFFFFF" w:themeColor="background2"/>
                <w:sz w:val="18"/>
                <w:szCs w:val="18"/>
              </w:rPr>
            </w:pPr>
            <w:r w:rsidRPr="00FD4876">
              <w:rPr>
                <w:b/>
                <w:bCs/>
                <w:color w:val="FFFFFF" w:themeColor="background2"/>
                <w:sz w:val="18"/>
                <w:szCs w:val="18"/>
              </w:rPr>
              <w:t xml:space="preserve">Member </w:t>
            </w:r>
          </w:p>
        </w:tc>
        <w:tc>
          <w:tcPr>
            <w:tcW w:w="2439" w:type="dxa"/>
          </w:tcPr>
          <w:p w14:paraId="647CD8DF" w14:textId="77777777" w:rsidR="00EB0D85" w:rsidRPr="00FD4876" w:rsidRDefault="00EB0D85" w:rsidP="00ED2732">
            <w:pPr>
              <w:cnfStyle w:val="100000000000" w:firstRow="1" w:lastRow="0" w:firstColumn="0" w:lastColumn="0" w:oddVBand="0" w:evenVBand="0" w:oddHBand="0" w:evenHBand="0" w:firstRowFirstColumn="0" w:firstRowLastColumn="0" w:lastRowFirstColumn="0" w:lastRowLastColumn="0"/>
              <w:rPr>
                <w:b/>
                <w:bCs/>
                <w:color w:val="FFFFFF" w:themeColor="background2"/>
                <w:szCs w:val="18"/>
              </w:rPr>
            </w:pPr>
            <w:r w:rsidRPr="00FD4876">
              <w:rPr>
                <w:b/>
                <w:bCs/>
                <w:color w:val="FFFFFF" w:themeColor="background2"/>
                <w:szCs w:val="18"/>
              </w:rPr>
              <w:t xml:space="preserve">Meetings eligible </w:t>
            </w:r>
          </w:p>
        </w:tc>
        <w:tc>
          <w:tcPr>
            <w:tcW w:w="2250" w:type="dxa"/>
          </w:tcPr>
          <w:p w14:paraId="2498DCB2" w14:textId="77777777" w:rsidR="00EB0D85" w:rsidRPr="00FD4876" w:rsidRDefault="00EB0D85" w:rsidP="00ED2732">
            <w:pPr>
              <w:cnfStyle w:val="100000000000" w:firstRow="1" w:lastRow="0" w:firstColumn="0" w:lastColumn="0" w:oddVBand="0" w:evenVBand="0" w:oddHBand="0" w:evenHBand="0" w:firstRowFirstColumn="0" w:firstRowLastColumn="0" w:lastRowFirstColumn="0" w:lastRowLastColumn="0"/>
              <w:rPr>
                <w:b/>
                <w:bCs/>
                <w:color w:val="FFFFFF" w:themeColor="background2"/>
                <w:szCs w:val="18"/>
              </w:rPr>
            </w:pPr>
            <w:r w:rsidRPr="00FD4876">
              <w:rPr>
                <w:b/>
                <w:bCs/>
                <w:color w:val="FFFFFF" w:themeColor="background2"/>
                <w:szCs w:val="18"/>
              </w:rPr>
              <w:t xml:space="preserve">Meetings attended </w:t>
            </w:r>
          </w:p>
        </w:tc>
      </w:tr>
      <w:tr w:rsidR="00EB0D85" w14:paraId="5163F610" w14:textId="77777777" w:rsidTr="00ED2732">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5165" w:type="dxa"/>
          </w:tcPr>
          <w:p w14:paraId="10B99193" w14:textId="77777777" w:rsidR="00EB0D85" w:rsidRPr="00FF6587" w:rsidRDefault="00EB0D85" w:rsidP="00ED2732">
            <w:pPr>
              <w:rPr>
                <w:sz w:val="18"/>
                <w:szCs w:val="18"/>
              </w:rPr>
            </w:pPr>
            <w:r w:rsidRPr="00FF6587">
              <w:rPr>
                <w:sz w:val="18"/>
                <w:szCs w:val="18"/>
              </w:rPr>
              <w:t xml:space="preserve">Mr David Tune AO PSM, Chair </w:t>
            </w:r>
          </w:p>
        </w:tc>
        <w:tc>
          <w:tcPr>
            <w:tcW w:w="2439" w:type="dxa"/>
          </w:tcPr>
          <w:p w14:paraId="3A126209" w14:textId="77777777" w:rsidR="00EB0D85" w:rsidRPr="00B56545"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Pr>
                <w:szCs w:val="18"/>
              </w:rPr>
              <w:t>10</w:t>
            </w:r>
          </w:p>
        </w:tc>
        <w:tc>
          <w:tcPr>
            <w:tcW w:w="2250" w:type="dxa"/>
          </w:tcPr>
          <w:p w14:paraId="6E47BE7F" w14:textId="77777777" w:rsidR="00EB0D85" w:rsidRPr="00B56545"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Pr>
                <w:szCs w:val="18"/>
              </w:rPr>
              <w:t>8</w:t>
            </w:r>
          </w:p>
        </w:tc>
      </w:tr>
      <w:tr w:rsidR="00EB0D85" w14:paraId="12E4D861" w14:textId="77777777" w:rsidTr="00ED2732">
        <w:trPr>
          <w:cnfStyle w:val="000000010000" w:firstRow="0" w:lastRow="0" w:firstColumn="0" w:lastColumn="0" w:oddVBand="0" w:evenVBand="0" w:oddHBand="0" w:evenHBand="1"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5165" w:type="dxa"/>
          </w:tcPr>
          <w:p w14:paraId="02E39B42" w14:textId="1E77D0C7" w:rsidR="00EB0D85" w:rsidRPr="00FF6587" w:rsidRDefault="00EB0D85" w:rsidP="00ED2732">
            <w:pPr>
              <w:rPr>
                <w:sz w:val="18"/>
                <w:szCs w:val="18"/>
              </w:rPr>
            </w:pPr>
            <w:r w:rsidRPr="00FF6587">
              <w:rPr>
                <w:sz w:val="18"/>
                <w:szCs w:val="18"/>
              </w:rPr>
              <w:t xml:space="preserve">Ms Jennifer Williams AM, Deputy Chair, Hospital Pricing </w:t>
            </w:r>
          </w:p>
        </w:tc>
        <w:tc>
          <w:tcPr>
            <w:tcW w:w="2439" w:type="dxa"/>
          </w:tcPr>
          <w:p w14:paraId="70C7E57A" w14:textId="77777777" w:rsidR="00EB0D85" w:rsidRPr="00B56545" w:rsidRDefault="00EB0D85" w:rsidP="00ED2732">
            <w:pPr>
              <w:cnfStyle w:val="000000010000" w:firstRow="0" w:lastRow="0" w:firstColumn="0" w:lastColumn="0" w:oddVBand="0" w:evenVBand="0" w:oddHBand="0" w:evenHBand="1" w:firstRowFirstColumn="0" w:firstRowLastColumn="0" w:lastRowFirstColumn="0" w:lastRowLastColumn="0"/>
              <w:rPr>
                <w:szCs w:val="18"/>
              </w:rPr>
            </w:pPr>
            <w:r>
              <w:rPr>
                <w:szCs w:val="18"/>
              </w:rPr>
              <w:t>10</w:t>
            </w:r>
          </w:p>
        </w:tc>
        <w:tc>
          <w:tcPr>
            <w:tcW w:w="2250" w:type="dxa"/>
          </w:tcPr>
          <w:p w14:paraId="3FBB637F" w14:textId="77777777" w:rsidR="00EB0D85" w:rsidRPr="00B56545" w:rsidRDefault="00EB0D85" w:rsidP="00ED2732">
            <w:pPr>
              <w:cnfStyle w:val="000000010000" w:firstRow="0" w:lastRow="0" w:firstColumn="0" w:lastColumn="0" w:oddVBand="0" w:evenVBand="0" w:oddHBand="0" w:evenHBand="1" w:firstRowFirstColumn="0" w:firstRowLastColumn="0" w:lastRowFirstColumn="0" w:lastRowLastColumn="0"/>
              <w:rPr>
                <w:szCs w:val="18"/>
              </w:rPr>
            </w:pPr>
            <w:r>
              <w:rPr>
                <w:szCs w:val="18"/>
              </w:rPr>
              <w:t>8</w:t>
            </w:r>
          </w:p>
        </w:tc>
      </w:tr>
      <w:tr w:rsidR="00EB0D85" w14:paraId="77B22DCA" w14:textId="77777777" w:rsidTr="00ED2732">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5165" w:type="dxa"/>
          </w:tcPr>
          <w:p w14:paraId="704DC186" w14:textId="77777777" w:rsidR="00EB0D85" w:rsidRPr="00FF6587" w:rsidRDefault="00EB0D85" w:rsidP="00ED2732">
            <w:pPr>
              <w:rPr>
                <w:sz w:val="18"/>
                <w:szCs w:val="18"/>
              </w:rPr>
            </w:pPr>
            <w:r w:rsidRPr="00FF6587">
              <w:rPr>
                <w:sz w:val="18"/>
                <w:szCs w:val="18"/>
              </w:rPr>
              <w:t xml:space="preserve">Dr Stephen Judd AM, Deputy Chair, Aged Care Pricing </w:t>
            </w:r>
          </w:p>
        </w:tc>
        <w:tc>
          <w:tcPr>
            <w:tcW w:w="2439" w:type="dxa"/>
          </w:tcPr>
          <w:p w14:paraId="72062C09" w14:textId="77777777" w:rsidR="00EB0D85" w:rsidRPr="00B56545"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Pr>
                <w:szCs w:val="18"/>
              </w:rPr>
              <w:t>10</w:t>
            </w:r>
          </w:p>
        </w:tc>
        <w:tc>
          <w:tcPr>
            <w:tcW w:w="2250" w:type="dxa"/>
          </w:tcPr>
          <w:p w14:paraId="71D446EF" w14:textId="77777777" w:rsidR="00EB0D85" w:rsidRPr="00B56545"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Pr>
                <w:szCs w:val="18"/>
              </w:rPr>
              <w:t>8</w:t>
            </w:r>
          </w:p>
        </w:tc>
      </w:tr>
      <w:tr w:rsidR="00EB0D85" w14:paraId="19A6CFA4" w14:textId="77777777" w:rsidTr="00ED2732">
        <w:trPr>
          <w:cnfStyle w:val="000000010000" w:firstRow="0" w:lastRow="0" w:firstColumn="0" w:lastColumn="0" w:oddVBand="0" w:evenVBand="0" w:oddHBand="0" w:evenHBand="1"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5165" w:type="dxa"/>
          </w:tcPr>
          <w:p w14:paraId="09939F0A" w14:textId="77777777" w:rsidR="00EB0D85" w:rsidRPr="00FF6587" w:rsidRDefault="00EB0D85" w:rsidP="00ED2732">
            <w:pPr>
              <w:rPr>
                <w:sz w:val="18"/>
                <w:szCs w:val="18"/>
              </w:rPr>
            </w:pPr>
            <w:r w:rsidRPr="00FF6587">
              <w:rPr>
                <w:sz w:val="18"/>
                <w:szCs w:val="18"/>
              </w:rPr>
              <w:t>Mr Glenn Appleyard</w:t>
            </w:r>
            <w:r w:rsidRPr="00FF6587">
              <w:rPr>
                <w:rStyle w:val="FootnoteReference"/>
                <w:sz w:val="18"/>
                <w:szCs w:val="18"/>
              </w:rPr>
              <w:footnoteReference w:id="3"/>
            </w:r>
          </w:p>
        </w:tc>
        <w:tc>
          <w:tcPr>
            <w:tcW w:w="2439" w:type="dxa"/>
          </w:tcPr>
          <w:p w14:paraId="7F48F176" w14:textId="77777777" w:rsidR="00EB0D85" w:rsidRPr="00B56545" w:rsidRDefault="00EB0D85" w:rsidP="00ED2732">
            <w:pPr>
              <w:cnfStyle w:val="000000010000" w:firstRow="0" w:lastRow="0" w:firstColumn="0" w:lastColumn="0" w:oddVBand="0" w:evenVBand="0" w:oddHBand="0" w:evenHBand="1" w:firstRowFirstColumn="0" w:firstRowLastColumn="0" w:lastRowFirstColumn="0" w:lastRowLastColumn="0"/>
              <w:rPr>
                <w:szCs w:val="18"/>
              </w:rPr>
            </w:pPr>
            <w:r>
              <w:rPr>
                <w:szCs w:val="18"/>
              </w:rPr>
              <w:t>7</w:t>
            </w:r>
          </w:p>
        </w:tc>
        <w:tc>
          <w:tcPr>
            <w:tcW w:w="2250" w:type="dxa"/>
          </w:tcPr>
          <w:p w14:paraId="2C6429DD" w14:textId="77777777" w:rsidR="00EB0D85" w:rsidRPr="00B56545" w:rsidRDefault="00EB0D85" w:rsidP="00ED2732">
            <w:pPr>
              <w:cnfStyle w:val="000000010000" w:firstRow="0" w:lastRow="0" w:firstColumn="0" w:lastColumn="0" w:oddVBand="0" w:evenVBand="0" w:oddHBand="0" w:evenHBand="1" w:firstRowFirstColumn="0" w:firstRowLastColumn="0" w:lastRowFirstColumn="0" w:lastRowLastColumn="0"/>
              <w:rPr>
                <w:szCs w:val="18"/>
              </w:rPr>
            </w:pPr>
            <w:r>
              <w:rPr>
                <w:szCs w:val="18"/>
              </w:rPr>
              <w:t>5</w:t>
            </w:r>
          </w:p>
        </w:tc>
      </w:tr>
      <w:tr w:rsidR="00EB0D85" w14:paraId="3F6F4767" w14:textId="77777777" w:rsidTr="00ED2732">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5165" w:type="dxa"/>
          </w:tcPr>
          <w:p w14:paraId="2F787D94" w14:textId="77777777" w:rsidR="00EB0D85" w:rsidRPr="00FF6587" w:rsidRDefault="00EB0D85" w:rsidP="00ED2732">
            <w:pPr>
              <w:rPr>
                <w:sz w:val="18"/>
                <w:szCs w:val="18"/>
              </w:rPr>
            </w:pPr>
            <w:r w:rsidRPr="00FF6587">
              <w:rPr>
                <w:sz w:val="18"/>
                <w:szCs w:val="18"/>
              </w:rPr>
              <w:t xml:space="preserve">Ms Prudence Ford </w:t>
            </w:r>
          </w:p>
        </w:tc>
        <w:tc>
          <w:tcPr>
            <w:tcW w:w="2439" w:type="dxa"/>
          </w:tcPr>
          <w:p w14:paraId="3C7656AE" w14:textId="77777777" w:rsidR="00EB0D85" w:rsidRPr="00B56545"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Pr>
                <w:szCs w:val="18"/>
              </w:rPr>
              <w:t>10</w:t>
            </w:r>
          </w:p>
        </w:tc>
        <w:tc>
          <w:tcPr>
            <w:tcW w:w="2250" w:type="dxa"/>
          </w:tcPr>
          <w:p w14:paraId="22E828BB" w14:textId="77777777" w:rsidR="00EB0D85" w:rsidRPr="00B56545"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Pr>
                <w:szCs w:val="18"/>
              </w:rPr>
              <w:t>9</w:t>
            </w:r>
          </w:p>
        </w:tc>
      </w:tr>
      <w:tr w:rsidR="00EB0D85" w14:paraId="795D41F0" w14:textId="77777777" w:rsidTr="00ED2732">
        <w:trPr>
          <w:cnfStyle w:val="000000010000" w:firstRow="0" w:lastRow="0" w:firstColumn="0" w:lastColumn="0" w:oddVBand="0" w:evenVBand="0" w:oddHBand="0" w:evenHBand="1"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5165" w:type="dxa"/>
          </w:tcPr>
          <w:p w14:paraId="2B132079" w14:textId="77777777" w:rsidR="00EB0D85" w:rsidRPr="00FF6587" w:rsidRDefault="00EB0D85" w:rsidP="00ED2732">
            <w:pPr>
              <w:rPr>
                <w:sz w:val="18"/>
                <w:szCs w:val="18"/>
              </w:rPr>
            </w:pPr>
            <w:r w:rsidRPr="00FF6587">
              <w:rPr>
                <w:sz w:val="18"/>
                <w:szCs w:val="18"/>
              </w:rPr>
              <w:t xml:space="preserve">Dr Adam Coltzau </w:t>
            </w:r>
          </w:p>
        </w:tc>
        <w:tc>
          <w:tcPr>
            <w:tcW w:w="2439" w:type="dxa"/>
          </w:tcPr>
          <w:p w14:paraId="17D18492" w14:textId="77777777" w:rsidR="00EB0D85" w:rsidRPr="00B56545" w:rsidRDefault="00EB0D85" w:rsidP="00ED2732">
            <w:pPr>
              <w:cnfStyle w:val="000000010000" w:firstRow="0" w:lastRow="0" w:firstColumn="0" w:lastColumn="0" w:oddVBand="0" w:evenVBand="0" w:oddHBand="0" w:evenHBand="1" w:firstRowFirstColumn="0" w:firstRowLastColumn="0" w:lastRowFirstColumn="0" w:lastRowLastColumn="0"/>
              <w:rPr>
                <w:szCs w:val="18"/>
              </w:rPr>
            </w:pPr>
            <w:r>
              <w:rPr>
                <w:szCs w:val="18"/>
              </w:rPr>
              <w:t>10</w:t>
            </w:r>
          </w:p>
        </w:tc>
        <w:tc>
          <w:tcPr>
            <w:tcW w:w="2250" w:type="dxa"/>
          </w:tcPr>
          <w:p w14:paraId="5BD79ADF" w14:textId="77777777" w:rsidR="00EB0D85" w:rsidRPr="00B56545" w:rsidRDefault="00EB0D85" w:rsidP="00ED2732">
            <w:pPr>
              <w:cnfStyle w:val="000000010000" w:firstRow="0" w:lastRow="0" w:firstColumn="0" w:lastColumn="0" w:oddVBand="0" w:evenVBand="0" w:oddHBand="0" w:evenHBand="1" w:firstRowFirstColumn="0" w:firstRowLastColumn="0" w:lastRowFirstColumn="0" w:lastRowLastColumn="0"/>
              <w:rPr>
                <w:szCs w:val="18"/>
              </w:rPr>
            </w:pPr>
            <w:r>
              <w:rPr>
                <w:szCs w:val="18"/>
              </w:rPr>
              <w:t>9</w:t>
            </w:r>
          </w:p>
        </w:tc>
      </w:tr>
      <w:tr w:rsidR="00EB0D85" w14:paraId="20492312" w14:textId="77777777" w:rsidTr="00ED2732">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5165" w:type="dxa"/>
          </w:tcPr>
          <w:p w14:paraId="09B787BB" w14:textId="77777777" w:rsidR="00EB0D85" w:rsidRPr="00FF6587" w:rsidRDefault="00EB0D85" w:rsidP="00ED2732">
            <w:pPr>
              <w:rPr>
                <w:sz w:val="18"/>
                <w:szCs w:val="18"/>
              </w:rPr>
            </w:pPr>
            <w:r w:rsidRPr="00FF6587">
              <w:rPr>
                <w:sz w:val="18"/>
                <w:szCs w:val="18"/>
              </w:rPr>
              <w:t xml:space="preserve">Distinguished Professor Jane Hall AO </w:t>
            </w:r>
          </w:p>
        </w:tc>
        <w:tc>
          <w:tcPr>
            <w:tcW w:w="2439" w:type="dxa"/>
          </w:tcPr>
          <w:p w14:paraId="60DEC801" w14:textId="77777777" w:rsidR="00EB0D85" w:rsidRPr="00B56545"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Pr>
                <w:szCs w:val="18"/>
              </w:rPr>
              <w:t>10</w:t>
            </w:r>
          </w:p>
        </w:tc>
        <w:tc>
          <w:tcPr>
            <w:tcW w:w="2250" w:type="dxa"/>
          </w:tcPr>
          <w:p w14:paraId="5DABBB9B" w14:textId="77777777" w:rsidR="00EB0D85" w:rsidRPr="00B56545"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Pr>
                <w:szCs w:val="18"/>
              </w:rPr>
              <w:t>8</w:t>
            </w:r>
          </w:p>
        </w:tc>
      </w:tr>
      <w:tr w:rsidR="00EB0D85" w14:paraId="6B9A8DE9" w14:textId="77777777" w:rsidTr="00ED2732">
        <w:trPr>
          <w:cnfStyle w:val="000000010000" w:firstRow="0" w:lastRow="0" w:firstColumn="0" w:lastColumn="0" w:oddVBand="0" w:evenVBand="0" w:oddHBand="0" w:evenHBand="1"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5165" w:type="dxa"/>
          </w:tcPr>
          <w:p w14:paraId="30D32363" w14:textId="77777777" w:rsidR="00EB0D85" w:rsidRPr="00FF6587" w:rsidRDefault="00EB0D85" w:rsidP="00ED2732">
            <w:pPr>
              <w:rPr>
                <w:sz w:val="18"/>
                <w:szCs w:val="18"/>
              </w:rPr>
            </w:pPr>
            <w:r w:rsidRPr="00FF6587">
              <w:rPr>
                <w:sz w:val="18"/>
                <w:szCs w:val="18"/>
              </w:rPr>
              <w:t xml:space="preserve">Professor Maria Inacio </w:t>
            </w:r>
          </w:p>
        </w:tc>
        <w:tc>
          <w:tcPr>
            <w:tcW w:w="2439" w:type="dxa"/>
          </w:tcPr>
          <w:p w14:paraId="2F014922" w14:textId="77777777" w:rsidR="00EB0D85" w:rsidRPr="00B56545" w:rsidRDefault="00EB0D85" w:rsidP="00ED2732">
            <w:pPr>
              <w:cnfStyle w:val="000000010000" w:firstRow="0" w:lastRow="0" w:firstColumn="0" w:lastColumn="0" w:oddVBand="0" w:evenVBand="0" w:oddHBand="0" w:evenHBand="1" w:firstRowFirstColumn="0" w:firstRowLastColumn="0" w:lastRowFirstColumn="0" w:lastRowLastColumn="0"/>
              <w:rPr>
                <w:szCs w:val="18"/>
              </w:rPr>
            </w:pPr>
            <w:r>
              <w:rPr>
                <w:szCs w:val="18"/>
              </w:rPr>
              <w:t>10</w:t>
            </w:r>
          </w:p>
        </w:tc>
        <w:tc>
          <w:tcPr>
            <w:tcW w:w="2250" w:type="dxa"/>
          </w:tcPr>
          <w:p w14:paraId="5F5F71B8" w14:textId="77777777" w:rsidR="00EB0D85" w:rsidRPr="00B56545" w:rsidRDefault="00EB0D85" w:rsidP="00ED2732">
            <w:pPr>
              <w:cnfStyle w:val="000000010000" w:firstRow="0" w:lastRow="0" w:firstColumn="0" w:lastColumn="0" w:oddVBand="0" w:evenVBand="0" w:oddHBand="0" w:evenHBand="1" w:firstRowFirstColumn="0" w:firstRowLastColumn="0" w:lastRowFirstColumn="0" w:lastRowLastColumn="0"/>
              <w:rPr>
                <w:szCs w:val="18"/>
              </w:rPr>
            </w:pPr>
            <w:r>
              <w:rPr>
                <w:szCs w:val="18"/>
              </w:rPr>
              <w:t>10</w:t>
            </w:r>
          </w:p>
        </w:tc>
      </w:tr>
    </w:tbl>
    <w:p w14:paraId="23431D55" w14:textId="77777777" w:rsidR="00EB0D85" w:rsidRPr="00673FD0" w:rsidRDefault="00EB0D85" w:rsidP="00EB0D85">
      <w:pPr>
        <w:rPr>
          <w:rFonts w:cs="Arial"/>
        </w:rPr>
      </w:pPr>
    </w:p>
    <w:bookmarkEnd w:id="436"/>
    <w:p w14:paraId="60C8F8C1" w14:textId="77777777" w:rsidR="00EB0D85" w:rsidRDefault="00EB0D85" w:rsidP="00EB0D85">
      <w:pPr>
        <w:pStyle w:val="Heading1"/>
      </w:pPr>
    </w:p>
    <w:p w14:paraId="18FBEAC5" w14:textId="77777777" w:rsidR="00EB0D85" w:rsidRDefault="00EB0D85" w:rsidP="00EB0D85">
      <w:pPr>
        <w:rPr>
          <w:rFonts w:cs="Arial"/>
          <w:color w:val="auto"/>
        </w:rPr>
      </w:pPr>
    </w:p>
    <w:p w14:paraId="136A3533" w14:textId="77777777" w:rsidR="00EB0D85" w:rsidRDefault="00EB0D85" w:rsidP="00EB0D85"/>
    <w:p w14:paraId="6C87B0C1" w14:textId="77777777" w:rsidR="00EB0D85" w:rsidRDefault="00EB0D85" w:rsidP="00EB0D85"/>
    <w:p w14:paraId="2C94C40A" w14:textId="77777777" w:rsidR="00EB0D85" w:rsidRDefault="00EB0D85" w:rsidP="00EB0D85"/>
    <w:p w14:paraId="62318B13" w14:textId="77777777" w:rsidR="00EB0D85" w:rsidRDefault="00EB0D85" w:rsidP="00EB0D85"/>
    <w:p w14:paraId="21B130C5" w14:textId="77777777" w:rsidR="00EB0D85" w:rsidRDefault="00EB0D85" w:rsidP="00EB0D85"/>
    <w:p w14:paraId="25A8B961" w14:textId="77777777" w:rsidR="00EB0D85" w:rsidRDefault="00EB0D85" w:rsidP="00EB0D85"/>
    <w:p w14:paraId="54DC8079" w14:textId="77777777" w:rsidR="00EB0D85" w:rsidRDefault="00EB0D85" w:rsidP="00EB0D85"/>
    <w:p w14:paraId="2A3991AD" w14:textId="77777777" w:rsidR="00EB0D85" w:rsidRDefault="00EB0D85" w:rsidP="00EB0D85"/>
    <w:p w14:paraId="7D966D04" w14:textId="77777777" w:rsidR="00EB0D85" w:rsidRDefault="00EB0D85" w:rsidP="00EB0D85"/>
    <w:p w14:paraId="0EE1241F" w14:textId="77777777" w:rsidR="00EB0D85" w:rsidRPr="00626CBE" w:rsidRDefault="00EB0D85" w:rsidP="00EB0D85">
      <w:pPr>
        <w:pStyle w:val="Heading1"/>
      </w:pPr>
      <w:bookmarkStart w:id="437" w:name="_Toc233022289"/>
      <w:bookmarkStart w:id="438" w:name="_Toc233023051"/>
      <w:bookmarkStart w:id="439" w:name="_Toc233023386"/>
      <w:bookmarkStart w:id="440" w:name="_Toc233028689"/>
      <w:bookmarkStart w:id="441" w:name="_Toc233028879"/>
      <w:bookmarkStart w:id="442" w:name="_Toc235787434"/>
      <w:bookmarkStart w:id="443" w:name="_Toc235791572"/>
      <w:bookmarkStart w:id="444" w:name="_Toc237872675"/>
      <w:r w:rsidRPr="002F55C4">
        <w:lastRenderedPageBreak/>
        <w:t>3.2</w:t>
      </w:r>
      <w:r w:rsidRPr="002F55C4">
        <w:tab/>
        <w:t xml:space="preserve">Committees and </w:t>
      </w:r>
      <w:r w:rsidRPr="00626CBE">
        <w:t>working groups</w:t>
      </w:r>
      <w:bookmarkEnd w:id="437"/>
      <w:bookmarkEnd w:id="438"/>
      <w:bookmarkEnd w:id="439"/>
      <w:bookmarkEnd w:id="440"/>
      <w:bookmarkEnd w:id="441"/>
      <w:bookmarkEnd w:id="442"/>
      <w:bookmarkEnd w:id="443"/>
      <w:bookmarkEnd w:id="444"/>
      <w:r w:rsidRPr="00626CBE">
        <w:t xml:space="preserve"> </w:t>
      </w:r>
    </w:p>
    <w:p w14:paraId="6E3381DD" w14:textId="77777777" w:rsidR="00EB0D85" w:rsidRPr="00626CBE" w:rsidRDefault="00EB0D85" w:rsidP="00EB0D85">
      <w:pPr>
        <w:rPr>
          <w:rFonts w:cs="Arial"/>
        </w:rPr>
      </w:pPr>
      <w:r>
        <w:rPr>
          <w:rFonts w:cs="Arial"/>
        </w:rPr>
        <w:t>IHACPA has</w:t>
      </w:r>
      <w:r w:rsidRPr="00626CBE">
        <w:rPr>
          <w:rFonts w:cs="Arial"/>
        </w:rPr>
        <w:t xml:space="preserve"> </w:t>
      </w:r>
      <w:r>
        <w:rPr>
          <w:rFonts w:cs="Arial"/>
        </w:rPr>
        <w:t>established</w:t>
      </w:r>
      <w:r w:rsidRPr="00626CBE">
        <w:rPr>
          <w:rFonts w:cs="Arial"/>
        </w:rPr>
        <w:t xml:space="preserve"> a comprehensive committee framework. The</w:t>
      </w:r>
      <w:r>
        <w:rPr>
          <w:rFonts w:cs="Arial"/>
        </w:rPr>
        <w:t>se</w:t>
      </w:r>
      <w:r w:rsidRPr="00626CBE">
        <w:rPr>
          <w:rFonts w:cs="Arial"/>
        </w:rPr>
        <w:t xml:space="preserve"> committees provide </w:t>
      </w:r>
      <w:r>
        <w:rPr>
          <w:rFonts w:cs="Arial"/>
        </w:rPr>
        <w:t>us</w:t>
      </w:r>
      <w:r w:rsidRPr="00626CBE">
        <w:rPr>
          <w:rFonts w:cs="Arial"/>
        </w:rPr>
        <w:t xml:space="preserve"> with expert advice and </w:t>
      </w:r>
      <w:r>
        <w:rPr>
          <w:rFonts w:cs="Arial"/>
        </w:rPr>
        <w:t>support</w:t>
      </w:r>
      <w:r w:rsidRPr="00626CBE">
        <w:rPr>
          <w:rFonts w:cs="Arial"/>
        </w:rPr>
        <w:t xml:space="preserve"> </w:t>
      </w:r>
      <w:r>
        <w:rPr>
          <w:rFonts w:cs="Arial"/>
        </w:rPr>
        <w:t>transparent delivery of our</w:t>
      </w:r>
      <w:r w:rsidRPr="00626CBE">
        <w:rPr>
          <w:rFonts w:cs="Arial"/>
        </w:rPr>
        <w:t xml:space="preserve"> work program.</w:t>
      </w:r>
    </w:p>
    <w:p w14:paraId="4909FBDD" w14:textId="77777777" w:rsidR="00EB0D85" w:rsidRPr="002F55C4" w:rsidRDefault="00EB0D85" w:rsidP="00EB0D85">
      <w:pPr>
        <w:rPr>
          <w:rFonts w:cs="Arial"/>
        </w:rPr>
      </w:pPr>
      <w:r>
        <w:rPr>
          <w:rFonts w:cs="Arial"/>
        </w:rPr>
        <w:t>Our</w:t>
      </w:r>
      <w:r w:rsidRPr="002F55C4">
        <w:rPr>
          <w:rFonts w:cs="Arial"/>
        </w:rPr>
        <w:t xml:space="preserve"> statutory committee</w:t>
      </w:r>
      <w:r>
        <w:rPr>
          <w:rFonts w:cs="Arial"/>
        </w:rPr>
        <w:t>s</w:t>
      </w:r>
      <w:r w:rsidRPr="002F55C4">
        <w:rPr>
          <w:rFonts w:cs="Arial"/>
        </w:rPr>
        <w:t xml:space="preserve"> </w:t>
      </w:r>
      <w:r>
        <w:rPr>
          <w:rFonts w:cs="Arial"/>
        </w:rPr>
        <w:t xml:space="preserve">are </w:t>
      </w:r>
      <w:r w:rsidRPr="002F55C4">
        <w:rPr>
          <w:rFonts w:cs="Arial"/>
        </w:rPr>
        <w:t>the Clinical Advisory Committee, the Aged Care Advisory Committee and the Jurisdictional Advisory Committee. The</w:t>
      </w:r>
      <w:r>
        <w:rPr>
          <w:rFonts w:cs="Arial"/>
        </w:rPr>
        <w:t>se</w:t>
      </w:r>
      <w:r w:rsidRPr="002F55C4">
        <w:rPr>
          <w:rFonts w:cs="Arial"/>
        </w:rPr>
        <w:t xml:space="preserve"> committees are established under sections 4.10, 4.11A and 4.11 of the </w:t>
      </w:r>
      <w:r w:rsidRPr="002F55C4">
        <w:rPr>
          <w:rFonts w:cs="Arial"/>
          <w:i/>
          <w:iCs/>
        </w:rPr>
        <w:t>National Health Reform Act 2011</w:t>
      </w:r>
      <w:r w:rsidRPr="002F55C4">
        <w:rPr>
          <w:rFonts w:cs="Arial"/>
        </w:rPr>
        <w:t xml:space="preserve"> (NHR Act).</w:t>
      </w:r>
    </w:p>
    <w:p w14:paraId="1F101B70" w14:textId="77777777" w:rsidR="00EB0D85" w:rsidRPr="00FF6587" w:rsidRDefault="00EB0D85" w:rsidP="00EB0D85">
      <w:pPr>
        <w:spacing w:after="100"/>
        <w:rPr>
          <w:rFonts w:cs="Arial"/>
        </w:rPr>
      </w:pPr>
      <w:r w:rsidRPr="00FF6587">
        <w:rPr>
          <w:rFonts w:cs="Arial"/>
        </w:rPr>
        <w:t xml:space="preserve">Other advisory committees and working groups have been established </w:t>
      </w:r>
      <w:r>
        <w:rPr>
          <w:rFonts w:cs="Arial"/>
        </w:rPr>
        <w:t>under</w:t>
      </w:r>
      <w:r w:rsidRPr="00FF6587">
        <w:rPr>
          <w:rFonts w:cs="Arial"/>
        </w:rPr>
        <w:t xml:space="preserve"> Part 4.12 of the NHR Act</w:t>
      </w:r>
      <w:r>
        <w:rPr>
          <w:rFonts w:cs="Arial"/>
        </w:rPr>
        <w:t xml:space="preserve"> to assist us in performing our functions</w:t>
      </w:r>
      <w:r w:rsidRPr="00FF6587">
        <w:rPr>
          <w:rFonts w:cs="Arial"/>
        </w:rPr>
        <w:t>. These include:</w:t>
      </w:r>
    </w:p>
    <w:p w14:paraId="47F95C79" w14:textId="77777777" w:rsidR="00EB0D85" w:rsidRPr="00FF6587" w:rsidRDefault="00EB0D85" w:rsidP="00EB0D85">
      <w:pPr>
        <w:pStyle w:val="ListLevel1"/>
      </w:pPr>
      <w:r w:rsidRPr="00FF6587">
        <w:t>Activity Based Funding Technical Advisory Committee</w:t>
      </w:r>
    </w:p>
    <w:p w14:paraId="445D5E0E" w14:textId="77777777" w:rsidR="00EB0D85" w:rsidRPr="00FF6587" w:rsidRDefault="00EB0D85" w:rsidP="00EB0D85">
      <w:pPr>
        <w:pStyle w:val="ListLevel1"/>
      </w:pPr>
      <w:r w:rsidRPr="00FF6587">
        <w:t>Classifications Clinical Advisory Group</w:t>
      </w:r>
    </w:p>
    <w:p w14:paraId="4CEE1F98" w14:textId="77777777" w:rsidR="00EB0D85" w:rsidRPr="00FF6587" w:rsidRDefault="00EB0D85" w:rsidP="00EB0D85">
      <w:pPr>
        <w:pStyle w:val="ListLevel1"/>
      </w:pPr>
      <w:r w:rsidRPr="00FF6587">
        <w:t>Diagnosis Related Groups Technical Group</w:t>
      </w:r>
    </w:p>
    <w:p w14:paraId="663EE242" w14:textId="77777777" w:rsidR="00EB0D85" w:rsidRPr="00FF6587" w:rsidRDefault="00EB0D85" w:rsidP="00EB0D85">
      <w:pPr>
        <w:pStyle w:val="ListLevel1"/>
      </w:pPr>
      <w:r w:rsidRPr="00FF6587">
        <w:t>Emergency Care Advisory Working Group</w:t>
      </w:r>
    </w:p>
    <w:p w14:paraId="157AE83A" w14:textId="77777777" w:rsidR="00EB0D85" w:rsidRPr="00FF6587" w:rsidRDefault="00EB0D85" w:rsidP="00EB0D85">
      <w:pPr>
        <w:pStyle w:val="ListLevel1"/>
      </w:pPr>
      <w:r w:rsidRPr="00FF6587">
        <w:t>International Classification of Diseases Technical Group</w:t>
      </w:r>
    </w:p>
    <w:p w14:paraId="272BC247" w14:textId="77777777" w:rsidR="00EB0D85" w:rsidRPr="00FF6587" w:rsidRDefault="00EB0D85" w:rsidP="00EB0D85">
      <w:pPr>
        <w:pStyle w:val="ListLevel1"/>
      </w:pPr>
      <w:r w:rsidRPr="00FF6587">
        <w:t>Mental Health Working Group</w:t>
      </w:r>
    </w:p>
    <w:p w14:paraId="54C8E307" w14:textId="77777777" w:rsidR="00EB0D85" w:rsidRPr="00FF6587" w:rsidRDefault="00EB0D85" w:rsidP="00EB0D85">
      <w:pPr>
        <w:pStyle w:val="ListLevel1"/>
      </w:pPr>
      <w:r w:rsidRPr="00FF6587">
        <w:t>National Hospital Cost Data Collection (NHCDC) Advisory Committee</w:t>
      </w:r>
    </w:p>
    <w:p w14:paraId="39BA5717" w14:textId="77777777" w:rsidR="00EB0D85" w:rsidRPr="00FF6587" w:rsidRDefault="00EB0D85" w:rsidP="00EB0D85">
      <w:pPr>
        <w:pStyle w:val="ListLevel1"/>
      </w:pPr>
      <w:r w:rsidRPr="00FF6587">
        <w:t>Non-Admitted Care Advisory Working Group</w:t>
      </w:r>
    </w:p>
    <w:p w14:paraId="3CABD523" w14:textId="77777777" w:rsidR="00EB0D85" w:rsidRPr="00FF6587" w:rsidRDefault="00EB0D85" w:rsidP="00EB0D85">
      <w:pPr>
        <w:pStyle w:val="ListLevel1"/>
      </w:pPr>
      <w:r w:rsidRPr="00FF6587">
        <w:t>Private Sector NHCDC Working Group</w:t>
      </w:r>
    </w:p>
    <w:p w14:paraId="271C7A01" w14:textId="77777777" w:rsidR="00EB0D85" w:rsidRPr="00FF6587" w:rsidRDefault="00EB0D85" w:rsidP="00EB0D85">
      <w:pPr>
        <w:pStyle w:val="ListLevel1"/>
      </w:pPr>
      <w:r w:rsidRPr="00FF6587">
        <w:t>Small Rural Hospitals Working Group</w:t>
      </w:r>
    </w:p>
    <w:p w14:paraId="0A814D7C" w14:textId="77777777" w:rsidR="00EB0D85" w:rsidRPr="00FF6587" w:rsidRDefault="00EB0D85" w:rsidP="00EB0D85">
      <w:pPr>
        <w:pStyle w:val="ListLevel1"/>
      </w:pPr>
      <w:r w:rsidRPr="00FF6587">
        <w:t>Stakeholder Advisory Committee</w:t>
      </w:r>
      <w:r w:rsidRPr="00FF6587">
        <w:rPr>
          <w:rStyle w:val="FootnoteReference"/>
          <w:rFonts w:cs="Arial"/>
        </w:rPr>
        <w:footnoteReference w:id="4"/>
      </w:r>
    </w:p>
    <w:p w14:paraId="1D864EB6" w14:textId="77777777" w:rsidR="00EB0D85" w:rsidRPr="00FF6587" w:rsidRDefault="00EB0D85" w:rsidP="00EB0D85">
      <w:pPr>
        <w:pStyle w:val="ListLevel1"/>
      </w:pPr>
      <w:r w:rsidRPr="00FF6587">
        <w:t>Subacute Care Working Group</w:t>
      </w:r>
    </w:p>
    <w:p w14:paraId="44866C97" w14:textId="77777777" w:rsidR="00EB0D85" w:rsidRPr="00FF6587" w:rsidRDefault="00EB0D85" w:rsidP="00EB0D85">
      <w:pPr>
        <w:pStyle w:val="ListLevel1"/>
      </w:pPr>
      <w:r w:rsidRPr="00FF6587">
        <w:t>Teaching, Training and Research Working Group.</w:t>
      </w:r>
    </w:p>
    <w:p w14:paraId="7400B9D7" w14:textId="77777777" w:rsidR="00EB0D85" w:rsidRPr="00B0699A" w:rsidRDefault="00EB0D85" w:rsidP="00EB0D85">
      <w:pPr>
        <w:rPr>
          <w:rFonts w:cs="Arial"/>
        </w:rPr>
      </w:pPr>
      <w:r>
        <w:rPr>
          <w:rFonts w:cs="Arial"/>
        </w:rPr>
        <w:t>Our c</w:t>
      </w:r>
      <w:r w:rsidRPr="00FF6587">
        <w:rPr>
          <w:rFonts w:cs="Arial"/>
        </w:rPr>
        <w:t xml:space="preserve">ommittees and working groups are structured </w:t>
      </w:r>
      <w:r>
        <w:rPr>
          <w:rFonts w:cs="Arial"/>
        </w:rPr>
        <w:t>to support the effective delivery of our statutory functions and work program</w:t>
      </w:r>
      <w:r w:rsidRPr="00FF6587">
        <w:rPr>
          <w:rFonts w:cs="Arial"/>
        </w:rPr>
        <w:t xml:space="preserve">. Some committees and working groups </w:t>
      </w:r>
      <w:r>
        <w:rPr>
          <w:rFonts w:cs="Arial"/>
        </w:rPr>
        <w:t xml:space="preserve">are supported by </w:t>
      </w:r>
      <w:r>
        <w:rPr>
          <w:rFonts w:cs="Arial"/>
        </w:rPr>
        <w:br/>
        <w:t>sub-committees where required</w:t>
      </w:r>
      <w:r w:rsidRPr="00FF6587">
        <w:rPr>
          <w:rFonts w:cs="Arial"/>
        </w:rPr>
        <w:t xml:space="preserve">. </w:t>
      </w:r>
      <w:r>
        <w:rPr>
          <w:rFonts w:cs="Arial"/>
        </w:rPr>
        <w:t>Each</w:t>
      </w:r>
      <w:r w:rsidRPr="00FF6587">
        <w:rPr>
          <w:rFonts w:cs="Arial"/>
        </w:rPr>
        <w:t xml:space="preserve"> committee and working group ha</w:t>
      </w:r>
      <w:r>
        <w:rPr>
          <w:rFonts w:cs="Arial"/>
        </w:rPr>
        <w:t>s</w:t>
      </w:r>
      <w:r w:rsidRPr="00FF6587">
        <w:rPr>
          <w:rFonts w:cs="Arial"/>
        </w:rPr>
        <w:t xml:space="preserve"> terms of reference </w:t>
      </w:r>
      <w:r>
        <w:rPr>
          <w:rFonts w:cs="Arial"/>
        </w:rPr>
        <w:t xml:space="preserve">that set out </w:t>
      </w:r>
      <w:r w:rsidRPr="00B0699A">
        <w:rPr>
          <w:rFonts w:cs="Arial"/>
        </w:rPr>
        <w:t xml:space="preserve">its role, functions, membership and reporting arrangements. </w:t>
      </w:r>
    </w:p>
    <w:p w14:paraId="5AE656E7" w14:textId="77777777" w:rsidR="00EB0D85" w:rsidRPr="00B0699A" w:rsidRDefault="00EB0D85" w:rsidP="00EB0D85">
      <w:pPr>
        <w:spacing w:after="100"/>
        <w:rPr>
          <w:rFonts w:cs="Arial"/>
        </w:rPr>
      </w:pPr>
      <w:r w:rsidRPr="00B0699A">
        <w:rPr>
          <w:rFonts w:cs="Arial"/>
        </w:rPr>
        <w:t xml:space="preserve">The CEO has also established internal committees to </w:t>
      </w:r>
      <w:r>
        <w:rPr>
          <w:rFonts w:cs="Arial"/>
        </w:rPr>
        <w:t>support the</w:t>
      </w:r>
      <w:r w:rsidRPr="00B0699A">
        <w:rPr>
          <w:rFonts w:cs="Arial"/>
        </w:rPr>
        <w:t xml:space="preserve"> </w:t>
      </w:r>
      <w:r>
        <w:rPr>
          <w:rFonts w:cs="Arial"/>
        </w:rPr>
        <w:t xml:space="preserve">internal </w:t>
      </w:r>
      <w:r w:rsidRPr="00B0699A">
        <w:rPr>
          <w:rFonts w:cs="Arial"/>
        </w:rPr>
        <w:t xml:space="preserve">management of </w:t>
      </w:r>
      <w:r>
        <w:rPr>
          <w:rFonts w:cs="Arial"/>
        </w:rPr>
        <w:t>the agency</w:t>
      </w:r>
      <w:r w:rsidRPr="00B0699A">
        <w:rPr>
          <w:rFonts w:cs="Arial"/>
        </w:rPr>
        <w:t xml:space="preserve"> and its staff. These include</w:t>
      </w:r>
      <w:r>
        <w:rPr>
          <w:rFonts w:cs="Arial"/>
        </w:rPr>
        <w:t>:</w:t>
      </w:r>
    </w:p>
    <w:p w14:paraId="51A0C80A" w14:textId="77777777" w:rsidR="00EB0D85" w:rsidRPr="00FF6587" w:rsidRDefault="00EB0D85" w:rsidP="00EB0D85">
      <w:pPr>
        <w:pStyle w:val="ListLevel1"/>
      </w:pPr>
      <w:r w:rsidRPr="00FF6587">
        <w:t xml:space="preserve">Audit, Risk and Compliance Committee </w:t>
      </w:r>
    </w:p>
    <w:p w14:paraId="20270598" w14:textId="77777777" w:rsidR="00EB0D85" w:rsidRPr="00FF6587" w:rsidRDefault="00EB0D85" w:rsidP="00EB0D85">
      <w:pPr>
        <w:pStyle w:val="ListLevel1"/>
      </w:pPr>
      <w:r w:rsidRPr="00FF6587">
        <w:t xml:space="preserve">Data Governance Steering Committee </w:t>
      </w:r>
    </w:p>
    <w:p w14:paraId="140E6985" w14:textId="77777777" w:rsidR="00EB0D85" w:rsidRPr="00FF6587" w:rsidRDefault="00EB0D85" w:rsidP="00EB0D85">
      <w:pPr>
        <w:pStyle w:val="ListLevel1"/>
      </w:pPr>
      <w:r w:rsidRPr="00FF6587">
        <w:t>Executive Committee</w:t>
      </w:r>
    </w:p>
    <w:p w14:paraId="07F2C9DE" w14:textId="284342C7" w:rsidR="00EB0D85" w:rsidRPr="00FF6587" w:rsidRDefault="00480D1E" w:rsidP="00EB0D85">
      <w:pPr>
        <w:pStyle w:val="ListLevel1"/>
      </w:pPr>
      <w:r>
        <w:t xml:space="preserve">Work, </w:t>
      </w:r>
      <w:r w:rsidR="00EB0D85" w:rsidRPr="00FF6587">
        <w:t xml:space="preserve">Health and Safety Committee. </w:t>
      </w:r>
    </w:p>
    <w:p w14:paraId="0837061F" w14:textId="77777777" w:rsidR="00EB0D85" w:rsidRDefault="00EB0D85" w:rsidP="00EB0D85">
      <w:pPr>
        <w:pStyle w:val="Heading3"/>
      </w:pPr>
      <w:bookmarkStart w:id="445" w:name="_Toc233022290"/>
      <w:bookmarkStart w:id="446" w:name="_Toc233023052"/>
      <w:bookmarkStart w:id="447" w:name="_Toc233023387"/>
      <w:bookmarkStart w:id="448" w:name="_Toc233028690"/>
      <w:bookmarkStart w:id="449" w:name="_Toc233028880"/>
      <w:bookmarkStart w:id="450" w:name="_Toc235787435"/>
      <w:bookmarkStart w:id="451" w:name="_Toc235791573"/>
      <w:bookmarkStart w:id="452" w:name="_Toc237872676"/>
      <w:r>
        <w:lastRenderedPageBreak/>
        <w:t>Jurisdictional Advisory Committee</w:t>
      </w:r>
      <w:bookmarkEnd w:id="445"/>
      <w:bookmarkEnd w:id="446"/>
      <w:bookmarkEnd w:id="447"/>
      <w:bookmarkEnd w:id="448"/>
      <w:bookmarkEnd w:id="449"/>
      <w:bookmarkEnd w:id="450"/>
      <w:bookmarkEnd w:id="451"/>
      <w:bookmarkEnd w:id="452"/>
    </w:p>
    <w:p w14:paraId="41F276C7" w14:textId="77777777" w:rsidR="00EB0D85" w:rsidRPr="00FD3A06" w:rsidRDefault="00EB0D85" w:rsidP="00EB0D85">
      <w:pPr>
        <w:rPr>
          <w:rFonts w:cs="Arial"/>
        </w:rPr>
      </w:pPr>
      <w:r w:rsidRPr="00FD3A06">
        <w:rPr>
          <w:rFonts w:cs="Arial"/>
        </w:rPr>
        <w:t>The Jurisdictional Advisory Committee (JAC) was established under section 195 of the NHR Act. It consists of a Chair, appointed by the Pricing Authority</w:t>
      </w:r>
      <w:r>
        <w:rPr>
          <w:rFonts w:cs="Arial"/>
        </w:rPr>
        <w:t xml:space="preserve"> (currently our CEO)</w:t>
      </w:r>
      <w:r w:rsidRPr="00FD3A06">
        <w:rPr>
          <w:rFonts w:cs="Arial"/>
        </w:rPr>
        <w:t xml:space="preserve"> and 9 other members. Members represent each state and territory and the Department of Health, Disability and Ageing.</w:t>
      </w:r>
    </w:p>
    <w:p w14:paraId="0DC38DE2" w14:textId="77777777" w:rsidR="00EB0D85" w:rsidRPr="00FD3A06" w:rsidRDefault="00EB0D85" w:rsidP="00EB0D85">
      <w:pPr>
        <w:rPr>
          <w:rFonts w:cs="Arial"/>
        </w:rPr>
      </w:pPr>
      <w:r w:rsidRPr="00FD3A06">
        <w:rPr>
          <w:rFonts w:cs="Arial"/>
        </w:rPr>
        <w:t>Committee members are appointed by the head of the health department of the jurisdiction they represent.</w:t>
      </w:r>
    </w:p>
    <w:p w14:paraId="2226C58F" w14:textId="77777777" w:rsidR="00EB0D85" w:rsidRPr="00FD3A06" w:rsidRDefault="00EB0D85" w:rsidP="00EB0D85">
      <w:pPr>
        <w:rPr>
          <w:rFonts w:cs="Arial"/>
        </w:rPr>
      </w:pPr>
      <w:r w:rsidRPr="00FD3A06">
        <w:rPr>
          <w:rFonts w:cs="Arial"/>
        </w:rPr>
        <w:t xml:space="preserve">JAC met on </w:t>
      </w:r>
      <w:r>
        <w:t>7</w:t>
      </w:r>
      <w:r w:rsidRPr="00FD3A06">
        <w:t xml:space="preserve"> occasions between 1 July 2025 and 30 June 2026.</w:t>
      </w:r>
    </w:p>
    <w:p w14:paraId="4475CA1A" w14:textId="77777777" w:rsidR="00EB0D85" w:rsidRPr="00FD3A06" w:rsidRDefault="00EB0D85" w:rsidP="00EB0D85">
      <w:pPr>
        <w:rPr>
          <w:rFonts w:cs="Arial"/>
        </w:rPr>
      </w:pPr>
      <w:r w:rsidRPr="00FD3A06">
        <w:rPr>
          <w:rFonts w:cs="Arial"/>
        </w:rPr>
        <w:t xml:space="preserve">As </w:t>
      </w:r>
      <w:r>
        <w:rPr>
          <w:rFonts w:cs="Arial"/>
        </w:rPr>
        <w:t>at</w:t>
      </w:r>
      <w:r w:rsidRPr="00FD3A06">
        <w:rPr>
          <w:rFonts w:cs="Arial"/>
        </w:rPr>
        <w:t xml:space="preserve"> 30 June 2026, members of JAC comprised:</w:t>
      </w:r>
    </w:p>
    <w:p w14:paraId="75D72866" w14:textId="77777777" w:rsidR="00EB0D85" w:rsidRPr="00FD3A06" w:rsidRDefault="00EB0D85" w:rsidP="00EB0D85">
      <w:pPr>
        <w:pStyle w:val="ListLevel1"/>
      </w:pPr>
      <w:r w:rsidRPr="00FD3A06">
        <w:t>Prof Michael Pervan (Chair)</w:t>
      </w:r>
    </w:p>
    <w:p w14:paraId="5A35D2E7" w14:textId="77777777" w:rsidR="00EB0D85" w:rsidRPr="00FD3A06" w:rsidRDefault="00EB0D85" w:rsidP="00EB0D85">
      <w:pPr>
        <w:pStyle w:val="ListLevel1"/>
      </w:pPr>
      <w:r w:rsidRPr="00FD3A06">
        <w:t xml:space="preserve">Ms </w:t>
      </w:r>
      <w:r>
        <w:t>Caitlin O’Brien</w:t>
      </w:r>
      <w:r w:rsidRPr="00FD3A06">
        <w:t xml:space="preserve"> (Australian Government)</w:t>
      </w:r>
    </w:p>
    <w:p w14:paraId="5DE8DFE0" w14:textId="77777777" w:rsidR="00EB0D85" w:rsidRPr="00FD3A06" w:rsidRDefault="00EB0D85" w:rsidP="00EB0D85">
      <w:pPr>
        <w:pStyle w:val="ListLevel1"/>
      </w:pPr>
      <w:r w:rsidRPr="00FD3A06">
        <w:t>Ms Elizabeth Wood (New South Wales)</w:t>
      </w:r>
    </w:p>
    <w:p w14:paraId="49E18D29" w14:textId="77777777" w:rsidR="00EB0D85" w:rsidRPr="00FD3A06" w:rsidRDefault="00EB0D85" w:rsidP="00EB0D85">
      <w:pPr>
        <w:pStyle w:val="ListLevel1"/>
      </w:pPr>
      <w:r w:rsidRPr="00FD3A06">
        <w:t>Dr Andrew Haywood (Victoria)</w:t>
      </w:r>
    </w:p>
    <w:p w14:paraId="6CF1303D" w14:textId="77777777" w:rsidR="00EB0D85" w:rsidRPr="00FD3A06" w:rsidRDefault="00EB0D85" w:rsidP="00EB0D85">
      <w:pPr>
        <w:pStyle w:val="ListLevel1"/>
      </w:pPr>
      <w:r>
        <w:t xml:space="preserve">Vacant position </w:t>
      </w:r>
      <w:r w:rsidRPr="00FD3A06">
        <w:t>(Queensland)</w:t>
      </w:r>
    </w:p>
    <w:p w14:paraId="7BD485E6" w14:textId="77777777" w:rsidR="00EB0D85" w:rsidRPr="00FD3A06" w:rsidRDefault="00EB0D85" w:rsidP="00EB0D85">
      <w:pPr>
        <w:pStyle w:val="ListLevel1"/>
      </w:pPr>
      <w:r w:rsidRPr="00FD3A06">
        <w:t>Ms Julienne TePohe (South Australia)</w:t>
      </w:r>
    </w:p>
    <w:p w14:paraId="2321BE92" w14:textId="77777777" w:rsidR="00EB0D85" w:rsidRPr="00FD3A06" w:rsidRDefault="00EB0D85" w:rsidP="00EB0D85">
      <w:pPr>
        <w:pStyle w:val="ListLevel1"/>
      </w:pPr>
      <w:r w:rsidRPr="00FD3A06">
        <w:t xml:space="preserve">Mr </w:t>
      </w:r>
      <w:r>
        <w:t>Timothy Nelson</w:t>
      </w:r>
      <w:r w:rsidRPr="00FD3A06">
        <w:t xml:space="preserve"> (Western Australia)</w:t>
      </w:r>
    </w:p>
    <w:p w14:paraId="60989DCF" w14:textId="77777777" w:rsidR="00EB0D85" w:rsidRPr="00FD3A06" w:rsidRDefault="00EB0D85" w:rsidP="00EB0D85">
      <w:pPr>
        <w:pStyle w:val="ListLevel1"/>
      </w:pPr>
      <w:r w:rsidRPr="00FD3A06">
        <w:t xml:space="preserve">Mr </w:t>
      </w:r>
      <w:r>
        <w:t>Shane Bond</w:t>
      </w:r>
      <w:r w:rsidRPr="00FD3A06">
        <w:t xml:space="preserve"> (Tasmania)</w:t>
      </w:r>
    </w:p>
    <w:p w14:paraId="59EB05EF" w14:textId="77777777" w:rsidR="00EB0D85" w:rsidRPr="00FD3A06" w:rsidRDefault="00EB0D85" w:rsidP="00EB0D85">
      <w:pPr>
        <w:pStyle w:val="ListLevel1"/>
      </w:pPr>
      <w:r w:rsidRPr="00FD3A06">
        <w:t xml:space="preserve">Ms Kirsty Annesley (Northern Territory) </w:t>
      </w:r>
    </w:p>
    <w:p w14:paraId="284F85B5" w14:textId="77777777" w:rsidR="00EB0D85" w:rsidRPr="00FD3A06" w:rsidRDefault="00EB0D85" w:rsidP="00EB0D85">
      <w:pPr>
        <w:pStyle w:val="ListLevel1"/>
      </w:pPr>
      <w:r w:rsidRPr="00FD3A06">
        <w:t>Ms Skye Jacobi (Australian Capital Territory).</w:t>
      </w:r>
    </w:p>
    <w:p w14:paraId="0DC9291A" w14:textId="77777777" w:rsidR="00EB0D85" w:rsidRPr="00FD3A06" w:rsidRDefault="00EB0D85" w:rsidP="00EB0D85">
      <w:r w:rsidRPr="00FD3A06">
        <w:t xml:space="preserve">During the reporting period, there were changes to the </w:t>
      </w:r>
      <w:r>
        <w:t>Australian Government</w:t>
      </w:r>
      <w:r w:rsidRPr="00FD3A06">
        <w:t>, Northern Territory</w:t>
      </w:r>
      <w:r>
        <w:t xml:space="preserve">, Queensland, </w:t>
      </w:r>
      <w:r w:rsidRPr="00FD3A06">
        <w:t>Tasmania</w:t>
      </w:r>
      <w:r>
        <w:t xml:space="preserve"> and Western Australia</w:t>
      </w:r>
      <w:r w:rsidRPr="00FD3A06">
        <w:t xml:space="preserve"> memberships. </w:t>
      </w:r>
    </w:p>
    <w:p w14:paraId="793A94B2" w14:textId="77777777" w:rsidR="00EB0D85" w:rsidRDefault="00EB0D85" w:rsidP="00EB0D85">
      <w:pPr>
        <w:pStyle w:val="ListLevel1"/>
        <w:numPr>
          <w:ilvl w:val="0"/>
          <w:numId w:val="0"/>
        </w:numPr>
        <w:ind w:left="720"/>
      </w:pPr>
    </w:p>
    <w:p w14:paraId="57677117" w14:textId="77777777" w:rsidR="00EB0D85" w:rsidRDefault="00EB0D85" w:rsidP="00EB0D85"/>
    <w:p w14:paraId="366A6615" w14:textId="77777777" w:rsidR="00EB0D85" w:rsidRDefault="00EB0D85" w:rsidP="00EB0D85"/>
    <w:p w14:paraId="2ADB0E98" w14:textId="77777777" w:rsidR="00EB0D85" w:rsidRDefault="00EB0D85" w:rsidP="00EB0D85"/>
    <w:p w14:paraId="30CBA454" w14:textId="77777777" w:rsidR="00EB0D85" w:rsidRDefault="00EB0D85" w:rsidP="00EB0D85"/>
    <w:p w14:paraId="0F6BEC75" w14:textId="77777777" w:rsidR="00EB0D85" w:rsidRDefault="00EB0D85" w:rsidP="00EB0D85"/>
    <w:p w14:paraId="3A5AF1FC" w14:textId="77777777" w:rsidR="00EB0D85" w:rsidRDefault="00EB0D85" w:rsidP="00EB0D85"/>
    <w:p w14:paraId="4E023433" w14:textId="77777777" w:rsidR="00EB0D85" w:rsidRDefault="00EB0D85" w:rsidP="00EB0D85"/>
    <w:p w14:paraId="459978B2" w14:textId="77777777" w:rsidR="00EB0D85" w:rsidRDefault="00EB0D85" w:rsidP="00EB0D85"/>
    <w:p w14:paraId="2BB81B48" w14:textId="77777777" w:rsidR="00EB0D85" w:rsidRDefault="00EB0D85" w:rsidP="00EB0D85"/>
    <w:p w14:paraId="50FB7218" w14:textId="77777777" w:rsidR="00EB0D85" w:rsidRDefault="00EB0D85" w:rsidP="00EB0D85"/>
    <w:p w14:paraId="5954F3DC" w14:textId="77777777" w:rsidR="00EB0D85" w:rsidRDefault="00EB0D85" w:rsidP="00EB0D85"/>
    <w:p w14:paraId="2B1C2367" w14:textId="77777777" w:rsidR="00EB0D85" w:rsidRPr="00AA72C0" w:rsidRDefault="00EB0D85" w:rsidP="00EB0D85">
      <w:pPr>
        <w:pStyle w:val="Heading1"/>
      </w:pPr>
      <w:bookmarkStart w:id="453" w:name="_Toc233022291"/>
      <w:bookmarkStart w:id="454" w:name="_Toc233023053"/>
      <w:bookmarkStart w:id="455" w:name="_Toc233023388"/>
      <w:bookmarkStart w:id="456" w:name="_Toc233028691"/>
      <w:bookmarkStart w:id="457" w:name="_Toc233028881"/>
      <w:bookmarkStart w:id="458" w:name="_Toc235787436"/>
      <w:bookmarkStart w:id="459" w:name="_Toc235791574"/>
      <w:bookmarkStart w:id="460" w:name="_Toc237872677"/>
      <w:r w:rsidRPr="00AA72C0">
        <w:lastRenderedPageBreak/>
        <w:t>3.3</w:t>
      </w:r>
      <w:r w:rsidRPr="00AA72C0">
        <w:tab/>
        <w:t>Clinical Advisory Committee</w:t>
      </w:r>
      <w:bookmarkEnd w:id="453"/>
      <w:bookmarkEnd w:id="454"/>
      <w:bookmarkEnd w:id="455"/>
      <w:bookmarkEnd w:id="456"/>
      <w:bookmarkEnd w:id="457"/>
      <w:bookmarkEnd w:id="458"/>
      <w:bookmarkEnd w:id="459"/>
      <w:bookmarkEnd w:id="460"/>
      <w:r w:rsidRPr="00AA72C0">
        <w:t xml:space="preserve"> </w:t>
      </w:r>
    </w:p>
    <w:p w14:paraId="7186F025" w14:textId="77777777" w:rsidR="00EB0D85" w:rsidRPr="00AA72C0" w:rsidRDefault="00EB0D85" w:rsidP="00EB0D85">
      <w:pPr>
        <w:pStyle w:val="Heading2"/>
        <w:rPr>
          <w:color w:val="15272F" w:themeColor="text1"/>
        </w:rPr>
      </w:pPr>
      <w:bookmarkStart w:id="461" w:name="_Toc233022292"/>
      <w:bookmarkStart w:id="462" w:name="_Toc233023054"/>
      <w:bookmarkStart w:id="463" w:name="_Toc233023389"/>
      <w:bookmarkStart w:id="464" w:name="_Toc233023516"/>
      <w:bookmarkStart w:id="465" w:name="_Toc233028692"/>
      <w:bookmarkStart w:id="466" w:name="_Toc233028882"/>
      <w:bookmarkStart w:id="467" w:name="_Toc235787437"/>
      <w:bookmarkStart w:id="468" w:name="_Toc235791575"/>
      <w:bookmarkStart w:id="469" w:name="_Toc237872678"/>
      <w:r w:rsidRPr="00AA72C0">
        <w:rPr>
          <w:color w:val="15272F" w:themeColor="text1"/>
        </w:rPr>
        <w:t>Letter from the Chair</w:t>
      </w:r>
      <w:bookmarkEnd w:id="461"/>
      <w:bookmarkEnd w:id="462"/>
      <w:bookmarkEnd w:id="463"/>
      <w:bookmarkEnd w:id="464"/>
      <w:bookmarkEnd w:id="465"/>
      <w:bookmarkEnd w:id="466"/>
      <w:bookmarkEnd w:id="467"/>
      <w:bookmarkEnd w:id="468"/>
      <w:bookmarkEnd w:id="469"/>
      <w:r w:rsidRPr="00AA72C0">
        <w:rPr>
          <w:color w:val="15272F" w:themeColor="text1"/>
        </w:rPr>
        <w:t xml:space="preserve"> </w:t>
      </w:r>
    </w:p>
    <w:p w14:paraId="60B7B174" w14:textId="77777777" w:rsidR="00EB0D85" w:rsidRPr="00AA72C0" w:rsidRDefault="00EB0D85" w:rsidP="00EB0D85">
      <w:r w:rsidRPr="00AA72C0">
        <w:t>As Chair of the Clinical Advisory Committee, I am pleased to reflect on another productive year of collaboration and achievement in support of IHACPA’s important work.</w:t>
      </w:r>
    </w:p>
    <w:p w14:paraId="021F8C48" w14:textId="77777777" w:rsidR="00EB0D85" w:rsidRPr="00AA72C0" w:rsidRDefault="00EB0D85" w:rsidP="00EB0D85">
      <w:r w:rsidRPr="00AA72C0">
        <w:t>Throughout 2025–26, the committee provided advice to inform the refinement of IHACPA’s pricing models, including the hospital acquired complications and avoidable hospital readmissions risk adjustment models. The committee’s expertise also contributed to the review of risk factors, helping to ensure that pricing arrangements continue to support improved patient outcomes.</w:t>
      </w:r>
    </w:p>
    <w:p w14:paraId="0F55512B" w14:textId="77777777" w:rsidR="00EB0D85" w:rsidRPr="00AA72C0" w:rsidRDefault="00EB0D85" w:rsidP="00EB0D85">
      <w:r w:rsidRPr="00AA72C0">
        <w:t>As part of the ongoing development and refinement of IHACPA’s health classifications, the committee played a key role. This included providing advice on the methodology of grouping diagnoses within the Australian Emergency Care Classification, as well as contributing to the development of a new non-admitted care classification through the Australian Non</w:t>
      </w:r>
      <w:r>
        <w:t>-</w:t>
      </w:r>
      <w:r w:rsidRPr="00AA72C0">
        <w:t xml:space="preserve">Admitted Patient </w:t>
      </w:r>
      <w:r>
        <w:t xml:space="preserve">Classification </w:t>
      </w:r>
      <w:r w:rsidRPr="00AA72C0">
        <w:t>Project</w:t>
      </w:r>
      <w:r>
        <w:t xml:space="preserve">. </w:t>
      </w:r>
      <w:r w:rsidRPr="00AA72C0">
        <w:t>In addition, members supported broader classification improvement activities, including advice on the classification of new interventions and clinical coding queries.</w:t>
      </w:r>
    </w:p>
    <w:p w14:paraId="57179C23" w14:textId="77777777" w:rsidR="00EB0D85" w:rsidRPr="00AA72C0" w:rsidRDefault="00EB0D85" w:rsidP="00EB0D85">
      <w:r w:rsidRPr="00AA72C0">
        <w:t>In February 2026, a significant milestone saw the signing of the Addendum to the National Health Reform Agreement 2026–31 by the Australian Government and all state and territory governments. The committee worked closely with IHACPA to consider the implications of the reforms. This included future work on the development of a new funding models framework, enhancements to pricing adjustment methodologies and approaches to better support partnerships and integration across the health system. The reforms present an important opportunity to strengthen incentives for high-quality, coordinated care and improve outcomes for patients. The committee looks forward to continuing our contribution to this work.</w:t>
      </w:r>
    </w:p>
    <w:p w14:paraId="3FCDE06D" w14:textId="77777777" w:rsidR="00EB0D85" w:rsidRPr="00AA72C0" w:rsidRDefault="00EB0D85" w:rsidP="00EB0D85">
      <w:r w:rsidRPr="00AA72C0">
        <w:t>I would like to sincerely thank the Pricing Authority, IHACPA’s Chief Executive Officer and staff for their ongoing commitment, expertise and collaborative approach. Their dedication has been instrumental in delivering an ambitious and comprehensive program of work throughout the year.</w:t>
      </w:r>
    </w:p>
    <w:p w14:paraId="58279D26" w14:textId="77777777" w:rsidR="00EB0D85" w:rsidRPr="00AA72C0" w:rsidRDefault="00EB0D85" w:rsidP="00EB0D85">
      <w:r w:rsidRPr="00AA72C0">
        <w:t>It is an honour to serve as Chair of this committee. I look forward to continuing to work alongside IHACPA and my fellow committee members to support a health system that is clinically sound, efficient, sustainable and focused on achieving the best possible outcomes for all Australians.</w:t>
      </w:r>
    </w:p>
    <w:p w14:paraId="02C495B2" w14:textId="77777777" w:rsidR="00EB0D85" w:rsidRPr="00C83E54" w:rsidRDefault="00EB0D85" w:rsidP="00EB0D85"/>
    <w:p w14:paraId="4AAF8DCD" w14:textId="77777777" w:rsidR="00EB0D85" w:rsidRPr="00C83E54" w:rsidRDefault="00EB0D85" w:rsidP="00EB0D85">
      <w:pPr>
        <w:rPr>
          <w:b/>
          <w:bCs/>
        </w:rPr>
      </w:pPr>
    </w:p>
    <w:p w14:paraId="4BDFDDE5" w14:textId="77777777" w:rsidR="00EB0D85" w:rsidRPr="00C83E54" w:rsidRDefault="00EB0D85" w:rsidP="00EB0D85">
      <w:pPr>
        <w:rPr>
          <w:b/>
          <w:bCs/>
        </w:rPr>
      </w:pPr>
      <w:r w:rsidRPr="00C83E54">
        <w:rPr>
          <w:b/>
          <w:bCs/>
        </w:rPr>
        <w:t xml:space="preserve">Professor Susan Moloney  </w:t>
      </w:r>
    </w:p>
    <w:p w14:paraId="665084AA" w14:textId="77777777" w:rsidR="00EB0D85" w:rsidRDefault="00EB0D85" w:rsidP="00EB0D85">
      <w:r w:rsidRPr="00C83E54">
        <w:t>Chair, Clinical Advisory Committ</w:t>
      </w:r>
      <w:r>
        <w:t>ee</w:t>
      </w:r>
    </w:p>
    <w:p w14:paraId="39FE4BDE" w14:textId="77777777" w:rsidR="00EB0D85" w:rsidRPr="00B4793C" w:rsidRDefault="00EB0D85" w:rsidP="00EB0D85">
      <w:pPr>
        <w:pStyle w:val="Heading2"/>
      </w:pPr>
      <w:bookmarkStart w:id="470" w:name="_Toc233022293"/>
      <w:bookmarkStart w:id="471" w:name="_Toc233023055"/>
      <w:bookmarkStart w:id="472" w:name="_Toc233023390"/>
      <w:bookmarkStart w:id="473" w:name="_Toc233023517"/>
      <w:bookmarkStart w:id="474" w:name="_Toc233028693"/>
      <w:bookmarkStart w:id="475" w:name="_Toc233028883"/>
      <w:bookmarkStart w:id="476" w:name="_Toc235787438"/>
      <w:bookmarkStart w:id="477" w:name="_Toc235791576"/>
      <w:bookmarkStart w:id="478" w:name="_Toc237872679"/>
      <w:r>
        <w:lastRenderedPageBreak/>
        <w:t>About the Clinical Advisory Committee</w:t>
      </w:r>
      <w:bookmarkEnd w:id="470"/>
      <w:bookmarkEnd w:id="471"/>
      <w:bookmarkEnd w:id="472"/>
      <w:bookmarkEnd w:id="473"/>
      <w:bookmarkEnd w:id="474"/>
      <w:bookmarkEnd w:id="475"/>
      <w:bookmarkEnd w:id="476"/>
      <w:bookmarkEnd w:id="477"/>
      <w:bookmarkEnd w:id="478"/>
      <w:r>
        <w:t xml:space="preserve"> </w:t>
      </w:r>
    </w:p>
    <w:p w14:paraId="6BB162E1" w14:textId="77777777" w:rsidR="00EB0D85" w:rsidRPr="00195818" w:rsidRDefault="00EB0D85" w:rsidP="00EB0D85">
      <w:pPr>
        <w:rPr>
          <w:rFonts w:cs="Arial"/>
        </w:rPr>
      </w:pPr>
      <w:r w:rsidRPr="00195818">
        <w:rPr>
          <w:rFonts w:cs="Arial"/>
        </w:rPr>
        <w:t xml:space="preserve">The Clinical Advisory Committee (CAC) </w:t>
      </w:r>
      <w:r>
        <w:rPr>
          <w:rFonts w:cs="Arial"/>
        </w:rPr>
        <w:t>is</w:t>
      </w:r>
      <w:r w:rsidRPr="00195818">
        <w:rPr>
          <w:rFonts w:cs="Arial"/>
        </w:rPr>
        <w:t xml:space="preserve"> a statutory committee established under section 176 of the NHR Act. Under section 177 of the NHR Act, the committee’s functions are to:</w:t>
      </w:r>
    </w:p>
    <w:p w14:paraId="0F2B4CC6" w14:textId="77777777" w:rsidR="00EB0D85" w:rsidRPr="00195818" w:rsidRDefault="00EB0D85" w:rsidP="00EB0D85">
      <w:pPr>
        <w:pStyle w:val="ListLevel1"/>
      </w:pPr>
      <w:r w:rsidRPr="00195818">
        <w:t>advise the Pricing Authority in relation to developing and specifying classification systems for health care and other services provided by public hospitals</w:t>
      </w:r>
    </w:p>
    <w:p w14:paraId="0B2D054D" w14:textId="77777777" w:rsidR="00EB0D85" w:rsidRPr="00195818" w:rsidRDefault="00EB0D85" w:rsidP="00EB0D85">
      <w:pPr>
        <w:pStyle w:val="ListLevel1"/>
      </w:pPr>
      <w:r w:rsidRPr="00195818">
        <w:t>advise the Pricing Authority on matters that relate to the functions of the Pricing Authority</w:t>
      </w:r>
      <w:r>
        <w:t>,</w:t>
      </w:r>
      <w:r w:rsidRPr="00195818">
        <w:t xml:space="preserve"> or are referred to the CAC by the Pricing Authority</w:t>
      </w:r>
    </w:p>
    <w:p w14:paraId="59310562" w14:textId="77777777" w:rsidR="00EB0D85" w:rsidRPr="00FF6587" w:rsidRDefault="00EB0D85" w:rsidP="00EB0D85">
      <w:pPr>
        <w:pStyle w:val="ListLevel1"/>
      </w:pPr>
      <w:r w:rsidRPr="00FF6587">
        <w:t>do anything incidental to, or conducive to, the performance of the above functions.</w:t>
      </w:r>
    </w:p>
    <w:p w14:paraId="48A85319" w14:textId="77777777" w:rsidR="00EB0D85" w:rsidRPr="00FF6587" w:rsidRDefault="00EB0D85" w:rsidP="00EB0D85">
      <w:pPr>
        <w:rPr>
          <w:rFonts w:cs="Arial"/>
        </w:rPr>
      </w:pPr>
      <w:r w:rsidRPr="00FF6587">
        <w:rPr>
          <w:rFonts w:cs="Arial"/>
        </w:rPr>
        <w:t>CAC members provide high-level technical and clinical advice to the Pricing Authority on a range of issues, such as activity-based funding, classification development and policy development. This advice informs the annual determination of the national efficient price and national efficient cost.</w:t>
      </w:r>
    </w:p>
    <w:p w14:paraId="7C88BF65" w14:textId="77777777" w:rsidR="00EB0D85" w:rsidRDefault="00EB0D85" w:rsidP="00EB0D85">
      <w:r w:rsidRPr="00FF6587">
        <w:t xml:space="preserve">As at 30 June 2026, CAC consisted of </w:t>
      </w:r>
      <w:r>
        <w:t>18</w:t>
      </w:r>
      <w:r w:rsidRPr="00FF6587">
        <w:t xml:space="preserve"> members.</w:t>
      </w:r>
      <w:r w:rsidRPr="00FF6587">
        <w:rPr>
          <w:rFonts w:cs="Arial"/>
        </w:rPr>
        <w:t xml:space="preserve"> Details of the committee’s membership and meetings are shown in </w:t>
      </w:r>
      <w:r w:rsidRPr="006D0362">
        <w:rPr>
          <w:b/>
        </w:rPr>
        <w:t xml:space="preserve">Table </w:t>
      </w:r>
      <w:r w:rsidRPr="004522EB">
        <w:rPr>
          <w:b/>
        </w:rPr>
        <w:t>4</w:t>
      </w:r>
      <w:r w:rsidRPr="00FF6587">
        <w:t xml:space="preserve">. </w:t>
      </w:r>
    </w:p>
    <w:p w14:paraId="25237350" w14:textId="77777777" w:rsidR="00EB0D85" w:rsidRPr="00FF6587" w:rsidRDefault="00EB0D85" w:rsidP="00EB0D85">
      <w:pPr>
        <w:rPr>
          <w:rFonts w:cs="Arial"/>
        </w:rPr>
      </w:pPr>
      <w:r w:rsidRPr="00FF6587">
        <w:rPr>
          <w:rFonts w:cs="Arial"/>
        </w:rPr>
        <w:t xml:space="preserve">CAC is required to report on its work annually. </w:t>
      </w:r>
    </w:p>
    <w:p w14:paraId="5C0B9402" w14:textId="77777777" w:rsidR="00EB0D85" w:rsidRPr="00D220CB" w:rsidRDefault="00EB0D85" w:rsidP="00EB0D85">
      <w:pPr>
        <w:rPr>
          <w:rFonts w:cs="Arial"/>
          <w:b/>
          <w:bCs/>
        </w:rPr>
      </w:pPr>
      <w:r w:rsidRPr="00D220CB">
        <w:rPr>
          <w:rFonts w:cs="Arial"/>
          <w:b/>
          <w:bCs/>
        </w:rPr>
        <w:t xml:space="preserve">Membership </w:t>
      </w:r>
    </w:p>
    <w:p w14:paraId="433A09A9" w14:textId="77777777" w:rsidR="00EB0D85" w:rsidRPr="00D220CB" w:rsidRDefault="00EB0D85" w:rsidP="00EB0D85">
      <w:pPr>
        <w:rPr>
          <w:rFonts w:cs="Arial"/>
        </w:rPr>
      </w:pPr>
      <w:r w:rsidRPr="00D220CB">
        <w:rPr>
          <w:rFonts w:cs="Arial"/>
        </w:rPr>
        <w:t>CAC members are appointed by the Minister for Health and Ageing. Members are from a range of clinical specialties and backgrounds</w:t>
      </w:r>
      <w:r>
        <w:rPr>
          <w:rFonts w:cs="Arial"/>
        </w:rPr>
        <w:t>,</w:t>
      </w:r>
      <w:r w:rsidRPr="00D220CB">
        <w:rPr>
          <w:rFonts w:cs="Arial"/>
        </w:rPr>
        <w:t xml:space="preserve"> to ensure the committee adequately represents a wide range of clinical expertise. All jurisdictions are consulted before any appointments are recommended to the minister.</w:t>
      </w:r>
    </w:p>
    <w:p w14:paraId="249178AE" w14:textId="77777777" w:rsidR="00EB0D85" w:rsidRPr="00FF6587" w:rsidRDefault="00EB0D85" w:rsidP="00EB0D85">
      <w:pPr>
        <w:rPr>
          <w:rFonts w:cs="Arial"/>
          <w:b/>
          <w:bCs/>
        </w:rPr>
      </w:pPr>
      <w:r w:rsidRPr="00FF6587">
        <w:rPr>
          <w:rFonts w:cs="Arial"/>
          <w:b/>
          <w:bCs/>
        </w:rPr>
        <w:t>Table 4</w:t>
      </w:r>
      <w:r>
        <w:rPr>
          <w:rFonts w:cs="Arial"/>
          <w:b/>
          <w:bCs/>
        </w:rPr>
        <w:t>:</w:t>
      </w:r>
      <w:r w:rsidRPr="00FF6587">
        <w:rPr>
          <w:rFonts w:cs="Arial"/>
          <w:b/>
          <w:bCs/>
        </w:rPr>
        <w:t xml:space="preserve"> Membership and meetings of the Clinical Advisory Committee in 2025–26 </w:t>
      </w:r>
    </w:p>
    <w:tbl>
      <w:tblPr>
        <w:tblStyle w:val="IHACPATable"/>
        <w:tblW w:w="0" w:type="auto"/>
        <w:tblLook w:val="04A0" w:firstRow="1" w:lastRow="0" w:firstColumn="1" w:lastColumn="0" w:noHBand="0" w:noVBand="1"/>
      </w:tblPr>
      <w:tblGrid>
        <w:gridCol w:w="2410"/>
        <w:gridCol w:w="1281"/>
        <w:gridCol w:w="2546"/>
        <w:gridCol w:w="1673"/>
        <w:gridCol w:w="1842"/>
      </w:tblGrid>
      <w:tr w:rsidR="00EB0D85" w:rsidRPr="007F230C" w14:paraId="7048CD97" w14:textId="77777777" w:rsidTr="00ED273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7BCF6E58" w14:textId="77777777" w:rsidR="00EB0D85" w:rsidRPr="007F230C" w:rsidRDefault="00EB0D85" w:rsidP="00ED2732">
            <w:pPr>
              <w:rPr>
                <w:rFonts w:cs="Arial"/>
                <w:b/>
                <w:bCs/>
                <w:color w:val="FFFFFF" w:themeColor="background2"/>
                <w:sz w:val="18"/>
                <w:szCs w:val="18"/>
              </w:rPr>
            </w:pPr>
            <w:r w:rsidRPr="007F230C">
              <w:rPr>
                <w:rFonts w:cs="Arial"/>
                <w:b/>
                <w:bCs/>
                <w:color w:val="FFFFFF" w:themeColor="background2"/>
                <w:sz w:val="18"/>
                <w:szCs w:val="18"/>
              </w:rPr>
              <w:t xml:space="preserve">Name </w:t>
            </w:r>
          </w:p>
        </w:tc>
        <w:tc>
          <w:tcPr>
            <w:tcW w:w="1281" w:type="dxa"/>
            <w:vAlign w:val="center"/>
          </w:tcPr>
          <w:p w14:paraId="5FC91C94" w14:textId="77777777" w:rsidR="00EB0D85" w:rsidRPr="007F230C" w:rsidRDefault="00EB0D85" w:rsidP="00ED2732">
            <w:pPr>
              <w:cnfStyle w:val="100000000000" w:firstRow="1" w:lastRow="0" w:firstColumn="0" w:lastColumn="0" w:oddVBand="0" w:evenVBand="0" w:oddHBand="0" w:evenHBand="0" w:firstRowFirstColumn="0" w:firstRowLastColumn="0" w:lastRowFirstColumn="0" w:lastRowLastColumn="0"/>
              <w:rPr>
                <w:rFonts w:cs="Arial"/>
                <w:b/>
                <w:bCs/>
                <w:color w:val="FFFFFF" w:themeColor="background2"/>
                <w:szCs w:val="18"/>
              </w:rPr>
            </w:pPr>
            <w:r w:rsidRPr="007F230C">
              <w:rPr>
                <w:rFonts w:cs="Arial"/>
                <w:b/>
                <w:bCs/>
                <w:color w:val="FFFFFF" w:themeColor="background2"/>
                <w:szCs w:val="18"/>
              </w:rPr>
              <w:t>Position</w:t>
            </w:r>
          </w:p>
        </w:tc>
        <w:tc>
          <w:tcPr>
            <w:tcW w:w="2546" w:type="dxa"/>
            <w:vAlign w:val="center"/>
          </w:tcPr>
          <w:p w14:paraId="415A4849" w14:textId="77777777" w:rsidR="00EB0D85" w:rsidRPr="007F230C" w:rsidRDefault="00EB0D85" w:rsidP="00ED2732">
            <w:pPr>
              <w:cnfStyle w:val="100000000000" w:firstRow="1" w:lastRow="0" w:firstColumn="0" w:lastColumn="0" w:oddVBand="0" w:evenVBand="0" w:oddHBand="0" w:evenHBand="0" w:firstRowFirstColumn="0" w:firstRowLastColumn="0" w:lastRowFirstColumn="0" w:lastRowLastColumn="0"/>
              <w:rPr>
                <w:rFonts w:cs="Arial"/>
                <w:b/>
                <w:bCs/>
                <w:color w:val="FFFFFF" w:themeColor="background2"/>
                <w:szCs w:val="18"/>
              </w:rPr>
            </w:pPr>
            <w:r w:rsidRPr="007F230C">
              <w:rPr>
                <w:rFonts w:cs="Arial"/>
                <w:b/>
                <w:bCs/>
                <w:color w:val="FFFFFF" w:themeColor="background2"/>
                <w:szCs w:val="18"/>
              </w:rPr>
              <w:t>Specialty</w:t>
            </w:r>
          </w:p>
        </w:tc>
        <w:tc>
          <w:tcPr>
            <w:tcW w:w="1673" w:type="dxa"/>
            <w:vAlign w:val="center"/>
          </w:tcPr>
          <w:p w14:paraId="3F93EF49" w14:textId="77777777" w:rsidR="00EB0D85" w:rsidRPr="007F230C" w:rsidRDefault="00EB0D85" w:rsidP="00ED2732">
            <w:pPr>
              <w:cnfStyle w:val="100000000000" w:firstRow="1" w:lastRow="0" w:firstColumn="0" w:lastColumn="0" w:oddVBand="0" w:evenVBand="0" w:oddHBand="0" w:evenHBand="0" w:firstRowFirstColumn="0" w:firstRowLastColumn="0" w:lastRowFirstColumn="0" w:lastRowLastColumn="0"/>
              <w:rPr>
                <w:rFonts w:cs="Arial"/>
                <w:b/>
                <w:bCs/>
                <w:color w:val="FFFFFF" w:themeColor="background2"/>
                <w:szCs w:val="18"/>
              </w:rPr>
            </w:pPr>
            <w:r w:rsidRPr="007F230C">
              <w:rPr>
                <w:rFonts w:cs="Arial"/>
                <w:b/>
                <w:bCs/>
                <w:color w:val="FFFFFF" w:themeColor="background2"/>
                <w:szCs w:val="18"/>
              </w:rPr>
              <w:t>Meetings eligible</w:t>
            </w:r>
          </w:p>
        </w:tc>
        <w:tc>
          <w:tcPr>
            <w:tcW w:w="1842" w:type="dxa"/>
            <w:vAlign w:val="center"/>
          </w:tcPr>
          <w:p w14:paraId="294FAA66" w14:textId="77777777" w:rsidR="00EB0D85" w:rsidRPr="007F230C" w:rsidRDefault="00EB0D85" w:rsidP="00ED2732">
            <w:pPr>
              <w:cnfStyle w:val="100000000000" w:firstRow="1" w:lastRow="0" w:firstColumn="0" w:lastColumn="0" w:oddVBand="0" w:evenVBand="0" w:oddHBand="0" w:evenHBand="0" w:firstRowFirstColumn="0" w:firstRowLastColumn="0" w:lastRowFirstColumn="0" w:lastRowLastColumn="0"/>
              <w:rPr>
                <w:rFonts w:cs="Arial"/>
                <w:b/>
                <w:bCs/>
                <w:color w:val="FFFFFF" w:themeColor="background2"/>
                <w:szCs w:val="18"/>
              </w:rPr>
            </w:pPr>
            <w:r w:rsidRPr="007F230C">
              <w:rPr>
                <w:rFonts w:cs="Arial"/>
                <w:b/>
                <w:bCs/>
                <w:color w:val="FFFFFF" w:themeColor="background2"/>
                <w:szCs w:val="18"/>
              </w:rPr>
              <w:t xml:space="preserve">Meetings attended </w:t>
            </w:r>
          </w:p>
        </w:tc>
      </w:tr>
      <w:tr w:rsidR="00EB0D85" w:rsidRPr="007F230C" w14:paraId="444FD9F1" w14:textId="77777777" w:rsidTr="00ED27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403FF16" w14:textId="77777777" w:rsidR="00EB0D85" w:rsidRPr="00195818" w:rsidRDefault="00EB0D85" w:rsidP="00ED2732">
            <w:pPr>
              <w:rPr>
                <w:rFonts w:cs="Arial"/>
                <w:b/>
                <w:bCs/>
                <w:sz w:val="18"/>
                <w:szCs w:val="18"/>
              </w:rPr>
            </w:pPr>
            <w:r w:rsidRPr="00195818">
              <w:rPr>
                <w:rFonts w:cs="Arial"/>
                <w:sz w:val="18"/>
                <w:szCs w:val="18"/>
              </w:rPr>
              <w:t>Prof Susan Moloney</w:t>
            </w:r>
          </w:p>
        </w:tc>
        <w:tc>
          <w:tcPr>
            <w:tcW w:w="1281" w:type="dxa"/>
            <w:vAlign w:val="center"/>
          </w:tcPr>
          <w:p w14:paraId="185DB1C2"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Chair </w:t>
            </w:r>
          </w:p>
        </w:tc>
        <w:tc>
          <w:tcPr>
            <w:tcW w:w="2546" w:type="dxa"/>
            <w:vAlign w:val="center"/>
          </w:tcPr>
          <w:p w14:paraId="5D790CE2"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Paediatrics </w:t>
            </w:r>
          </w:p>
        </w:tc>
        <w:tc>
          <w:tcPr>
            <w:tcW w:w="1673" w:type="dxa"/>
            <w:vAlign w:val="center"/>
          </w:tcPr>
          <w:p w14:paraId="07F016CB"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20A7114F"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4</w:t>
            </w:r>
          </w:p>
        </w:tc>
      </w:tr>
      <w:tr w:rsidR="00EB0D85" w:rsidRPr="007F230C" w14:paraId="386DDA50" w14:textId="77777777" w:rsidTr="00ED273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668CF03" w14:textId="77777777" w:rsidR="00EB0D85" w:rsidRPr="00195818" w:rsidRDefault="00EB0D85" w:rsidP="00ED2732">
            <w:pPr>
              <w:rPr>
                <w:rFonts w:cs="Arial"/>
                <w:sz w:val="18"/>
                <w:szCs w:val="18"/>
              </w:rPr>
            </w:pPr>
            <w:r w:rsidRPr="00195818">
              <w:rPr>
                <w:rFonts w:cs="Arial"/>
                <w:sz w:val="18"/>
                <w:szCs w:val="18"/>
              </w:rPr>
              <w:t xml:space="preserve">Ms Nicole Carter (nee Harwood) </w:t>
            </w:r>
          </w:p>
        </w:tc>
        <w:tc>
          <w:tcPr>
            <w:tcW w:w="1281" w:type="dxa"/>
            <w:vAlign w:val="center"/>
          </w:tcPr>
          <w:p w14:paraId="3DDA8579"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033F5591"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 xml:space="preserve">Nursing </w:t>
            </w:r>
          </w:p>
        </w:tc>
        <w:tc>
          <w:tcPr>
            <w:tcW w:w="1673" w:type="dxa"/>
            <w:vAlign w:val="center"/>
          </w:tcPr>
          <w:p w14:paraId="2FC250A7"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2</w:t>
            </w:r>
          </w:p>
        </w:tc>
        <w:tc>
          <w:tcPr>
            <w:tcW w:w="1842" w:type="dxa"/>
            <w:vAlign w:val="center"/>
          </w:tcPr>
          <w:p w14:paraId="4C9CDA41"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0</w:t>
            </w:r>
          </w:p>
        </w:tc>
      </w:tr>
      <w:tr w:rsidR="00EB0D85" w:rsidRPr="007F230C" w14:paraId="28BAD767" w14:textId="77777777" w:rsidTr="00ED27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695CFBB6" w14:textId="77777777" w:rsidR="00EB0D85" w:rsidRPr="00195818" w:rsidRDefault="00EB0D85" w:rsidP="00ED2732">
            <w:pPr>
              <w:rPr>
                <w:rFonts w:cs="Arial"/>
                <w:sz w:val="18"/>
                <w:szCs w:val="18"/>
              </w:rPr>
            </w:pPr>
            <w:r w:rsidRPr="00195818">
              <w:rPr>
                <w:rFonts w:cs="Arial"/>
                <w:sz w:val="18"/>
                <w:szCs w:val="18"/>
              </w:rPr>
              <w:t xml:space="preserve">Mr Christopher O’Donnell </w:t>
            </w:r>
          </w:p>
        </w:tc>
        <w:tc>
          <w:tcPr>
            <w:tcW w:w="1281" w:type="dxa"/>
            <w:vAlign w:val="center"/>
          </w:tcPr>
          <w:p w14:paraId="2F316E5A"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1663487E"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Nursing </w:t>
            </w:r>
          </w:p>
        </w:tc>
        <w:tc>
          <w:tcPr>
            <w:tcW w:w="1673" w:type="dxa"/>
            <w:vAlign w:val="center"/>
          </w:tcPr>
          <w:p w14:paraId="79E0BC6C"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2</w:t>
            </w:r>
          </w:p>
        </w:tc>
        <w:tc>
          <w:tcPr>
            <w:tcW w:w="1842" w:type="dxa"/>
            <w:vAlign w:val="center"/>
          </w:tcPr>
          <w:p w14:paraId="3DA97358"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0</w:t>
            </w:r>
          </w:p>
        </w:tc>
      </w:tr>
      <w:tr w:rsidR="00EB0D85" w:rsidRPr="007F230C" w14:paraId="2E66AA0E" w14:textId="77777777" w:rsidTr="00ED273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2E65B7E" w14:textId="77777777" w:rsidR="00EB0D85" w:rsidRPr="00195818" w:rsidRDefault="00EB0D85" w:rsidP="00ED2732">
            <w:pPr>
              <w:rPr>
                <w:rFonts w:cs="Arial"/>
                <w:sz w:val="18"/>
                <w:szCs w:val="18"/>
              </w:rPr>
            </w:pPr>
            <w:r w:rsidRPr="00195818">
              <w:rPr>
                <w:rFonts w:cs="Arial"/>
                <w:sz w:val="18"/>
                <w:szCs w:val="18"/>
              </w:rPr>
              <w:t xml:space="preserve">A/Prof Nicole Phillips </w:t>
            </w:r>
          </w:p>
        </w:tc>
        <w:tc>
          <w:tcPr>
            <w:tcW w:w="1281" w:type="dxa"/>
            <w:vAlign w:val="center"/>
          </w:tcPr>
          <w:p w14:paraId="7A50B8C7"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Member</w:t>
            </w:r>
          </w:p>
        </w:tc>
        <w:tc>
          <w:tcPr>
            <w:tcW w:w="2546" w:type="dxa"/>
            <w:vAlign w:val="center"/>
          </w:tcPr>
          <w:p w14:paraId="05CD997E"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b/>
                <w:bCs/>
                <w:szCs w:val="18"/>
              </w:rPr>
            </w:pPr>
            <w:r w:rsidRPr="00195818">
              <w:rPr>
                <w:rFonts w:cs="Arial"/>
                <w:szCs w:val="18"/>
              </w:rPr>
              <w:t>Administration/anaesthesia and pain management</w:t>
            </w:r>
          </w:p>
        </w:tc>
        <w:tc>
          <w:tcPr>
            <w:tcW w:w="1673" w:type="dxa"/>
            <w:vAlign w:val="center"/>
          </w:tcPr>
          <w:p w14:paraId="3B86192B"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22804869"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3</w:t>
            </w:r>
          </w:p>
        </w:tc>
      </w:tr>
      <w:tr w:rsidR="00EB0D85" w:rsidRPr="007F230C" w14:paraId="4E978CA4" w14:textId="77777777" w:rsidTr="00ED27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396A09F" w14:textId="77777777" w:rsidR="00EB0D85" w:rsidRPr="00195818" w:rsidRDefault="00EB0D85" w:rsidP="00ED2732">
            <w:pPr>
              <w:rPr>
                <w:rFonts w:cs="Arial"/>
                <w:sz w:val="18"/>
                <w:szCs w:val="18"/>
              </w:rPr>
            </w:pPr>
            <w:r w:rsidRPr="00195818">
              <w:rPr>
                <w:rFonts w:cs="Arial"/>
                <w:sz w:val="18"/>
                <w:szCs w:val="18"/>
              </w:rPr>
              <w:t>A/Prof Virginia Plummer</w:t>
            </w:r>
          </w:p>
        </w:tc>
        <w:tc>
          <w:tcPr>
            <w:tcW w:w="1281" w:type="dxa"/>
            <w:vAlign w:val="center"/>
          </w:tcPr>
          <w:p w14:paraId="349CBCD1"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Member</w:t>
            </w:r>
          </w:p>
        </w:tc>
        <w:tc>
          <w:tcPr>
            <w:tcW w:w="2546" w:type="dxa"/>
            <w:vAlign w:val="center"/>
          </w:tcPr>
          <w:p w14:paraId="7C047B95"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Nursing </w:t>
            </w:r>
          </w:p>
        </w:tc>
        <w:tc>
          <w:tcPr>
            <w:tcW w:w="1673" w:type="dxa"/>
            <w:vAlign w:val="center"/>
          </w:tcPr>
          <w:p w14:paraId="53060547"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29056244"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4</w:t>
            </w:r>
          </w:p>
        </w:tc>
      </w:tr>
      <w:tr w:rsidR="00EB0D85" w:rsidRPr="007F230C" w14:paraId="6FAE988C" w14:textId="77777777" w:rsidTr="00ED273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6FB436D" w14:textId="77777777" w:rsidR="00EB0D85" w:rsidRPr="00195818" w:rsidRDefault="00EB0D85" w:rsidP="00ED2732">
            <w:pPr>
              <w:rPr>
                <w:rFonts w:cs="Arial"/>
                <w:sz w:val="18"/>
                <w:szCs w:val="18"/>
              </w:rPr>
            </w:pPr>
            <w:r w:rsidRPr="00195818">
              <w:rPr>
                <w:rFonts w:cs="Arial"/>
                <w:sz w:val="18"/>
                <w:szCs w:val="18"/>
              </w:rPr>
              <w:t xml:space="preserve">Ms Amber Polles </w:t>
            </w:r>
          </w:p>
        </w:tc>
        <w:tc>
          <w:tcPr>
            <w:tcW w:w="1281" w:type="dxa"/>
            <w:vAlign w:val="center"/>
          </w:tcPr>
          <w:p w14:paraId="105669E4"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5E2919A2"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Pharmacy</w:t>
            </w:r>
          </w:p>
        </w:tc>
        <w:tc>
          <w:tcPr>
            <w:tcW w:w="1673" w:type="dxa"/>
            <w:vAlign w:val="center"/>
          </w:tcPr>
          <w:p w14:paraId="69C93277"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66A1FE88"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r>
      <w:tr w:rsidR="00EB0D85" w:rsidRPr="007F230C" w14:paraId="43721ECE" w14:textId="77777777" w:rsidTr="00ED27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181F1757" w14:textId="77777777" w:rsidR="00EB0D85" w:rsidRPr="00195818" w:rsidRDefault="00EB0D85" w:rsidP="00ED2732">
            <w:pPr>
              <w:rPr>
                <w:rFonts w:cs="Arial"/>
                <w:sz w:val="18"/>
                <w:szCs w:val="18"/>
              </w:rPr>
            </w:pPr>
            <w:r w:rsidRPr="00195818">
              <w:rPr>
                <w:rFonts w:cs="Arial"/>
                <w:sz w:val="18"/>
                <w:szCs w:val="18"/>
              </w:rPr>
              <w:t xml:space="preserve">Dr Tracy Smith </w:t>
            </w:r>
          </w:p>
        </w:tc>
        <w:tc>
          <w:tcPr>
            <w:tcW w:w="1281" w:type="dxa"/>
            <w:vAlign w:val="center"/>
          </w:tcPr>
          <w:p w14:paraId="7BCF2E68"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Member</w:t>
            </w:r>
          </w:p>
        </w:tc>
        <w:tc>
          <w:tcPr>
            <w:tcW w:w="2546" w:type="dxa"/>
            <w:vAlign w:val="center"/>
          </w:tcPr>
          <w:p w14:paraId="563448C3"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Respiratory and palliative care </w:t>
            </w:r>
          </w:p>
        </w:tc>
        <w:tc>
          <w:tcPr>
            <w:tcW w:w="1673" w:type="dxa"/>
            <w:vAlign w:val="center"/>
          </w:tcPr>
          <w:p w14:paraId="2ED839C8"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382D786F"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3</w:t>
            </w:r>
          </w:p>
        </w:tc>
      </w:tr>
      <w:tr w:rsidR="00EB0D85" w:rsidRPr="007F230C" w14:paraId="29ADB648" w14:textId="77777777" w:rsidTr="00ED273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C148E92" w14:textId="77777777" w:rsidR="00EB0D85" w:rsidRPr="00195818" w:rsidRDefault="00EB0D85" w:rsidP="00ED2732">
            <w:pPr>
              <w:rPr>
                <w:rFonts w:cs="Arial"/>
                <w:sz w:val="18"/>
                <w:szCs w:val="18"/>
              </w:rPr>
            </w:pPr>
            <w:r w:rsidRPr="00195818">
              <w:rPr>
                <w:rFonts w:cs="Arial"/>
                <w:sz w:val="18"/>
                <w:szCs w:val="18"/>
              </w:rPr>
              <w:t xml:space="preserve">Dr Jo Wright </w:t>
            </w:r>
          </w:p>
        </w:tc>
        <w:tc>
          <w:tcPr>
            <w:tcW w:w="1281" w:type="dxa"/>
            <w:vAlign w:val="center"/>
          </w:tcPr>
          <w:p w14:paraId="0BAE2054"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Member</w:t>
            </w:r>
          </w:p>
        </w:tc>
        <w:tc>
          <w:tcPr>
            <w:tcW w:w="2546" w:type="dxa"/>
            <w:vAlign w:val="center"/>
          </w:tcPr>
          <w:p w14:paraId="321AED37"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 xml:space="preserve">Rural medical practice </w:t>
            </w:r>
          </w:p>
        </w:tc>
        <w:tc>
          <w:tcPr>
            <w:tcW w:w="1673" w:type="dxa"/>
            <w:vAlign w:val="center"/>
          </w:tcPr>
          <w:p w14:paraId="4E0B2162"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1C0C949B"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3</w:t>
            </w:r>
          </w:p>
        </w:tc>
      </w:tr>
      <w:tr w:rsidR="00EB0D85" w:rsidRPr="007F230C" w14:paraId="4086BE24" w14:textId="77777777" w:rsidTr="00ED27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836B5F0" w14:textId="77777777" w:rsidR="00EB0D85" w:rsidRPr="00195818" w:rsidRDefault="00EB0D85" w:rsidP="00ED2732">
            <w:pPr>
              <w:rPr>
                <w:rFonts w:cs="Arial"/>
                <w:sz w:val="18"/>
                <w:szCs w:val="18"/>
              </w:rPr>
            </w:pPr>
            <w:r w:rsidRPr="00195818">
              <w:rPr>
                <w:rFonts w:cs="Arial"/>
                <w:sz w:val="18"/>
                <w:szCs w:val="18"/>
              </w:rPr>
              <w:t xml:space="preserve">Dr Kathryn Zeitz </w:t>
            </w:r>
          </w:p>
        </w:tc>
        <w:tc>
          <w:tcPr>
            <w:tcW w:w="1281" w:type="dxa"/>
            <w:vAlign w:val="center"/>
          </w:tcPr>
          <w:p w14:paraId="35EE5A22"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140488B2"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Nursing </w:t>
            </w:r>
          </w:p>
        </w:tc>
        <w:tc>
          <w:tcPr>
            <w:tcW w:w="1673" w:type="dxa"/>
            <w:vAlign w:val="center"/>
          </w:tcPr>
          <w:p w14:paraId="0CFCCCF0"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594ED679"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0</w:t>
            </w:r>
          </w:p>
        </w:tc>
      </w:tr>
      <w:tr w:rsidR="00EB0D85" w:rsidRPr="007F230C" w14:paraId="69A07620" w14:textId="77777777" w:rsidTr="00ED273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C395149" w14:textId="77777777" w:rsidR="00EB0D85" w:rsidRPr="00195818" w:rsidRDefault="00EB0D85" w:rsidP="00ED2732">
            <w:pPr>
              <w:rPr>
                <w:rFonts w:cs="Arial"/>
                <w:sz w:val="18"/>
                <w:szCs w:val="18"/>
              </w:rPr>
            </w:pPr>
            <w:r w:rsidRPr="00195818">
              <w:rPr>
                <w:rFonts w:cs="Arial"/>
                <w:sz w:val="18"/>
                <w:szCs w:val="18"/>
              </w:rPr>
              <w:t xml:space="preserve">Clinical Prof Jenny Deague </w:t>
            </w:r>
          </w:p>
        </w:tc>
        <w:tc>
          <w:tcPr>
            <w:tcW w:w="1281" w:type="dxa"/>
            <w:vAlign w:val="center"/>
          </w:tcPr>
          <w:p w14:paraId="0DF007B5"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4C646858"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Cardiology</w:t>
            </w:r>
          </w:p>
        </w:tc>
        <w:tc>
          <w:tcPr>
            <w:tcW w:w="1673" w:type="dxa"/>
            <w:vAlign w:val="center"/>
          </w:tcPr>
          <w:p w14:paraId="4303DDA6"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065AEF71"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3</w:t>
            </w:r>
          </w:p>
        </w:tc>
      </w:tr>
      <w:tr w:rsidR="00EB0D85" w:rsidRPr="007F230C" w14:paraId="597E6FC6" w14:textId="77777777" w:rsidTr="00ED27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BE08CAE" w14:textId="77777777" w:rsidR="00EB0D85" w:rsidRPr="00195818" w:rsidRDefault="00EB0D85" w:rsidP="00ED2732">
            <w:pPr>
              <w:rPr>
                <w:rFonts w:cs="Arial"/>
                <w:sz w:val="18"/>
                <w:szCs w:val="18"/>
              </w:rPr>
            </w:pPr>
            <w:r w:rsidRPr="00195818">
              <w:rPr>
                <w:rFonts w:cs="Arial"/>
                <w:sz w:val="18"/>
                <w:szCs w:val="18"/>
              </w:rPr>
              <w:t>Dr Richard Phoon</w:t>
            </w:r>
          </w:p>
        </w:tc>
        <w:tc>
          <w:tcPr>
            <w:tcW w:w="1281" w:type="dxa"/>
            <w:vAlign w:val="center"/>
          </w:tcPr>
          <w:p w14:paraId="0081CE00"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0EC880DD"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Nephrology</w:t>
            </w:r>
          </w:p>
        </w:tc>
        <w:tc>
          <w:tcPr>
            <w:tcW w:w="1673" w:type="dxa"/>
            <w:vAlign w:val="center"/>
          </w:tcPr>
          <w:p w14:paraId="3D044DDE"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692C09BC"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3</w:t>
            </w:r>
          </w:p>
        </w:tc>
      </w:tr>
      <w:tr w:rsidR="00EB0D85" w:rsidRPr="007F230C" w14:paraId="0E06DA32" w14:textId="77777777" w:rsidTr="00ED273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6292F025" w14:textId="77777777" w:rsidR="00EB0D85" w:rsidRPr="00195818" w:rsidRDefault="00EB0D85" w:rsidP="00ED2732">
            <w:pPr>
              <w:rPr>
                <w:rFonts w:cs="Arial"/>
                <w:sz w:val="18"/>
                <w:szCs w:val="18"/>
              </w:rPr>
            </w:pPr>
            <w:r w:rsidRPr="00195818">
              <w:rPr>
                <w:rFonts w:cs="Arial"/>
                <w:sz w:val="18"/>
                <w:szCs w:val="18"/>
              </w:rPr>
              <w:t>Dr Amith Shetty</w:t>
            </w:r>
          </w:p>
        </w:tc>
        <w:tc>
          <w:tcPr>
            <w:tcW w:w="1281" w:type="dxa"/>
            <w:vAlign w:val="center"/>
          </w:tcPr>
          <w:p w14:paraId="3A13A6E4"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1EF63E70"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Emergency care</w:t>
            </w:r>
          </w:p>
        </w:tc>
        <w:tc>
          <w:tcPr>
            <w:tcW w:w="1673" w:type="dxa"/>
            <w:vAlign w:val="center"/>
          </w:tcPr>
          <w:p w14:paraId="67C61EB5"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369505A8"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3</w:t>
            </w:r>
          </w:p>
        </w:tc>
      </w:tr>
      <w:tr w:rsidR="00EB0D85" w:rsidRPr="007F230C" w14:paraId="5C4191E2" w14:textId="77777777" w:rsidTr="00ED27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7ED73AD" w14:textId="77777777" w:rsidR="00EB0D85" w:rsidRPr="00195818" w:rsidRDefault="00EB0D85" w:rsidP="00ED2732">
            <w:pPr>
              <w:rPr>
                <w:rFonts w:cs="Arial"/>
                <w:sz w:val="18"/>
                <w:szCs w:val="18"/>
              </w:rPr>
            </w:pPr>
            <w:r w:rsidRPr="00195818">
              <w:rPr>
                <w:rFonts w:cs="Arial"/>
                <w:sz w:val="18"/>
                <w:szCs w:val="18"/>
              </w:rPr>
              <w:t>Dr Marco Briceno</w:t>
            </w:r>
          </w:p>
        </w:tc>
        <w:tc>
          <w:tcPr>
            <w:tcW w:w="1281" w:type="dxa"/>
            <w:vAlign w:val="center"/>
          </w:tcPr>
          <w:p w14:paraId="2B7B8093"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3C00613E"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Indigenous health</w:t>
            </w:r>
          </w:p>
        </w:tc>
        <w:tc>
          <w:tcPr>
            <w:tcW w:w="1673" w:type="dxa"/>
            <w:vAlign w:val="center"/>
          </w:tcPr>
          <w:p w14:paraId="759F5931"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7D2DAC8D"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2</w:t>
            </w:r>
          </w:p>
        </w:tc>
      </w:tr>
      <w:tr w:rsidR="00EB0D85" w:rsidRPr="007F230C" w14:paraId="4FF60D0D" w14:textId="77777777" w:rsidTr="00ED273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5A868442" w14:textId="77777777" w:rsidR="00EB0D85" w:rsidRPr="00195818" w:rsidRDefault="00EB0D85" w:rsidP="00ED2732">
            <w:pPr>
              <w:rPr>
                <w:rFonts w:cs="Arial"/>
                <w:sz w:val="18"/>
                <w:szCs w:val="18"/>
              </w:rPr>
            </w:pPr>
            <w:r w:rsidRPr="00195818">
              <w:rPr>
                <w:rFonts w:cs="Arial"/>
                <w:sz w:val="18"/>
                <w:szCs w:val="18"/>
              </w:rPr>
              <w:t xml:space="preserve">Dr Didier Palmer </w:t>
            </w:r>
          </w:p>
        </w:tc>
        <w:tc>
          <w:tcPr>
            <w:tcW w:w="1281" w:type="dxa"/>
            <w:vAlign w:val="center"/>
          </w:tcPr>
          <w:p w14:paraId="758CCD29"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35A7A165"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Emergency care</w:t>
            </w:r>
          </w:p>
        </w:tc>
        <w:tc>
          <w:tcPr>
            <w:tcW w:w="1673" w:type="dxa"/>
            <w:vAlign w:val="center"/>
          </w:tcPr>
          <w:p w14:paraId="7AE77123"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1BEC3691"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1</w:t>
            </w:r>
          </w:p>
        </w:tc>
      </w:tr>
      <w:tr w:rsidR="00EB0D85" w:rsidRPr="007F230C" w14:paraId="0DF5EA10" w14:textId="77777777" w:rsidTr="00ED2732">
        <w:trPr>
          <w:cnfStyle w:val="000000100000" w:firstRow="0" w:lastRow="0" w:firstColumn="0" w:lastColumn="0" w:oddVBand="0" w:evenVBand="0" w:oddHBand="1" w:evenHBand="0" w:firstRowFirstColumn="0" w:firstRowLastColumn="0" w:lastRowFirstColumn="0" w:lastRowLastColumn="0"/>
          <w:cantSplit/>
          <w:trHeight w:val="58"/>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D5F844A" w14:textId="77777777" w:rsidR="00EB0D85" w:rsidRPr="00195818" w:rsidRDefault="00EB0D85" w:rsidP="00ED2732">
            <w:pPr>
              <w:rPr>
                <w:rFonts w:cs="Arial"/>
                <w:sz w:val="18"/>
                <w:szCs w:val="18"/>
              </w:rPr>
            </w:pPr>
            <w:r w:rsidRPr="00195818">
              <w:rPr>
                <w:rFonts w:cs="Arial"/>
                <w:sz w:val="18"/>
                <w:szCs w:val="18"/>
              </w:rPr>
              <w:t xml:space="preserve">Prof Susan Kurrie </w:t>
            </w:r>
          </w:p>
        </w:tc>
        <w:tc>
          <w:tcPr>
            <w:tcW w:w="1281" w:type="dxa"/>
            <w:vAlign w:val="center"/>
          </w:tcPr>
          <w:p w14:paraId="4462D92F"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1F32B2CC"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Gerontology</w:t>
            </w:r>
          </w:p>
        </w:tc>
        <w:tc>
          <w:tcPr>
            <w:tcW w:w="1673" w:type="dxa"/>
            <w:vAlign w:val="center"/>
          </w:tcPr>
          <w:p w14:paraId="770203F6"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235EFBFD"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3</w:t>
            </w:r>
          </w:p>
        </w:tc>
      </w:tr>
      <w:tr w:rsidR="00EB0D85" w:rsidRPr="007F230C" w14:paraId="366CAB14" w14:textId="77777777" w:rsidTr="00ED273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E21106D" w14:textId="77777777" w:rsidR="00EB0D85" w:rsidRPr="00195818" w:rsidRDefault="00EB0D85" w:rsidP="00ED2732">
            <w:pPr>
              <w:rPr>
                <w:rFonts w:cs="Arial"/>
                <w:sz w:val="18"/>
                <w:szCs w:val="18"/>
              </w:rPr>
            </w:pPr>
            <w:r w:rsidRPr="00195818">
              <w:rPr>
                <w:rFonts w:cs="Arial"/>
                <w:sz w:val="18"/>
                <w:szCs w:val="18"/>
              </w:rPr>
              <w:t xml:space="preserve">Dr Nhi Nguyen </w:t>
            </w:r>
          </w:p>
        </w:tc>
        <w:tc>
          <w:tcPr>
            <w:tcW w:w="1281" w:type="dxa"/>
            <w:vAlign w:val="center"/>
          </w:tcPr>
          <w:p w14:paraId="457FEA4F"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574CA1D4"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Intensive Care</w:t>
            </w:r>
          </w:p>
        </w:tc>
        <w:tc>
          <w:tcPr>
            <w:tcW w:w="1673" w:type="dxa"/>
            <w:vAlign w:val="center"/>
          </w:tcPr>
          <w:p w14:paraId="31E926A5"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587C5F9B"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r>
      <w:tr w:rsidR="00EB0D85" w:rsidRPr="007F230C" w14:paraId="27FB507A" w14:textId="77777777" w:rsidTr="00ED27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1EBFC14" w14:textId="77777777" w:rsidR="00EB0D85" w:rsidRPr="00195818" w:rsidRDefault="00EB0D85" w:rsidP="00ED2732">
            <w:pPr>
              <w:rPr>
                <w:rFonts w:cs="Arial"/>
                <w:sz w:val="18"/>
                <w:szCs w:val="18"/>
              </w:rPr>
            </w:pPr>
            <w:r w:rsidRPr="00195818">
              <w:rPr>
                <w:rFonts w:cs="Arial"/>
                <w:sz w:val="18"/>
                <w:szCs w:val="18"/>
              </w:rPr>
              <w:t xml:space="preserve">Dr Lisa Kelly </w:t>
            </w:r>
          </w:p>
        </w:tc>
        <w:tc>
          <w:tcPr>
            <w:tcW w:w="1281" w:type="dxa"/>
            <w:vAlign w:val="center"/>
          </w:tcPr>
          <w:p w14:paraId="55324EA0"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05FF3549"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Geriatric medicine </w:t>
            </w:r>
          </w:p>
        </w:tc>
        <w:tc>
          <w:tcPr>
            <w:tcW w:w="1673" w:type="dxa"/>
            <w:vAlign w:val="center"/>
          </w:tcPr>
          <w:p w14:paraId="2AABDDE1"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1E6BC899"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3</w:t>
            </w:r>
          </w:p>
        </w:tc>
      </w:tr>
      <w:tr w:rsidR="00EB0D85" w:rsidRPr="007F230C" w14:paraId="408AAA01" w14:textId="77777777" w:rsidTr="00ED273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6F4B2951" w14:textId="77777777" w:rsidR="00EB0D85" w:rsidRPr="00195818" w:rsidRDefault="00EB0D85" w:rsidP="00ED2732">
            <w:pPr>
              <w:rPr>
                <w:rFonts w:cs="Arial"/>
                <w:sz w:val="18"/>
                <w:szCs w:val="18"/>
              </w:rPr>
            </w:pPr>
            <w:r w:rsidRPr="00195818">
              <w:rPr>
                <w:rFonts w:cs="Arial"/>
                <w:sz w:val="18"/>
                <w:szCs w:val="18"/>
              </w:rPr>
              <w:t>Mr Andric Lu</w:t>
            </w:r>
          </w:p>
        </w:tc>
        <w:tc>
          <w:tcPr>
            <w:tcW w:w="1281" w:type="dxa"/>
            <w:vAlign w:val="center"/>
          </w:tcPr>
          <w:p w14:paraId="317CEFD4"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210964F8"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 xml:space="preserve">Allied health </w:t>
            </w:r>
          </w:p>
        </w:tc>
        <w:tc>
          <w:tcPr>
            <w:tcW w:w="1673" w:type="dxa"/>
            <w:vAlign w:val="center"/>
          </w:tcPr>
          <w:p w14:paraId="0073467B"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61637BA1"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r>
      <w:tr w:rsidR="00EB0D85" w:rsidRPr="007F230C" w14:paraId="24716F66" w14:textId="77777777" w:rsidTr="00ED27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2A8B77D" w14:textId="77777777" w:rsidR="00EB0D85" w:rsidRPr="00195818" w:rsidRDefault="00EB0D85" w:rsidP="00ED2732">
            <w:pPr>
              <w:rPr>
                <w:rFonts w:cs="Arial"/>
                <w:sz w:val="18"/>
                <w:szCs w:val="18"/>
              </w:rPr>
            </w:pPr>
            <w:r w:rsidRPr="00195818">
              <w:rPr>
                <w:rFonts w:cs="Arial"/>
                <w:sz w:val="18"/>
                <w:szCs w:val="18"/>
              </w:rPr>
              <w:t xml:space="preserve">Mr Sandeep Gupta </w:t>
            </w:r>
          </w:p>
        </w:tc>
        <w:tc>
          <w:tcPr>
            <w:tcW w:w="1281" w:type="dxa"/>
            <w:vAlign w:val="center"/>
          </w:tcPr>
          <w:p w14:paraId="3D94090E"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732C4556"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rFonts w:cs="Arial"/>
                <w:szCs w:val="18"/>
              </w:rPr>
            </w:pPr>
            <w:r w:rsidRPr="00195818">
              <w:rPr>
                <w:rFonts w:cs="Arial"/>
                <w:szCs w:val="18"/>
              </w:rPr>
              <w:t>Allied health</w:t>
            </w:r>
          </w:p>
        </w:tc>
        <w:tc>
          <w:tcPr>
            <w:tcW w:w="1673" w:type="dxa"/>
            <w:vAlign w:val="center"/>
          </w:tcPr>
          <w:p w14:paraId="046CD9A0"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5EE57975"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rPr>
                <w:rFonts w:cs="Arial"/>
                <w:color w:val="auto"/>
                <w:szCs w:val="18"/>
              </w:rPr>
            </w:pPr>
            <w:r w:rsidRPr="004E226D">
              <w:rPr>
                <w:rFonts w:cs="Arial"/>
                <w:color w:val="auto"/>
                <w:szCs w:val="18"/>
              </w:rPr>
              <w:t>3</w:t>
            </w:r>
          </w:p>
        </w:tc>
      </w:tr>
      <w:tr w:rsidR="00EB0D85" w:rsidRPr="007F230C" w14:paraId="2799016C" w14:textId="77777777" w:rsidTr="00ED273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ECB5321" w14:textId="77777777" w:rsidR="00EB0D85" w:rsidRPr="00195818" w:rsidRDefault="00EB0D85" w:rsidP="00ED2732">
            <w:pPr>
              <w:rPr>
                <w:rFonts w:cs="Arial"/>
                <w:sz w:val="18"/>
                <w:szCs w:val="18"/>
              </w:rPr>
            </w:pPr>
            <w:r w:rsidRPr="00195818">
              <w:rPr>
                <w:rFonts w:cs="Arial"/>
                <w:sz w:val="18"/>
                <w:szCs w:val="18"/>
              </w:rPr>
              <w:lastRenderedPageBreak/>
              <w:t xml:space="preserve">A/Prof Sharon Carey </w:t>
            </w:r>
          </w:p>
        </w:tc>
        <w:tc>
          <w:tcPr>
            <w:tcW w:w="1281" w:type="dxa"/>
            <w:vAlign w:val="center"/>
          </w:tcPr>
          <w:p w14:paraId="4940DFDF"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 xml:space="preserve">Member </w:t>
            </w:r>
          </w:p>
        </w:tc>
        <w:tc>
          <w:tcPr>
            <w:tcW w:w="2546" w:type="dxa"/>
            <w:vAlign w:val="center"/>
          </w:tcPr>
          <w:p w14:paraId="58D94168"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rFonts w:cs="Arial"/>
                <w:szCs w:val="18"/>
              </w:rPr>
            </w:pPr>
            <w:r w:rsidRPr="00195818">
              <w:rPr>
                <w:rFonts w:cs="Arial"/>
                <w:szCs w:val="18"/>
              </w:rPr>
              <w:t>Allied health</w:t>
            </w:r>
          </w:p>
        </w:tc>
        <w:tc>
          <w:tcPr>
            <w:tcW w:w="1673" w:type="dxa"/>
            <w:vAlign w:val="center"/>
          </w:tcPr>
          <w:p w14:paraId="21AF12FE"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4</w:t>
            </w:r>
          </w:p>
        </w:tc>
        <w:tc>
          <w:tcPr>
            <w:tcW w:w="1842" w:type="dxa"/>
            <w:vAlign w:val="center"/>
          </w:tcPr>
          <w:p w14:paraId="54785671"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rPr>
                <w:rFonts w:cs="Arial"/>
                <w:color w:val="auto"/>
                <w:szCs w:val="18"/>
              </w:rPr>
            </w:pPr>
            <w:r w:rsidRPr="004E226D">
              <w:rPr>
                <w:rFonts w:cs="Arial"/>
                <w:color w:val="auto"/>
                <w:szCs w:val="18"/>
              </w:rPr>
              <w:t>2</w:t>
            </w:r>
          </w:p>
        </w:tc>
      </w:tr>
    </w:tbl>
    <w:p w14:paraId="33D853F1" w14:textId="77777777" w:rsidR="00EB0D85" w:rsidRDefault="00EB0D85" w:rsidP="00EB0D85">
      <w:pPr>
        <w:rPr>
          <w:rFonts w:cs="Arial"/>
          <w:b/>
          <w:bCs/>
        </w:rPr>
      </w:pPr>
    </w:p>
    <w:p w14:paraId="0D1917E0" w14:textId="77777777" w:rsidR="00EB0D85" w:rsidRDefault="00EB0D85" w:rsidP="00EB0D85">
      <w:pPr>
        <w:rPr>
          <w:rFonts w:cs="Arial"/>
          <w:b/>
          <w:bCs/>
        </w:rPr>
      </w:pPr>
    </w:p>
    <w:tbl>
      <w:tblPr>
        <w:tblStyle w:val="IHACPATable"/>
        <w:tblW w:w="9807" w:type="dxa"/>
        <w:tblLook w:val="04A0" w:firstRow="1" w:lastRow="0" w:firstColumn="1" w:lastColumn="0" w:noHBand="0" w:noVBand="1"/>
      </w:tblPr>
      <w:tblGrid>
        <w:gridCol w:w="9807"/>
      </w:tblGrid>
      <w:tr w:rsidR="00EB0D85" w14:paraId="50AB40E7" w14:textId="77777777" w:rsidTr="00ED2732">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9807" w:type="dxa"/>
          </w:tcPr>
          <w:p w14:paraId="16B59F41" w14:textId="77777777" w:rsidR="00EB0D85" w:rsidRPr="00A56A27" w:rsidRDefault="00EB0D85" w:rsidP="00ED2732">
            <w:pPr>
              <w:pStyle w:val="TableFigureheading"/>
              <w:rPr>
                <w:b/>
                <w:bCs/>
                <w:color w:val="FFFFFF" w:themeColor="background2"/>
                <w:szCs w:val="18"/>
              </w:rPr>
            </w:pPr>
            <w:bookmarkStart w:id="479" w:name="_Toc233023518"/>
            <w:bookmarkStart w:id="480" w:name="_Toc233028694"/>
            <w:r w:rsidRPr="00745B18">
              <w:rPr>
                <w:b/>
                <w:bCs/>
                <w:color w:val="FFFFFF" w:themeColor="background2"/>
                <w:sz w:val="18"/>
                <w:szCs w:val="18"/>
              </w:rPr>
              <w:t>Clinical Advisory Committee meetings 2025–26</w:t>
            </w:r>
            <w:bookmarkEnd w:id="479"/>
            <w:bookmarkEnd w:id="480"/>
          </w:p>
        </w:tc>
      </w:tr>
      <w:tr w:rsidR="00EB0D85" w14:paraId="0AE7293D" w14:textId="77777777" w:rsidTr="00ED2732">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9807" w:type="dxa"/>
          </w:tcPr>
          <w:p w14:paraId="54E5B1E9" w14:textId="77777777" w:rsidR="00EB0D85" w:rsidRPr="00A56A27" w:rsidRDefault="00EB0D85" w:rsidP="00ED2732">
            <w:pPr>
              <w:pStyle w:val="TableFigureheading"/>
              <w:rPr>
                <w:color w:val="15272F" w:themeColor="text1"/>
                <w:szCs w:val="18"/>
              </w:rPr>
            </w:pPr>
            <w:bookmarkStart w:id="481" w:name="_Toc233023519"/>
            <w:bookmarkStart w:id="482" w:name="_Toc233028695"/>
            <w:r w:rsidRPr="00195818">
              <w:rPr>
                <w:color w:val="15272F" w:themeColor="text1"/>
                <w:sz w:val="18"/>
                <w:szCs w:val="18"/>
              </w:rPr>
              <w:t>30 July 202</w:t>
            </w:r>
            <w:bookmarkEnd w:id="481"/>
            <w:bookmarkEnd w:id="482"/>
            <w:r>
              <w:rPr>
                <w:color w:val="15272F" w:themeColor="text1"/>
                <w:sz w:val="18"/>
                <w:szCs w:val="18"/>
              </w:rPr>
              <w:t>5</w:t>
            </w:r>
          </w:p>
        </w:tc>
      </w:tr>
      <w:tr w:rsidR="00EB0D85" w14:paraId="01DEF294" w14:textId="77777777" w:rsidTr="00ED2732">
        <w:trPr>
          <w:cnfStyle w:val="000000010000" w:firstRow="0" w:lastRow="0" w:firstColumn="0" w:lastColumn="0" w:oddVBand="0" w:evenVBand="0" w:oddHBand="0" w:evenHBand="1"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9807" w:type="dxa"/>
          </w:tcPr>
          <w:p w14:paraId="6125CAB9" w14:textId="77777777" w:rsidR="00EB0D85" w:rsidRPr="00195818" w:rsidRDefault="00EB0D85" w:rsidP="00ED2732">
            <w:pPr>
              <w:pStyle w:val="TableFigureheading"/>
              <w:rPr>
                <w:color w:val="15272F" w:themeColor="text1"/>
                <w:sz w:val="18"/>
                <w:szCs w:val="18"/>
              </w:rPr>
            </w:pPr>
            <w:bookmarkStart w:id="483" w:name="_Toc233023520"/>
            <w:bookmarkStart w:id="484" w:name="_Toc233028696"/>
            <w:r w:rsidRPr="00195818">
              <w:rPr>
                <w:color w:val="15272F" w:themeColor="text1"/>
                <w:sz w:val="18"/>
                <w:szCs w:val="18"/>
              </w:rPr>
              <w:t>22 October 2025</w:t>
            </w:r>
            <w:bookmarkEnd w:id="483"/>
            <w:bookmarkEnd w:id="484"/>
          </w:p>
        </w:tc>
      </w:tr>
      <w:tr w:rsidR="00EB0D85" w14:paraId="41AD28E8" w14:textId="77777777" w:rsidTr="00ED2732">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9807" w:type="dxa"/>
          </w:tcPr>
          <w:p w14:paraId="610CC34C" w14:textId="77777777" w:rsidR="00EB0D85" w:rsidRPr="00195818" w:rsidRDefault="00EB0D85" w:rsidP="00ED2732">
            <w:pPr>
              <w:pStyle w:val="TableFigureheading"/>
              <w:rPr>
                <w:color w:val="15272F" w:themeColor="text1"/>
                <w:sz w:val="18"/>
                <w:szCs w:val="18"/>
              </w:rPr>
            </w:pPr>
            <w:bookmarkStart w:id="485" w:name="_Toc233023521"/>
            <w:bookmarkStart w:id="486" w:name="_Toc233028697"/>
            <w:r w:rsidRPr="00195818">
              <w:rPr>
                <w:color w:val="15272F" w:themeColor="text1"/>
                <w:sz w:val="18"/>
                <w:szCs w:val="18"/>
              </w:rPr>
              <w:t>5 February 2026</w:t>
            </w:r>
            <w:bookmarkEnd w:id="485"/>
            <w:bookmarkEnd w:id="486"/>
          </w:p>
        </w:tc>
      </w:tr>
      <w:tr w:rsidR="00EB0D85" w14:paraId="4C28E69D" w14:textId="77777777" w:rsidTr="00ED2732">
        <w:trPr>
          <w:cnfStyle w:val="000000010000" w:firstRow="0" w:lastRow="0" w:firstColumn="0" w:lastColumn="0" w:oddVBand="0" w:evenVBand="0" w:oddHBand="0" w:evenHBand="1"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9807" w:type="dxa"/>
          </w:tcPr>
          <w:p w14:paraId="2B072526" w14:textId="77777777" w:rsidR="00EB0D85" w:rsidRPr="00195818" w:rsidRDefault="00EB0D85" w:rsidP="00ED2732">
            <w:pPr>
              <w:pStyle w:val="TableFigureheading"/>
              <w:rPr>
                <w:color w:val="15272F" w:themeColor="text1"/>
                <w:sz w:val="18"/>
                <w:szCs w:val="18"/>
              </w:rPr>
            </w:pPr>
            <w:r>
              <w:rPr>
                <w:color w:val="15272F" w:themeColor="text1"/>
                <w:sz w:val="18"/>
                <w:szCs w:val="18"/>
              </w:rPr>
              <w:t>16 April 2026</w:t>
            </w:r>
          </w:p>
        </w:tc>
      </w:tr>
    </w:tbl>
    <w:p w14:paraId="5823FDA2" w14:textId="77777777" w:rsidR="00EB0D85" w:rsidRDefault="00EB0D85" w:rsidP="00EB0D85">
      <w:pPr>
        <w:rPr>
          <w:rFonts w:cs="Arial"/>
          <w:b/>
          <w:bCs/>
        </w:rPr>
      </w:pPr>
    </w:p>
    <w:p w14:paraId="77C61F91" w14:textId="77777777" w:rsidR="00EB0D85" w:rsidRDefault="00EB0D85" w:rsidP="00EB0D85">
      <w:pPr>
        <w:rPr>
          <w:rFonts w:cs="Arial"/>
          <w:b/>
          <w:bCs/>
        </w:rPr>
      </w:pPr>
    </w:p>
    <w:p w14:paraId="06B5F737" w14:textId="77777777" w:rsidR="00EB0D85" w:rsidRDefault="00EB0D85" w:rsidP="00EB0D85">
      <w:pPr>
        <w:rPr>
          <w:rFonts w:cs="Arial"/>
          <w:b/>
          <w:bCs/>
        </w:rPr>
      </w:pPr>
    </w:p>
    <w:p w14:paraId="0DD99E13" w14:textId="77777777" w:rsidR="00EB0D85" w:rsidRDefault="00EB0D85" w:rsidP="00EB0D85">
      <w:pPr>
        <w:rPr>
          <w:rFonts w:cs="Arial"/>
          <w:b/>
          <w:bCs/>
        </w:rPr>
      </w:pPr>
    </w:p>
    <w:p w14:paraId="7091EF01" w14:textId="77777777" w:rsidR="00EB0D85" w:rsidRDefault="00EB0D85" w:rsidP="00EB0D85"/>
    <w:p w14:paraId="298AEABB" w14:textId="77777777" w:rsidR="00EB0D85" w:rsidRDefault="00EB0D85" w:rsidP="00EB0D85"/>
    <w:p w14:paraId="515BDB07" w14:textId="77777777" w:rsidR="00EB0D85" w:rsidRDefault="00EB0D85" w:rsidP="00EB0D85"/>
    <w:p w14:paraId="4BEE863E" w14:textId="77777777" w:rsidR="00EB0D85" w:rsidRDefault="00EB0D85" w:rsidP="00EB0D85"/>
    <w:p w14:paraId="18A0C52E" w14:textId="77777777" w:rsidR="00EB0D85" w:rsidRDefault="00EB0D85" w:rsidP="00EB0D85"/>
    <w:p w14:paraId="6AB92237" w14:textId="77777777" w:rsidR="00EB0D85" w:rsidRDefault="00EB0D85" w:rsidP="00EB0D85"/>
    <w:p w14:paraId="5B629423" w14:textId="77777777" w:rsidR="00EB0D85" w:rsidRDefault="00EB0D85" w:rsidP="00EB0D85"/>
    <w:p w14:paraId="6FD9DBBA" w14:textId="77777777" w:rsidR="00EB0D85" w:rsidRPr="00195818" w:rsidRDefault="00EB0D85" w:rsidP="00EB0D85">
      <w:pPr>
        <w:pStyle w:val="Heading1"/>
      </w:pPr>
      <w:bookmarkStart w:id="487" w:name="_Toc233022294"/>
      <w:bookmarkStart w:id="488" w:name="_Toc233023056"/>
      <w:bookmarkStart w:id="489" w:name="_Toc233023391"/>
      <w:bookmarkStart w:id="490" w:name="_Toc233028698"/>
      <w:bookmarkStart w:id="491" w:name="_Toc233028884"/>
      <w:bookmarkStart w:id="492" w:name="_Toc235787439"/>
      <w:bookmarkStart w:id="493" w:name="_Toc235791577"/>
      <w:bookmarkStart w:id="494" w:name="_Toc237872680"/>
      <w:r w:rsidRPr="00195818">
        <w:lastRenderedPageBreak/>
        <w:t>3.4</w:t>
      </w:r>
      <w:r w:rsidRPr="00195818">
        <w:tab/>
        <w:t>Aged Care Advisory Committee</w:t>
      </w:r>
      <w:bookmarkEnd w:id="487"/>
      <w:bookmarkEnd w:id="488"/>
      <w:bookmarkEnd w:id="489"/>
      <w:bookmarkEnd w:id="490"/>
      <w:bookmarkEnd w:id="491"/>
      <w:bookmarkEnd w:id="492"/>
      <w:bookmarkEnd w:id="493"/>
      <w:bookmarkEnd w:id="494"/>
    </w:p>
    <w:p w14:paraId="13CF66AF" w14:textId="77777777" w:rsidR="00EB0D85" w:rsidRPr="002833FF" w:rsidRDefault="00EB0D85" w:rsidP="00EB0D85">
      <w:pPr>
        <w:pStyle w:val="Heading2"/>
        <w:rPr>
          <w:color w:val="15272F" w:themeColor="text1"/>
        </w:rPr>
      </w:pPr>
      <w:bookmarkStart w:id="495" w:name="_Toc233022295"/>
      <w:bookmarkStart w:id="496" w:name="_Toc233023057"/>
      <w:bookmarkStart w:id="497" w:name="_Toc233023392"/>
      <w:bookmarkStart w:id="498" w:name="_Toc233028699"/>
      <w:bookmarkStart w:id="499" w:name="_Toc233028885"/>
      <w:bookmarkStart w:id="500" w:name="_Toc235787440"/>
      <w:bookmarkStart w:id="501" w:name="_Toc235791578"/>
      <w:bookmarkStart w:id="502" w:name="_Toc237872681"/>
      <w:r w:rsidRPr="002833FF">
        <w:rPr>
          <w:color w:val="15272F" w:themeColor="text1"/>
        </w:rPr>
        <w:t>Letter from the Chair</w:t>
      </w:r>
      <w:bookmarkEnd w:id="495"/>
      <w:bookmarkEnd w:id="496"/>
      <w:bookmarkEnd w:id="497"/>
      <w:bookmarkEnd w:id="498"/>
      <w:bookmarkEnd w:id="499"/>
      <w:bookmarkEnd w:id="500"/>
      <w:bookmarkEnd w:id="501"/>
      <w:bookmarkEnd w:id="502"/>
      <w:r w:rsidRPr="002833FF">
        <w:rPr>
          <w:color w:val="15272F" w:themeColor="text1"/>
        </w:rPr>
        <w:t xml:space="preserve"> </w:t>
      </w:r>
    </w:p>
    <w:p w14:paraId="16A301A6" w14:textId="77777777" w:rsidR="00EB0D85" w:rsidRPr="002833FF" w:rsidRDefault="00EB0D85" w:rsidP="00EB0D85">
      <w:pPr>
        <w:rPr>
          <w:rFonts w:cs="Arial"/>
        </w:rPr>
      </w:pPr>
      <w:r w:rsidRPr="002833FF">
        <w:rPr>
          <w:rFonts w:cs="Arial"/>
        </w:rPr>
        <w:t xml:space="preserve">As Deputy Chair, Aged Care Pricing, of the Pricing Authority and Chair of the Aged Care Advisory Committee, I am pleased to present this letter outlining our contributions during 2025–26. </w:t>
      </w:r>
    </w:p>
    <w:p w14:paraId="0682E805" w14:textId="77777777" w:rsidR="00EB0D85" w:rsidRPr="002833FF" w:rsidRDefault="00EB0D85" w:rsidP="00EB0D85">
      <w:pPr>
        <w:rPr>
          <w:rFonts w:cs="Arial"/>
        </w:rPr>
      </w:pPr>
      <w:r w:rsidRPr="002833FF">
        <w:rPr>
          <w:rFonts w:cs="Arial"/>
        </w:rPr>
        <w:t>Throughout the year, the committee continued to provide valuable feedback and advice on aged care pricing and costing matters. Committee members contributed to the Residential Aged Care Pricing Advice 2026–27 as well as costing advice on the Australian National Aged Care Classification funding model.</w:t>
      </w:r>
    </w:p>
    <w:p w14:paraId="670BA975" w14:textId="77777777" w:rsidR="00EB0D85" w:rsidRPr="002833FF" w:rsidRDefault="00EB0D85" w:rsidP="00EB0D85">
      <w:pPr>
        <w:rPr>
          <w:rFonts w:cs="Arial"/>
        </w:rPr>
      </w:pPr>
      <w:r w:rsidRPr="002833FF">
        <w:rPr>
          <w:rFonts w:cs="Arial"/>
        </w:rPr>
        <w:t xml:space="preserve">It was a year of significant changes, with the </w:t>
      </w:r>
      <w:r w:rsidRPr="002833FF">
        <w:rPr>
          <w:rFonts w:cs="Arial"/>
          <w:i/>
          <w:iCs/>
        </w:rPr>
        <w:t>Aged Care Act 2024</w:t>
      </w:r>
      <w:r w:rsidRPr="002833FF">
        <w:rPr>
          <w:rFonts w:cs="Arial"/>
        </w:rPr>
        <w:t xml:space="preserve"> commencing on 1 November 2025. This established the Support at Home program, replacing the Short-Term Restorative Care Programme and the Home Care Packages Program. Committee members provided input into the Support at Home Pricing Advice 2026–27 and costing advice, supporting an evidence-based approach for the new program.</w:t>
      </w:r>
    </w:p>
    <w:p w14:paraId="4570DCB3" w14:textId="77777777" w:rsidR="00EB0D85" w:rsidRPr="002833FF" w:rsidRDefault="00EB0D85" w:rsidP="00EB0D85">
      <w:pPr>
        <w:rPr>
          <w:rFonts w:cs="Arial"/>
        </w:rPr>
      </w:pPr>
      <w:r w:rsidRPr="002833FF">
        <w:rPr>
          <w:rFonts w:cs="Arial"/>
        </w:rPr>
        <w:t xml:space="preserve">This year, we also strengthened engagement with our partners with the establishment of the Aged Care Network. The network is a consultative forum where we seek targeted expert feedback and input into IHACPA’s annual aged care work program. Members include aged care professionals, complementing our existing public consultations while supporting effective communication with the sector. </w:t>
      </w:r>
    </w:p>
    <w:p w14:paraId="15CF87C9" w14:textId="77777777" w:rsidR="00EB0D85" w:rsidRPr="002833FF" w:rsidRDefault="00EB0D85" w:rsidP="00EB0D85">
      <w:pPr>
        <w:rPr>
          <w:lang w:eastAsia="en-AU"/>
        </w:rPr>
      </w:pPr>
      <w:r w:rsidRPr="002833FF">
        <w:rPr>
          <w:rFonts w:cs="Arial"/>
        </w:rPr>
        <w:t xml:space="preserve">In September 2025, the Aged Care Pricing Policy was released. The policy provides transparency and clarity by outlining IHACPA’s principles, processes and approach to developing pricing advice across residential aged care, residential respite care and in-home aged care. </w:t>
      </w:r>
    </w:p>
    <w:p w14:paraId="5598EBCE" w14:textId="77777777" w:rsidR="00EB0D85" w:rsidRPr="002833FF" w:rsidRDefault="00EB0D85" w:rsidP="00EB0D85">
      <w:pPr>
        <w:rPr>
          <w:rFonts w:cs="Arial"/>
        </w:rPr>
      </w:pPr>
      <w:r w:rsidRPr="002833FF">
        <w:rPr>
          <w:rFonts w:cs="Arial"/>
        </w:rPr>
        <w:t>In addition, I acknowledge the valuable feedback provided by committee members on the National Aboriginal and Torres Strait Islander Flexible Aged Care Program and the Multi-Purpose Service Program funding model assessments. These have been delivered to government and will inform development of advice and recommendations on any improvements to future funding models.</w:t>
      </w:r>
    </w:p>
    <w:p w14:paraId="669B2A1B" w14:textId="77777777" w:rsidR="00EB0D85" w:rsidRPr="002833FF" w:rsidRDefault="00EB0D85" w:rsidP="00EB0D85">
      <w:pPr>
        <w:rPr>
          <w:lang w:eastAsia="en-AU"/>
        </w:rPr>
      </w:pPr>
      <w:r w:rsidRPr="002833FF">
        <w:rPr>
          <w:rFonts w:cs="Arial"/>
        </w:rPr>
        <w:t xml:space="preserve">I extend my thanks to my fellow committee members for their high levels of engagement and contributions during our meetings this year. I also wish to acknowledge the expertise and dedication of IHACPA staff, whose efforts have been integral in supporting the committee’s work throughout the year. </w:t>
      </w:r>
    </w:p>
    <w:p w14:paraId="69AB39B4" w14:textId="77777777" w:rsidR="00EB0D85" w:rsidRPr="002833FF" w:rsidRDefault="00EB0D85" w:rsidP="00EB0D85">
      <w:pPr>
        <w:rPr>
          <w:lang w:eastAsia="en-AU"/>
        </w:rPr>
      </w:pPr>
      <w:r w:rsidRPr="002833FF">
        <w:rPr>
          <w:rFonts w:cs="Arial"/>
        </w:rPr>
        <w:t xml:space="preserve">I look forward to the year ahead and to our continued contribution to the Pricing Authority’s aged care advice. </w:t>
      </w:r>
    </w:p>
    <w:p w14:paraId="68D19DCF" w14:textId="77777777" w:rsidR="00EB0D85" w:rsidRPr="002833FF" w:rsidRDefault="00EB0D85" w:rsidP="00EB0D85">
      <w:pPr>
        <w:rPr>
          <w:rFonts w:cs="Arial"/>
        </w:rPr>
      </w:pPr>
    </w:p>
    <w:p w14:paraId="4C9FEBDC" w14:textId="77777777" w:rsidR="00EB0D85" w:rsidRPr="002833FF" w:rsidRDefault="00EB0D85" w:rsidP="00EB0D85">
      <w:pPr>
        <w:rPr>
          <w:rFonts w:cs="Arial"/>
          <w:b/>
          <w:bCs/>
        </w:rPr>
      </w:pPr>
    </w:p>
    <w:p w14:paraId="2E2832B6" w14:textId="77777777" w:rsidR="00EB0D85" w:rsidRPr="002833FF" w:rsidRDefault="00EB0D85" w:rsidP="00EB0D85">
      <w:pPr>
        <w:rPr>
          <w:rFonts w:cs="Arial"/>
        </w:rPr>
      </w:pPr>
      <w:r w:rsidRPr="002833FF">
        <w:rPr>
          <w:rFonts w:cs="Arial"/>
          <w:b/>
          <w:bCs/>
        </w:rPr>
        <w:t xml:space="preserve">Dr Stephen Judd AM </w:t>
      </w:r>
    </w:p>
    <w:p w14:paraId="572E3726" w14:textId="77777777" w:rsidR="00EB0D85" w:rsidRPr="002833FF" w:rsidRDefault="00EB0D85" w:rsidP="00EB0D85">
      <w:pPr>
        <w:spacing w:after="0"/>
      </w:pPr>
      <w:r w:rsidRPr="002833FF">
        <w:t xml:space="preserve">Deputy Chair, Aged Care of the Pricing Authority </w:t>
      </w:r>
    </w:p>
    <w:p w14:paraId="23068E23" w14:textId="77777777" w:rsidR="00EB0D85" w:rsidRPr="002833FF" w:rsidRDefault="00EB0D85" w:rsidP="00EB0D85">
      <w:pPr>
        <w:spacing w:after="0"/>
        <w:sectPr w:rsidR="00EB0D85" w:rsidRPr="002833FF" w:rsidSect="00702F18">
          <w:pgSz w:w="11906" w:h="16838"/>
          <w:pgMar w:top="1440" w:right="1077" w:bottom="1440" w:left="1077" w:header="708" w:footer="708" w:gutter="0"/>
          <w:cols w:space="708"/>
          <w:titlePg/>
          <w:docGrid w:linePitch="360"/>
        </w:sectPr>
      </w:pPr>
      <w:r w:rsidRPr="002833FF">
        <w:t>and Chair of the Aged Care Advisory Committ</w:t>
      </w:r>
      <w:r>
        <w:t>ee</w:t>
      </w:r>
    </w:p>
    <w:p w14:paraId="4D87ACAE" w14:textId="77777777" w:rsidR="00EB0D85" w:rsidRDefault="00EB0D85" w:rsidP="00EB0D85">
      <w:pPr>
        <w:pStyle w:val="Heading2"/>
      </w:pPr>
      <w:bookmarkStart w:id="503" w:name="_Toc233022296"/>
      <w:bookmarkStart w:id="504" w:name="_Toc233023058"/>
      <w:bookmarkStart w:id="505" w:name="_Toc233023393"/>
      <w:bookmarkStart w:id="506" w:name="_Toc233028700"/>
      <w:bookmarkStart w:id="507" w:name="_Toc233028886"/>
      <w:bookmarkStart w:id="508" w:name="_Toc235787441"/>
      <w:bookmarkStart w:id="509" w:name="_Toc235791579"/>
      <w:bookmarkStart w:id="510" w:name="_Toc237872682"/>
      <w:r>
        <w:lastRenderedPageBreak/>
        <w:t>About the Aged Care Advisory Committee</w:t>
      </w:r>
      <w:bookmarkEnd w:id="503"/>
      <w:bookmarkEnd w:id="504"/>
      <w:bookmarkEnd w:id="505"/>
      <w:bookmarkEnd w:id="506"/>
      <w:bookmarkEnd w:id="507"/>
      <w:bookmarkEnd w:id="508"/>
      <w:bookmarkEnd w:id="509"/>
      <w:bookmarkEnd w:id="510"/>
    </w:p>
    <w:p w14:paraId="68F8727D" w14:textId="77777777" w:rsidR="00EB0D85" w:rsidRPr="00FF6587" w:rsidRDefault="00EB0D85" w:rsidP="00EB0D85">
      <w:pPr>
        <w:rPr>
          <w:rFonts w:cs="Arial"/>
        </w:rPr>
      </w:pPr>
      <w:r w:rsidRPr="00FF6587">
        <w:rPr>
          <w:rFonts w:cs="Arial"/>
        </w:rPr>
        <w:t xml:space="preserve">The Aged Care Advisory Committee (ACAC) is a statutory committee established under section 204A of the NHR Act. </w:t>
      </w:r>
      <w:r>
        <w:rPr>
          <w:rFonts w:cs="Arial"/>
        </w:rPr>
        <w:t>Under section</w:t>
      </w:r>
      <w:r w:rsidRPr="00FF6587">
        <w:rPr>
          <w:rFonts w:cs="Arial"/>
        </w:rPr>
        <w:t xml:space="preserve"> 204B</w:t>
      </w:r>
      <w:r>
        <w:rPr>
          <w:rFonts w:cs="Arial"/>
        </w:rPr>
        <w:t xml:space="preserve">, the </w:t>
      </w:r>
      <w:r w:rsidRPr="00FF6587">
        <w:rPr>
          <w:rFonts w:cs="Arial"/>
        </w:rPr>
        <w:t xml:space="preserve">committee’s functions </w:t>
      </w:r>
      <w:r>
        <w:rPr>
          <w:rFonts w:cs="Arial"/>
        </w:rPr>
        <w:t>are to</w:t>
      </w:r>
      <w:r w:rsidRPr="00FF6587">
        <w:rPr>
          <w:rFonts w:cs="Arial"/>
        </w:rPr>
        <w:t>:</w:t>
      </w:r>
    </w:p>
    <w:p w14:paraId="1E4D191A" w14:textId="77777777" w:rsidR="00EB0D85" w:rsidRPr="00FF6587" w:rsidRDefault="00EB0D85" w:rsidP="00EB0D85">
      <w:pPr>
        <w:pStyle w:val="ListLevel1"/>
      </w:pPr>
      <w:r w:rsidRPr="00FF6587">
        <w:t>advise the Pricing Authority in relation to the development of aged care pricing or costing advice</w:t>
      </w:r>
    </w:p>
    <w:p w14:paraId="0EC8BF4F" w14:textId="77777777" w:rsidR="00EB0D85" w:rsidRPr="00AF2B8A" w:rsidRDefault="00EB0D85" w:rsidP="00EB0D85">
      <w:pPr>
        <w:pStyle w:val="ListLevel1"/>
      </w:pPr>
      <w:r w:rsidRPr="00FF6587">
        <w:t>advise the Pricing Authority on matters that relate to the functions of the Pricing Authority</w:t>
      </w:r>
      <w:r>
        <w:t>,</w:t>
      </w:r>
      <w:r w:rsidRPr="00FF6587">
        <w:t xml:space="preserve"> or </w:t>
      </w:r>
      <w:r w:rsidRPr="00AF2B8A">
        <w:t>are referred to the ACAC by the Pricing Authority</w:t>
      </w:r>
    </w:p>
    <w:p w14:paraId="465FEA67" w14:textId="77777777" w:rsidR="00EB0D85" w:rsidRPr="00AF2B8A" w:rsidRDefault="00EB0D85" w:rsidP="00EB0D85">
      <w:pPr>
        <w:pStyle w:val="ListLevel1"/>
      </w:pPr>
      <w:r w:rsidRPr="00AF2B8A">
        <w:t>do anything incidental to, or conducive to, the performance of the above functions.</w:t>
      </w:r>
    </w:p>
    <w:p w14:paraId="68B04DCD" w14:textId="77777777" w:rsidR="00EB0D85" w:rsidRPr="00AF2B8A" w:rsidRDefault="00EB0D85" w:rsidP="00EB0D85">
      <w:pPr>
        <w:rPr>
          <w:rFonts w:cs="Arial"/>
        </w:rPr>
      </w:pPr>
      <w:r w:rsidRPr="00AF2B8A">
        <w:rPr>
          <w:rFonts w:cs="Arial"/>
        </w:rPr>
        <w:t>ACAC informs the Pricing Authority</w:t>
      </w:r>
      <w:r>
        <w:rPr>
          <w:rFonts w:cs="Arial"/>
        </w:rPr>
        <w:t>’s</w:t>
      </w:r>
      <w:r w:rsidRPr="00AF2B8A">
        <w:rPr>
          <w:rFonts w:cs="Arial"/>
        </w:rPr>
        <w:t xml:space="preserve"> decision making on the relevant factors associated with the delivery of care and services in residential aged care, residential respite care and in-home aged care. The committee also provides advice on the inputs to the development of pricing advice. </w:t>
      </w:r>
    </w:p>
    <w:p w14:paraId="4EA5B040" w14:textId="77777777" w:rsidR="00EB0D85" w:rsidRPr="00195818" w:rsidRDefault="00EB0D85" w:rsidP="00EB0D85">
      <w:pPr>
        <w:rPr>
          <w:rFonts w:cs="Arial"/>
        </w:rPr>
      </w:pPr>
      <w:r w:rsidRPr="00195818">
        <w:t xml:space="preserve">As at 30 June 2026, ACAC consisted of </w:t>
      </w:r>
      <w:r>
        <w:t>7</w:t>
      </w:r>
      <w:r w:rsidRPr="00195818">
        <w:t xml:space="preserve"> members.</w:t>
      </w:r>
      <w:r w:rsidRPr="00195818">
        <w:rPr>
          <w:rFonts w:cs="Arial"/>
        </w:rPr>
        <w:t xml:space="preserve"> Details of the committee’s membership and meetings are shown in </w:t>
      </w:r>
      <w:r w:rsidRPr="006D0362">
        <w:rPr>
          <w:b/>
        </w:rPr>
        <w:t>T</w:t>
      </w:r>
      <w:r w:rsidRPr="006D0362">
        <w:rPr>
          <w:rFonts w:cs="Arial"/>
          <w:b/>
        </w:rPr>
        <w:t>able 5</w:t>
      </w:r>
      <w:r w:rsidRPr="00FF3BF0">
        <w:t>.</w:t>
      </w:r>
    </w:p>
    <w:p w14:paraId="45676DFA" w14:textId="77777777" w:rsidR="00EB0D85" w:rsidRPr="00195818" w:rsidRDefault="00EB0D85" w:rsidP="00EB0D85">
      <w:pPr>
        <w:rPr>
          <w:rFonts w:cs="Arial"/>
        </w:rPr>
      </w:pPr>
      <w:r w:rsidRPr="00195818">
        <w:rPr>
          <w:rFonts w:cs="Arial"/>
        </w:rPr>
        <w:t xml:space="preserve">ACAC is required to report on its work annually. </w:t>
      </w:r>
    </w:p>
    <w:p w14:paraId="2BF2EAC9" w14:textId="77777777" w:rsidR="00EB0D85" w:rsidRPr="00195818" w:rsidRDefault="00EB0D85" w:rsidP="00EB0D85">
      <w:pPr>
        <w:rPr>
          <w:rFonts w:cs="Arial"/>
          <w:b/>
          <w:bCs/>
        </w:rPr>
      </w:pPr>
      <w:r w:rsidRPr="00195818">
        <w:rPr>
          <w:rFonts w:cs="Arial"/>
          <w:b/>
          <w:bCs/>
        </w:rPr>
        <w:t xml:space="preserve">Membership </w:t>
      </w:r>
    </w:p>
    <w:p w14:paraId="2125E821" w14:textId="77777777" w:rsidR="00EB0D85" w:rsidRPr="00195818" w:rsidRDefault="00EB0D85" w:rsidP="00EB0D85">
      <w:pPr>
        <w:rPr>
          <w:rFonts w:cs="Arial"/>
        </w:rPr>
      </w:pPr>
      <w:r w:rsidRPr="00195818">
        <w:rPr>
          <w:rFonts w:cs="Arial"/>
        </w:rPr>
        <w:t>ACAC members are appointed by the Minister for Health and Ageing. Members are from a range of specialties and backgrounds</w:t>
      </w:r>
      <w:r>
        <w:rPr>
          <w:rFonts w:cs="Arial"/>
        </w:rPr>
        <w:t>,</w:t>
      </w:r>
      <w:r w:rsidRPr="00195818">
        <w:rPr>
          <w:rFonts w:cs="Arial"/>
        </w:rPr>
        <w:t xml:space="preserve"> to ensure the committee represents a wide range of aged care expertise. </w:t>
      </w:r>
    </w:p>
    <w:p w14:paraId="4646FBED" w14:textId="77777777" w:rsidR="00EB0D85" w:rsidRPr="00195818" w:rsidRDefault="00EB0D85" w:rsidP="00EB0D85">
      <w:pPr>
        <w:pStyle w:val="TableFigureheading"/>
        <w:rPr>
          <w:b/>
          <w:bCs/>
          <w:color w:val="15272F" w:themeColor="text1"/>
        </w:rPr>
      </w:pPr>
      <w:bookmarkStart w:id="511" w:name="_Toc233023525"/>
      <w:bookmarkStart w:id="512" w:name="_Toc233028701"/>
      <w:r w:rsidRPr="00195818">
        <w:rPr>
          <w:b/>
          <w:bCs/>
          <w:color w:val="15272F" w:themeColor="text1"/>
        </w:rPr>
        <w:t>Table 5</w:t>
      </w:r>
      <w:r>
        <w:rPr>
          <w:b/>
          <w:bCs/>
          <w:color w:val="15272F" w:themeColor="text1"/>
        </w:rPr>
        <w:t>:</w:t>
      </w:r>
      <w:r w:rsidRPr="00195818">
        <w:rPr>
          <w:b/>
          <w:bCs/>
          <w:color w:val="15272F" w:themeColor="text1"/>
        </w:rPr>
        <w:t xml:space="preserve"> Membership and meetings of the Aged Care Advisory Committee in 2025–26</w:t>
      </w:r>
      <w:bookmarkEnd w:id="511"/>
      <w:bookmarkEnd w:id="512"/>
      <w:r w:rsidRPr="00195818">
        <w:rPr>
          <w:b/>
          <w:bCs/>
          <w:color w:val="15272F" w:themeColor="text1"/>
        </w:rPr>
        <w:t xml:space="preserve"> </w:t>
      </w:r>
    </w:p>
    <w:tbl>
      <w:tblPr>
        <w:tblStyle w:val="IHACPATable"/>
        <w:tblW w:w="9915" w:type="dxa"/>
        <w:tblLook w:val="04A0" w:firstRow="1" w:lastRow="0" w:firstColumn="1" w:lastColumn="0" w:noHBand="0" w:noVBand="1"/>
      </w:tblPr>
      <w:tblGrid>
        <w:gridCol w:w="3176"/>
        <w:gridCol w:w="1781"/>
        <w:gridCol w:w="2479"/>
        <w:gridCol w:w="2479"/>
      </w:tblGrid>
      <w:tr w:rsidR="00EB0D85" w:rsidRPr="00F16442" w14:paraId="3663B81F" w14:textId="77777777" w:rsidTr="00ED2732">
        <w:trPr>
          <w:cnfStyle w:val="100000000000" w:firstRow="1" w:lastRow="0" w:firstColumn="0" w:lastColumn="0" w:oddVBand="0" w:evenVBand="0" w:oddHBand="0"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3176" w:type="dxa"/>
          </w:tcPr>
          <w:p w14:paraId="2C3B86F2" w14:textId="77777777" w:rsidR="00EB0D85" w:rsidRPr="00F16442" w:rsidRDefault="00EB0D85" w:rsidP="00ED2732">
            <w:pPr>
              <w:rPr>
                <w:b/>
                <w:bCs/>
                <w:color w:val="FFFFFF" w:themeColor="background2"/>
                <w:sz w:val="18"/>
                <w:szCs w:val="18"/>
              </w:rPr>
            </w:pPr>
            <w:r w:rsidRPr="00F16442">
              <w:rPr>
                <w:b/>
                <w:bCs/>
                <w:color w:val="FFFFFF" w:themeColor="background2"/>
                <w:sz w:val="18"/>
                <w:szCs w:val="18"/>
              </w:rPr>
              <w:t>Name</w:t>
            </w:r>
          </w:p>
        </w:tc>
        <w:tc>
          <w:tcPr>
            <w:tcW w:w="1781" w:type="dxa"/>
          </w:tcPr>
          <w:p w14:paraId="02B4AF36" w14:textId="77777777" w:rsidR="00EB0D85" w:rsidRPr="00F16442" w:rsidRDefault="00EB0D85" w:rsidP="00ED2732">
            <w:pPr>
              <w:cnfStyle w:val="100000000000" w:firstRow="1" w:lastRow="0" w:firstColumn="0" w:lastColumn="0" w:oddVBand="0" w:evenVBand="0" w:oddHBand="0" w:evenHBand="0" w:firstRowFirstColumn="0" w:firstRowLastColumn="0" w:lastRowFirstColumn="0" w:lastRowLastColumn="0"/>
              <w:rPr>
                <w:b/>
                <w:bCs/>
                <w:color w:val="FFFFFF" w:themeColor="background2"/>
                <w:szCs w:val="18"/>
              </w:rPr>
            </w:pPr>
            <w:r w:rsidRPr="00F16442">
              <w:rPr>
                <w:b/>
                <w:bCs/>
                <w:color w:val="FFFFFF" w:themeColor="background2"/>
                <w:szCs w:val="18"/>
              </w:rPr>
              <w:t>Position</w:t>
            </w:r>
          </w:p>
        </w:tc>
        <w:tc>
          <w:tcPr>
            <w:tcW w:w="2479" w:type="dxa"/>
          </w:tcPr>
          <w:p w14:paraId="68B24E0E" w14:textId="77777777" w:rsidR="00EB0D85" w:rsidRPr="00F16442" w:rsidRDefault="00EB0D85" w:rsidP="00ED2732">
            <w:pPr>
              <w:cnfStyle w:val="100000000000" w:firstRow="1" w:lastRow="0" w:firstColumn="0" w:lastColumn="0" w:oddVBand="0" w:evenVBand="0" w:oddHBand="0" w:evenHBand="0" w:firstRowFirstColumn="0" w:firstRowLastColumn="0" w:lastRowFirstColumn="0" w:lastRowLastColumn="0"/>
              <w:rPr>
                <w:b/>
                <w:bCs/>
                <w:color w:val="FFFFFF" w:themeColor="background2"/>
                <w:szCs w:val="18"/>
              </w:rPr>
            </w:pPr>
            <w:r w:rsidRPr="00F16442">
              <w:rPr>
                <w:b/>
                <w:bCs/>
                <w:color w:val="FFFFFF" w:themeColor="background2"/>
                <w:szCs w:val="18"/>
              </w:rPr>
              <w:t>Meetings eligible</w:t>
            </w:r>
          </w:p>
        </w:tc>
        <w:tc>
          <w:tcPr>
            <w:tcW w:w="2479" w:type="dxa"/>
          </w:tcPr>
          <w:p w14:paraId="1B696C12" w14:textId="77777777" w:rsidR="00EB0D85" w:rsidRPr="00F16442" w:rsidRDefault="00EB0D85" w:rsidP="00ED2732">
            <w:pPr>
              <w:cnfStyle w:val="100000000000" w:firstRow="1" w:lastRow="0" w:firstColumn="0" w:lastColumn="0" w:oddVBand="0" w:evenVBand="0" w:oddHBand="0" w:evenHBand="0" w:firstRowFirstColumn="0" w:firstRowLastColumn="0" w:lastRowFirstColumn="0" w:lastRowLastColumn="0"/>
              <w:rPr>
                <w:b/>
                <w:bCs/>
                <w:color w:val="FFFFFF" w:themeColor="background2"/>
                <w:szCs w:val="18"/>
              </w:rPr>
            </w:pPr>
            <w:r w:rsidRPr="00F16442">
              <w:rPr>
                <w:b/>
                <w:bCs/>
                <w:color w:val="FFFFFF" w:themeColor="background2"/>
                <w:szCs w:val="18"/>
              </w:rPr>
              <w:t>Meetings attended</w:t>
            </w:r>
          </w:p>
        </w:tc>
      </w:tr>
      <w:tr w:rsidR="00EB0D85" w:rsidRPr="00195818" w14:paraId="7322FC1B" w14:textId="77777777" w:rsidTr="00ED273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176" w:type="dxa"/>
          </w:tcPr>
          <w:p w14:paraId="2A9B3EFA" w14:textId="77777777" w:rsidR="00EB0D85" w:rsidRPr="00195818" w:rsidRDefault="00EB0D85" w:rsidP="00ED2732">
            <w:pPr>
              <w:rPr>
                <w:sz w:val="18"/>
                <w:szCs w:val="18"/>
              </w:rPr>
            </w:pPr>
            <w:r w:rsidRPr="00195818">
              <w:rPr>
                <w:sz w:val="18"/>
                <w:szCs w:val="18"/>
              </w:rPr>
              <w:t xml:space="preserve">Dr Stephen Judd </w:t>
            </w:r>
          </w:p>
        </w:tc>
        <w:tc>
          <w:tcPr>
            <w:tcW w:w="1781" w:type="dxa"/>
          </w:tcPr>
          <w:p w14:paraId="20CBBBC3"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sidRPr="00195818">
              <w:rPr>
                <w:szCs w:val="18"/>
              </w:rPr>
              <w:t xml:space="preserve">Chair </w:t>
            </w:r>
          </w:p>
        </w:tc>
        <w:tc>
          <w:tcPr>
            <w:tcW w:w="2479" w:type="dxa"/>
          </w:tcPr>
          <w:p w14:paraId="42EEF17F"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pPr>
            <w:r w:rsidRPr="004E226D">
              <w:t>3</w:t>
            </w:r>
          </w:p>
        </w:tc>
        <w:tc>
          <w:tcPr>
            <w:tcW w:w="2479" w:type="dxa"/>
          </w:tcPr>
          <w:p w14:paraId="63B35DD1"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pPr>
            <w:r w:rsidRPr="004E226D">
              <w:t>2</w:t>
            </w:r>
          </w:p>
        </w:tc>
      </w:tr>
      <w:tr w:rsidR="00EB0D85" w:rsidRPr="00195818" w14:paraId="78D61B49" w14:textId="77777777" w:rsidTr="00ED2732">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176" w:type="dxa"/>
          </w:tcPr>
          <w:p w14:paraId="202E8834" w14:textId="77777777" w:rsidR="00EB0D85" w:rsidRPr="00195818" w:rsidRDefault="00EB0D85" w:rsidP="00ED2732">
            <w:pPr>
              <w:rPr>
                <w:sz w:val="18"/>
                <w:szCs w:val="18"/>
              </w:rPr>
            </w:pPr>
            <w:r w:rsidRPr="00195818">
              <w:rPr>
                <w:sz w:val="18"/>
                <w:szCs w:val="18"/>
              </w:rPr>
              <w:t>Ms Rowan Cockerell</w:t>
            </w:r>
          </w:p>
        </w:tc>
        <w:tc>
          <w:tcPr>
            <w:tcW w:w="1781" w:type="dxa"/>
          </w:tcPr>
          <w:p w14:paraId="342BF80D"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szCs w:val="18"/>
              </w:rPr>
            </w:pPr>
            <w:r w:rsidRPr="00195818">
              <w:rPr>
                <w:szCs w:val="18"/>
              </w:rPr>
              <w:t xml:space="preserve">Member </w:t>
            </w:r>
          </w:p>
        </w:tc>
        <w:tc>
          <w:tcPr>
            <w:tcW w:w="2479" w:type="dxa"/>
          </w:tcPr>
          <w:p w14:paraId="15D7D74D"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pPr>
            <w:r w:rsidRPr="004E226D">
              <w:t>3</w:t>
            </w:r>
          </w:p>
        </w:tc>
        <w:tc>
          <w:tcPr>
            <w:tcW w:w="2479" w:type="dxa"/>
          </w:tcPr>
          <w:p w14:paraId="146B70E1"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pPr>
            <w:r w:rsidRPr="004E226D">
              <w:t>3</w:t>
            </w:r>
          </w:p>
        </w:tc>
      </w:tr>
      <w:tr w:rsidR="00EB0D85" w:rsidRPr="00195818" w14:paraId="39A41E1C" w14:textId="77777777" w:rsidTr="00ED273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176" w:type="dxa"/>
          </w:tcPr>
          <w:p w14:paraId="48E1BE86" w14:textId="77777777" w:rsidR="00EB0D85" w:rsidRPr="00195818" w:rsidRDefault="00EB0D85" w:rsidP="00ED2732">
            <w:pPr>
              <w:rPr>
                <w:sz w:val="18"/>
                <w:szCs w:val="18"/>
              </w:rPr>
            </w:pPr>
            <w:r w:rsidRPr="00195818">
              <w:rPr>
                <w:sz w:val="18"/>
                <w:szCs w:val="18"/>
              </w:rPr>
              <w:t>Professor Maria Inacio</w:t>
            </w:r>
          </w:p>
        </w:tc>
        <w:tc>
          <w:tcPr>
            <w:tcW w:w="1781" w:type="dxa"/>
          </w:tcPr>
          <w:p w14:paraId="1756F007"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sidRPr="00195818">
              <w:rPr>
                <w:szCs w:val="18"/>
              </w:rPr>
              <w:t>Member</w:t>
            </w:r>
          </w:p>
        </w:tc>
        <w:tc>
          <w:tcPr>
            <w:tcW w:w="2479" w:type="dxa"/>
          </w:tcPr>
          <w:p w14:paraId="7D42EBBF"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pPr>
            <w:r w:rsidRPr="004E226D">
              <w:t>3</w:t>
            </w:r>
          </w:p>
        </w:tc>
        <w:tc>
          <w:tcPr>
            <w:tcW w:w="2479" w:type="dxa"/>
          </w:tcPr>
          <w:p w14:paraId="0B5AE8DD"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pPr>
            <w:r w:rsidRPr="004E226D">
              <w:t>3</w:t>
            </w:r>
          </w:p>
        </w:tc>
      </w:tr>
      <w:tr w:rsidR="00EB0D85" w:rsidRPr="00195818" w14:paraId="29E82B1B" w14:textId="77777777" w:rsidTr="00ED2732">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176" w:type="dxa"/>
          </w:tcPr>
          <w:p w14:paraId="6823D802" w14:textId="77777777" w:rsidR="00EB0D85" w:rsidRPr="00195818" w:rsidRDefault="00EB0D85" w:rsidP="00ED2732">
            <w:pPr>
              <w:rPr>
                <w:sz w:val="18"/>
                <w:szCs w:val="18"/>
              </w:rPr>
            </w:pPr>
            <w:r w:rsidRPr="00195818">
              <w:rPr>
                <w:sz w:val="18"/>
                <w:szCs w:val="18"/>
              </w:rPr>
              <w:t>Dr Martin Laverty</w:t>
            </w:r>
          </w:p>
        </w:tc>
        <w:tc>
          <w:tcPr>
            <w:tcW w:w="1781" w:type="dxa"/>
          </w:tcPr>
          <w:p w14:paraId="4222BBA3"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szCs w:val="18"/>
              </w:rPr>
            </w:pPr>
            <w:r w:rsidRPr="00195818">
              <w:rPr>
                <w:szCs w:val="18"/>
              </w:rPr>
              <w:t>Member</w:t>
            </w:r>
          </w:p>
        </w:tc>
        <w:tc>
          <w:tcPr>
            <w:tcW w:w="2479" w:type="dxa"/>
          </w:tcPr>
          <w:p w14:paraId="4985402B"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pPr>
            <w:r w:rsidRPr="004E226D">
              <w:t>3</w:t>
            </w:r>
          </w:p>
        </w:tc>
        <w:tc>
          <w:tcPr>
            <w:tcW w:w="2479" w:type="dxa"/>
          </w:tcPr>
          <w:p w14:paraId="17FB974D"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pPr>
            <w:r w:rsidRPr="004E226D">
              <w:t>2</w:t>
            </w:r>
          </w:p>
        </w:tc>
      </w:tr>
      <w:tr w:rsidR="00EB0D85" w:rsidRPr="00195818" w14:paraId="57D01F2C" w14:textId="77777777" w:rsidTr="00ED2732">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3176" w:type="dxa"/>
          </w:tcPr>
          <w:p w14:paraId="4ACA853F" w14:textId="77777777" w:rsidR="00EB0D85" w:rsidRPr="00195818" w:rsidRDefault="00EB0D85" w:rsidP="00ED2732">
            <w:pPr>
              <w:rPr>
                <w:sz w:val="18"/>
                <w:szCs w:val="18"/>
              </w:rPr>
            </w:pPr>
            <w:r w:rsidRPr="00195818">
              <w:rPr>
                <w:sz w:val="18"/>
                <w:szCs w:val="18"/>
              </w:rPr>
              <w:t>Mr Nicolas Mersiades</w:t>
            </w:r>
          </w:p>
        </w:tc>
        <w:tc>
          <w:tcPr>
            <w:tcW w:w="1781" w:type="dxa"/>
          </w:tcPr>
          <w:p w14:paraId="5666A4F1"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sidRPr="00195818">
              <w:rPr>
                <w:szCs w:val="18"/>
              </w:rPr>
              <w:t>Member</w:t>
            </w:r>
          </w:p>
        </w:tc>
        <w:tc>
          <w:tcPr>
            <w:tcW w:w="2479" w:type="dxa"/>
          </w:tcPr>
          <w:p w14:paraId="3AD29056"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pPr>
            <w:r w:rsidRPr="004E226D">
              <w:t>3</w:t>
            </w:r>
          </w:p>
        </w:tc>
        <w:tc>
          <w:tcPr>
            <w:tcW w:w="2479" w:type="dxa"/>
          </w:tcPr>
          <w:p w14:paraId="3AF80477"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pPr>
            <w:r w:rsidRPr="004E226D">
              <w:t>2</w:t>
            </w:r>
          </w:p>
        </w:tc>
      </w:tr>
      <w:tr w:rsidR="00EB0D85" w:rsidRPr="00195818" w14:paraId="36440D89" w14:textId="77777777" w:rsidTr="00ED2732">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176" w:type="dxa"/>
          </w:tcPr>
          <w:p w14:paraId="6648C1EF" w14:textId="77777777" w:rsidR="00EB0D85" w:rsidRPr="00195818" w:rsidRDefault="00EB0D85" w:rsidP="00ED2732">
            <w:pPr>
              <w:rPr>
                <w:sz w:val="18"/>
                <w:szCs w:val="18"/>
              </w:rPr>
            </w:pPr>
            <w:r w:rsidRPr="00195818">
              <w:rPr>
                <w:sz w:val="18"/>
                <w:szCs w:val="18"/>
              </w:rPr>
              <w:t>Professor Julie Ratcliffe</w:t>
            </w:r>
          </w:p>
        </w:tc>
        <w:tc>
          <w:tcPr>
            <w:tcW w:w="1781" w:type="dxa"/>
          </w:tcPr>
          <w:p w14:paraId="1044DDB2" w14:textId="77777777" w:rsidR="00EB0D85" w:rsidRPr="00195818" w:rsidRDefault="00EB0D85" w:rsidP="00ED2732">
            <w:pPr>
              <w:cnfStyle w:val="000000010000" w:firstRow="0" w:lastRow="0" w:firstColumn="0" w:lastColumn="0" w:oddVBand="0" w:evenVBand="0" w:oddHBand="0" w:evenHBand="1" w:firstRowFirstColumn="0" w:firstRowLastColumn="0" w:lastRowFirstColumn="0" w:lastRowLastColumn="0"/>
              <w:rPr>
                <w:szCs w:val="18"/>
              </w:rPr>
            </w:pPr>
            <w:r w:rsidRPr="00195818">
              <w:rPr>
                <w:szCs w:val="18"/>
              </w:rPr>
              <w:t xml:space="preserve">Member </w:t>
            </w:r>
          </w:p>
        </w:tc>
        <w:tc>
          <w:tcPr>
            <w:tcW w:w="2479" w:type="dxa"/>
          </w:tcPr>
          <w:p w14:paraId="3CF9B069"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pPr>
            <w:r w:rsidRPr="004E226D">
              <w:t>3</w:t>
            </w:r>
          </w:p>
        </w:tc>
        <w:tc>
          <w:tcPr>
            <w:tcW w:w="2479" w:type="dxa"/>
          </w:tcPr>
          <w:p w14:paraId="51F16F34" w14:textId="77777777" w:rsidR="00EB0D85" w:rsidRPr="004E226D" w:rsidRDefault="00EB0D85" w:rsidP="00ED2732">
            <w:pPr>
              <w:cnfStyle w:val="000000010000" w:firstRow="0" w:lastRow="0" w:firstColumn="0" w:lastColumn="0" w:oddVBand="0" w:evenVBand="0" w:oddHBand="0" w:evenHBand="1" w:firstRowFirstColumn="0" w:firstRowLastColumn="0" w:lastRowFirstColumn="0" w:lastRowLastColumn="0"/>
            </w:pPr>
            <w:r w:rsidRPr="004E226D">
              <w:t>2</w:t>
            </w:r>
          </w:p>
        </w:tc>
      </w:tr>
      <w:tr w:rsidR="00EB0D85" w:rsidRPr="00195818" w14:paraId="2C908EC6" w14:textId="77777777" w:rsidTr="00ED273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3176" w:type="dxa"/>
          </w:tcPr>
          <w:p w14:paraId="6BC80CF8" w14:textId="77777777" w:rsidR="00EB0D85" w:rsidRPr="00195818" w:rsidRDefault="00EB0D85" w:rsidP="00ED2732">
            <w:pPr>
              <w:rPr>
                <w:sz w:val="18"/>
                <w:szCs w:val="18"/>
              </w:rPr>
            </w:pPr>
            <w:r w:rsidRPr="00195818">
              <w:rPr>
                <w:sz w:val="18"/>
                <w:szCs w:val="18"/>
              </w:rPr>
              <w:t xml:space="preserve">Professor Michael Woods </w:t>
            </w:r>
          </w:p>
        </w:tc>
        <w:tc>
          <w:tcPr>
            <w:tcW w:w="1781" w:type="dxa"/>
          </w:tcPr>
          <w:p w14:paraId="74A67BE1" w14:textId="77777777" w:rsidR="00EB0D85" w:rsidRPr="00195818" w:rsidRDefault="00EB0D85" w:rsidP="00ED2732">
            <w:pPr>
              <w:cnfStyle w:val="000000100000" w:firstRow="0" w:lastRow="0" w:firstColumn="0" w:lastColumn="0" w:oddVBand="0" w:evenVBand="0" w:oddHBand="1" w:evenHBand="0" w:firstRowFirstColumn="0" w:firstRowLastColumn="0" w:lastRowFirstColumn="0" w:lastRowLastColumn="0"/>
              <w:rPr>
                <w:szCs w:val="18"/>
              </w:rPr>
            </w:pPr>
            <w:r w:rsidRPr="00195818">
              <w:rPr>
                <w:szCs w:val="18"/>
              </w:rPr>
              <w:t xml:space="preserve">Member </w:t>
            </w:r>
          </w:p>
        </w:tc>
        <w:tc>
          <w:tcPr>
            <w:tcW w:w="2479" w:type="dxa"/>
          </w:tcPr>
          <w:p w14:paraId="31EB5542"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pPr>
            <w:r w:rsidRPr="004E226D">
              <w:t>3</w:t>
            </w:r>
          </w:p>
        </w:tc>
        <w:tc>
          <w:tcPr>
            <w:tcW w:w="2479" w:type="dxa"/>
          </w:tcPr>
          <w:p w14:paraId="2C329BD2" w14:textId="77777777" w:rsidR="00EB0D85" w:rsidRPr="004E226D" w:rsidRDefault="00EB0D85" w:rsidP="00ED2732">
            <w:pPr>
              <w:cnfStyle w:val="000000100000" w:firstRow="0" w:lastRow="0" w:firstColumn="0" w:lastColumn="0" w:oddVBand="0" w:evenVBand="0" w:oddHBand="1" w:evenHBand="0" w:firstRowFirstColumn="0" w:firstRowLastColumn="0" w:lastRowFirstColumn="0" w:lastRowLastColumn="0"/>
            </w:pPr>
            <w:r w:rsidRPr="004E226D">
              <w:t>3</w:t>
            </w:r>
          </w:p>
        </w:tc>
      </w:tr>
    </w:tbl>
    <w:p w14:paraId="40C20058" w14:textId="77777777" w:rsidR="00EB0D85" w:rsidRDefault="00EB0D85" w:rsidP="00EB0D85"/>
    <w:tbl>
      <w:tblPr>
        <w:tblStyle w:val="IHACPATable"/>
        <w:tblW w:w="10265" w:type="dxa"/>
        <w:tblLook w:val="04A0" w:firstRow="1" w:lastRow="0" w:firstColumn="1" w:lastColumn="0" w:noHBand="0" w:noVBand="1"/>
      </w:tblPr>
      <w:tblGrid>
        <w:gridCol w:w="10265"/>
      </w:tblGrid>
      <w:tr w:rsidR="00EB0D85" w14:paraId="650C6791" w14:textId="77777777" w:rsidTr="00ED2732">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0265" w:type="dxa"/>
          </w:tcPr>
          <w:p w14:paraId="6D941592" w14:textId="77777777" w:rsidR="00EB0D85" w:rsidRPr="00BE6968" w:rsidRDefault="00EB0D85" w:rsidP="00ED2732">
            <w:pPr>
              <w:rPr>
                <w:b/>
                <w:bCs/>
                <w:color w:val="auto"/>
                <w:sz w:val="18"/>
                <w:szCs w:val="18"/>
              </w:rPr>
            </w:pPr>
            <w:r w:rsidRPr="00BE6968">
              <w:rPr>
                <w:b/>
                <w:bCs/>
                <w:color w:val="FFFFFF" w:themeColor="background2"/>
                <w:sz w:val="18"/>
                <w:szCs w:val="18"/>
              </w:rPr>
              <w:t>Aged Care Advisory Committee meetings 2025–26</w:t>
            </w:r>
          </w:p>
        </w:tc>
      </w:tr>
      <w:tr w:rsidR="00EB0D85" w14:paraId="71283458" w14:textId="77777777" w:rsidTr="00ED2732">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0265" w:type="dxa"/>
          </w:tcPr>
          <w:p w14:paraId="27EE0450" w14:textId="77777777" w:rsidR="00EB0D85" w:rsidRPr="00195818" w:rsidRDefault="00EB0D85" w:rsidP="00ED2732">
            <w:pPr>
              <w:rPr>
                <w:sz w:val="18"/>
                <w:szCs w:val="18"/>
              </w:rPr>
            </w:pPr>
            <w:r w:rsidRPr="00195818">
              <w:rPr>
                <w:sz w:val="18"/>
                <w:szCs w:val="18"/>
              </w:rPr>
              <w:t>4 August 2025</w:t>
            </w:r>
          </w:p>
        </w:tc>
      </w:tr>
      <w:tr w:rsidR="00EB0D85" w14:paraId="2A52663B" w14:textId="77777777" w:rsidTr="00ED2732">
        <w:trPr>
          <w:cnfStyle w:val="000000010000" w:firstRow="0" w:lastRow="0" w:firstColumn="0" w:lastColumn="0" w:oddVBand="0" w:evenVBand="0" w:oddHBand="0" w:evenHBand="1"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0265" w:type="dxa"/>
          </w:tcPr>
          <w:p w14:paraId="2E6D1885" w14:textId="77777777" w:rsidR="00EB0D85" w:rsidRPr="00195818" w:rsidRDefault="00EB0D85" w:rsidP="00ED2732">
            <w:pPr>
              <w:rPr>
                <w:sz w:val="18"/>
                <w:szCs w:val="18"/>
              </w:rPr>
            </w:pPr>
            <w:r w:rsidRPr="00195818">
              <w:rPr>
                <w:sz w:val="18"/>
                <w:szCs w:val="18"/>
              </w:rPr>
              <w:t>11 November 2025</w:t>
            </w:r>
          </w:p>
        </w:tc>
      </w:tr>
      <w:tr w:rsidR="00EB0D85" w14:paraId="53E5961C" w14:textId="77777777" w:rsidTr="00ED2732">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0265" w:type="dxa"/>
          </w:tcPr>
          <w:p w14:paraId="3628BCF3" w14:textId="77777777" w:rsidR="00EB0D85" w:rsidRPr="00195818" w:rsidRDefault="00EB0D85" w:rsidP="00ED2732">
            <w:pPr>
              <w:rPr>
                <w:sz w:val="18"/>
                <w:szCs w:val="18"/>
              </w:rPr>
            </w:pPr>
            <w:r w:rsidRPr="00195818">
              <w:rPr>
                <w:sz w:val="18"/>
                <w:szCs w:val="18"/>
              </w:rPr>
              <w:t xml:space="preserve">13 May 2026 </w:t>
            </w:r>
          </w:p>
        </w:tc>
      </w:tr>
    </w:tbl>
    <w:p w14:paraId="29BC963A" w14:textId="77777777" w:rsidR="00EB0D85" w:rsidRDefault="00EB0D85" w:rsidP="00EB0D85">
      <w:pPr>
        <w:pStyle w:val="Heading1"/>
      </w:pPr>
      <w:bookmarkStart w:id="513" w:name="_Toc233022297"/>
      <w:bookmarkStart w:id="514" w:name="_Toc233023059"/>
      <w:bookmarkStart w:id="515" w:name="_Toc233023394"/>
      <w:bookmarkStart w:id="516" w:name="_Toc233028702"/>
      <w:bookmarkStart w:id="517" w:name="_Toc233028887"/>
      <w:bookmarkStart w:id="518" w:name="_Toc235787442"/>
      <w:bookmarkStart w:id="519" w:name="_Toc235791580"/>
      <w:bookmarkStart w:id="520" w:name="_Toc237872683"/>
      <w:r>
        <w:lastRenderedPageBreak/>
        <w:t>3.5</w:t>
      </w:r>
      <w:r>
        <w:tab/>
        <w:t>Key corporate governance practices</w:t>
      </w:r>
      <w:bookmarkEnd w:id="513"/>
      <w:bookmarkEnd w:id="514"/>
      <w:bookmarkEnd w:id="515"/>
      <w:bookmarkEnd w:id="516"/>
      <w:bookmarkEnd w:id="517"/>
      <w:bookmarkEnd w:id="518"/>
      <w:bookmarkEnd w:id="519"/>
      <w:bookmarkEnd w:id="520"/>
      <w:r>
        <w:t xml:space="preserve"> </w:t>
      </w:r>
    </w:p>
    <w:p w14:paraId="42DBF1AF" w14:textId="77777777" w:rsidR="00EB0D85" w:rsidRPr="007E1C3F" w:rsidRDefault="00EB0D85" w:rsidP="00EB0D85">
      <w:pPr>
        <w:pStyle w:val="Heading2"/>
      </w:pPr>
      <w:bookmarkStart w:id="521" w:name="_Toc233022298"/>
      <w:bookmarkStart w:id="522" w:name="_Toc233023060"/>
      <w:bookmarkStart w:id="523" w:name="_Toc233023395"/>
      <w:bookmarkStart w:id="524" w:name="_Toc233028703"/>
      <w:bookmarkStart w:id="525" w:name="_Toc233028888"/>
      <w:bookmarkStart w:id="526" w:name="_Toc235787443"/>
      <w:bookmarkStart w:id="527" w:name="_Toc235791581"/>
      <w:bookmarkStart w:id="528" w:name="_Toc237872684"/>
      <w:r w:rsidRPr="007E1C3F">
        <w:t>Audit, Risk and Compliance Committee</w:t>
      </w:r>
      <w:bookmarkEnd w:id="521"/>
      <w:bookmarkEnd w:id="522"/>
      <w:bookmarkEnd w:id="523"/>
      <w:bookmarkEnd w:id="524"/>
      <w:bookmarkEnd w:id="525"/>
      <w:bookmarkEnd w:id="526"/>
      <w:bookmarkEnd w:id="527"/>
      <w:bookmarkEnd w:id="528"/>
    </w:p>
    <w:p w14:paraId="0AD38C69" w14:textId="77777777" w:rsidR="00EB0D85" w:rsidRPr="002B1301" w:rsidRDefault="00EB0D85" w:rsidP="00EB0D85">
      <w:pPr>
        <w:rPr>
          <w:rFonts w:cs="Arial"/>
        </w:rPr>
      </w:pPr>
      <w:r w:rsidRPr="002B1301">
        <w:rPr>
          <w:rFonts w:cs="Arial"/>
        </w:rPr>
        <w:t>The Audit, Risk and Compliance Committee (ARCC) provides independent advice to the CEO on managing IHACPA’s financial and business risk.</w:t>
      </w:r>
    </w:p>
    <w:p w14:paraId="70BE56B5" w14:textId="77777777" w:rsidR="00EB0D85" w:rsidRDefault="00EB0D85" w:rsidP="00EB0D85">
      <w:pPr>
        <w:rPr>
          <w:rFonts w:cs="Arial"/>
          <w:color w:val="auto"/>
        </w:rPr>
      </w:pPr>
      <w:r w:rsidRPr="002B1301">
        <w:t xml:space="preserve">The ARCC Charter is available at </w:t>
      </w:r>
      <w:hyperlink r:id="rId41" w:history="1">
        <w:r w:rsidRPr="00AA5B33">
          <w:rPr>
            <w:rStyle w:val="Hyperlink"/>
            <w:rFonts w:cs="Arial"/>
          </w:rPr>
          <w:t>ihacpa.gov.au/audit-risk-and-compliance-committee</w:t>
        </w:r>
      </w:hyperlink>
      <w:r>
        <w:rPr>
          <w:rFonts w:cs="Arial"/>
          <w:color w:val="auto"/>
        </w:rPr>
        <w:t>.</w:t>
      </w:r>
    </w:p>
    <w:p w14:paraId="5111514B" w14:textId="45E39370" w:rsidR="00EB0D85" w:rsidRPr="00195818" w:rsidRDefault="00EB0D85" w:rsidP="00EB0D85">
      <w:pPr>
        <w:rPr>
          <w:rFonts w:cs="Arial"/>
        </w:rPr>
      </w:pPr>
      <w:r w:rsidRPr="00195818">
        <w:rPr>
          <w:rFonts w:cs="Arial"/>
        </w:rPr>
        <w:t xml:space="preserve">ARCC met on </w:t>
      </w:r>
      <w:r w:rsidRPr="001F63BA">
        <w:rPr>
          <w:rFonts w:cs="Arial"/>
        </w:rPr>
        <w:t>4</w:t>
      </w:r>
      <w:r w:rsidRPr="00195818">
        <w:rPr>
          <w:rFonts w:cs="Arial"/>
        </w:rPr>
        <w:t xml:space="preserve"> occasions between 1 July 2025 and 30 June 2026. CEO Prof</w:t>
      </w:r>
      <w:r w:rsidR="00AA36C3">
        <w:rPr>
          <w:rFonts w:cs="Arial"/>
        </w:rPr>
        <w:t xml:space="preserve">essor </w:t>
      </w:r>
      <w:r w:rsidRPr="00195818">
        <w:rPr>
          <w:rFonts w:cs="Arial"/>
        </w:rPr>
        <w:t xml:space="preserve">Michael Pervan attended </w:t>
      </w:r>
      <w:r>
        <w:rPr>
          <w:rFonts w:cs="Arial"/>
        </w:rPr>
        <w:t>4</w:t>
      </w:r>
      <w:r w:rsidRPr="00195818">
        <w:rPr>
          <w:rFonts w:cs="Arial"/>
        </w:rPr>
        <w:t xml:space="preserve"> meetings. Details of the committee’s membership and meetings are shown in </w:t>
      </w:r>
      <w:r w:rsidRPr="00316250">
        <w:rPr>
          <w:rFonts w:cs="Arial"/>
          <w:b/>
        </w:rPr>
        <w:t>Table 6</w:t>
      </w:r>
      <w:r w:rsidRPr="00195818">
        <w:rPr>
          <w:rFonts w:cs="Arial"/>
        </w:rPr>
        <w:t xml:space="preserve">. </w:t>
      </w:r>
    </w:p>
    <w:p w14:paraId="206887AF" w14:textId="77777777" w:rsidR="00EB0D85" w:rsidRPr="00195818" w:rsidRDefault="00EB0D85" w:rsidP="00EB0D85">
      <w:pPr>
        <w:rPr>
          <w:rFonts w:cs="Arial"/>
        </w:rPr>
      </w:pPr>
      <w:r w:rsidRPr="00195818">
        <w:rPr>
          <w:rFonts w:cs="Arial"/>
        </w:rPr>
        <w:t>During the reporting period, members of the ARCC comprised:</w:t>
      </w:r>
    </w:p>
    <w:p w14:paraId="652A0B74" w14:textId="77777777" w:rsidR="00EB0D85" w:rsidRPr="00195818" w:rsidRDefault="00EB0D85" w:rsidP="00EB0D85">
      <w:pPr>
        <w:pStyle w:val="ListLevel1"/>
      </w:pPr>
      <w:r w:rsidRPr="00195818">
        <w:t>Ms Angela Diamond, Chair and independent member</w:t>
      </w:r>
    </w:p>
    <w:p w14:paraId="19065AE7" w14:textId="77777777" w:rsidR="00EB0D85" w:rsidRDefault="00EB0D85" w:rsidP="00EB0D85">
      <w:pPr>
        <w:pStyle w:val="ListLevel1"/>
      </w:pPr>
      <w:r w:rsidRPr="00195818">
        <w:t>Mr Glenn Appleyard</w:t>
      </w:r>
      <w:r>
        <w:rPr>
          <w:rStyle w:val="FootnoteReference"/>
        </w:rPr>
        <w:footnoteReference w:id="5"/>
      </w:r>
      <w:r w:rsidRPr="00195818">
        <w:t>, member, Pricing Authority</w:t>
      </w:r>
      <w:r>
        <w:t xml:space="preserve"> member </w:t>
      </w:r>
    </w:p>
    <w:p w14:paraId="23DA09C4" w14:textId="77777777" w:rsidR="00EB0D85" w:rsidRPr="00195818" w:rsidRDefault="00EB0D85" w:rsidP="00EB0D85">
      <w:pPr>
        <w:pStyle w:val="ListLevel1"/>
      </w:pPr>
      <w:r>
        <w:t>Distinguished Professor Jane Hall AO, Pricing Authority member</w:t>
      </w:r>
    </w:p>
    <w:p w14:paraId="7EB5605E" w14:textId="77777777" w:rsidR="00EB0D85" w:rsidRPr="00195818" w:rsidRDefault="00EB0D85" w:rsidP="00EB0D85">
      <w:pPr>
        <w:pStyle w:val="ListLevel1"/>
      </w:pPr>
      <w:r w:rsidRPr="00195818">
        <w:t>Mr John Lenarduzzi, independent member</w:t>
      </w:r>
    </w:p>
    <w:p w14:paraId="0F3EF0E2" w14:textId="77777777" w:rsidR="00EB0D85" w:rsidRPr="00195818" w:rsidRDefault="00EB0D85" w:rsidP="00EB0D85">
      <w:pPr>
        <w:pStyle w:val="ListLevel1"/>
      </w:pPr>
      <w:r w:rsidRPr="00195818">
        <w:t>Ms Yaso Arumugam, independent member</w:t>
      </w:r>
    </w:p>
    <w:p w14:paraId="7CABD5F4" w14:textId="77777777" w:rsidR="00EB0D85" w:rsidRPr="00195818" w:rsidRDefault="00EB0D85" w:rsidP="00EB0D85">
      <w:pPr>
        <w:pStyle w:val="ListLevel1"/>
        <w:numPr>
          <w:ilvl w:val="0"/>
          <w:numId w:val="0"/>
        </w:numPr>
      </w:pPr>
    </w:p>
    <w:p w14:paraId="673BF942" w14:textId="77777777" w:rsidR="00EB0D85" w:rsidRPr="00195818" w:rsidRDefault="00EB0D85" w:rsidP="00EB0D85">
      <w:pPr>
        <w:pStyle w:val="ListLevel1"/>
        <w:numPr>
          <w:ilvl w:val="0"/>
          <w:numId w:val="0"/>
        </w:numPr>
        <w:rPr>
          <w:b/>
          <w:bCs/>
        </w:rPr>
      </w:pPr>
      <w:r w:rsidRPr="00195818">
        <w:rPr>
          <w:b/>
          <w:bCs/>
        </w:rPr>
        <w:t>Table 6</w:t>
      </w:r>
      <w:r>
        <w:rPr>
          <w:b/>
          <w:bCs/>
        </w:rPr>
        <w:t>:</w:t>
      </w:r>
      <w:r w:rsidRPr="00195818">
        <w:rPr>
          <w:b/>
          <w:bCs/>
        </w:rPr>
        <w:t xml:space="preserve"> Details of the Audit, Risk and Compliance Committee during the reporting period (2025–26)</w:t>
      </w:r>
      <w:r w:rsidRPr="00195818" w:rsidDel="00415F0E">
        <w:rPr>
          <w:b/>
          <w:bCs/>
        </w:rPr>
        <w:t xml:space="preserve"> </w:t>
      </w:r>
    </w:p>
    <w:tbl>
      <w:tblPr>
        <w:tblStyle w:val="IHACPATable"/>
        <w:tblW w:w="0" w:type="auto"/>
        <w:tblLayout w:type="fixed"/>
        <w:tblLook w:val="0000" w:firstRow="0" w:lastRow="0" w:firstColumn="0" w:lastColumn="0" w:noHBand="0" w:noVBand="0"/>
      </w:tblPr>
      <w:tblGrid>
        <w:gridCol w:w="1418"/>
        <w:gridCol w:w="3584"/>
        <w:gridCol w:w="1661"/>
        <w:gridCol w:w="1625"/>
        <w:gridCol w:w="1286"/>
      </w:tblGrid>
      <w:tr w:rsidR="00EB0D85" w:rsidRPr="00D44FF8" w14:paraId="22A8F7E1" w14:textId="77777777" w:rsidTr="00ED2732">
        <w:trPr>
          <w:cnfStyle w:val="000000010000" w:firstRow="0" w:lastRow="0" w:firstColumn="0" w:lastColumn="0" w:oddVBand="0" w:evenVBand="0" w:oddHBand="0" w:evenHBand="1" w:firstRowFirstColumn="0" w:firstRowLastColumn="0" w:lastRowFirstColumn="0" w:lastRowLastColumn="0"/>
          <w:trHeight w:val="967"/>
          <w:tblHeader/>
        </w:trPr>
        <w:tc>
          <w:tcPr>
            <w:tcW w:w="1418" w:type="dxa"/>
            <w:shd w:val="clear" w:color="auto" w:fill="15272F" w:themeFill="text1"/>
          </w:tcPr>
          <w:p w14:paraId="02D6507E" w14:textId="77777777" w:rsidR="00EB0D85" w:rsidRPr="00D44FF8" w:rsidRDefault="00EB0D85" w:rsidP="00ED2732">
            <w:pPr>
              <w:pStyle w:val="Tableheadingleft"/>
              <w:spacing w:before="80" w:after="60"/>
              <w:ind w:right="57"/>
              <w:rPr>
                <w:rFonts w:ascii="Arial" w:hAnsi="Arial" w:cs="Arial"/>
                <w:color w:val="auto"/>
                <w:lang w:val="en-AU"/>
              </w:rPr>
            </w:pPr>
            <w:r w:rsidRPr="00D44FF8">
              <w:rPr>
                <w:rFonts w:ascii="Arial" w:hAnsi="Arial" w:cs="Arial"/>
                <w:color w:val="auto"/>
                <w:lang w:val="en-AU"/>
              </w:rPr>
              <w:t>Member name</w:t>
            </w:r>
          </w:p>
        </w:tc>
        <w:tc>
          <w:tcPr>
            <w:tcW w:w="3584" w:type="dxa"/>
            <w:shd w:val="clear" w:color="auto" w:fill="15272F" w:themeFill="text1"/>
          </w:tcPr>
          <w:p w14:paraId="72DA9A62" w14:textId="77777777" w:rsidR="00EB0D85" w:rsidRPr="00D44FF8" w:rsidRDefault="00EB0D85" w:rsidP="00ED2732">
            <w:pPr>
              <w:pStyle w:val="Tableheadingleft"/>
              <w:spacing w:before="80" w:after="60"/>
              <w:ind w:right="57"/>
              <w:rPr>
                <w:rFonts w:ascii="Arial" w:hAnsi="Arial" w:cs="Arial"/>
                <w:color w:val="auto"/>
                <w:lang w:val="en-AU"/>
              </w:rPr>
            </w:pPr>
            <w:r w:rsidRPr="00D44FF8">
              <w:rPr>
                <w:rFonts w:ascii="Arial" w:hAnsi="Arial" w:cs="Arial"/>
                <w:color w:val="auto"/>
                <w:lang w:val="en-AU"/>
              </w:rPr>
              <w:t>Qualifications, knowledge, skills and experience</w:t>
            </w:r>
          </w:p>
        </w:tc>
        <w:tc>
          <w:tcPr>
            <w:tcW w:w="1661" w:type="dxa"/>
            <w:shd w:val="clear" w:color="auto" w:fill="15272F" w:themeFill="text1"/>
          </w:tcPr>
          <w:p w14:paraId="47618CAD" w14:textId="77777777" w:rsidR="00EB0D85" w:rsidRPr="00D44FF8" w:rsidRDefault="00EB0D85" w:rsidP="00ED2732">
            <w:pPr>
              <w:pStyle w:val="Tableheadingleft"/>
              <w:spacing w:before="80" w:after="60"/>
              <w:ind w:right="57"/>
              <w:rPr>
                <w:rFonts w:ascii="Arial" w:hAnsi="Arial" w:cs="Arial"/>
                <w:color w:val="auto"/>
                <w:lang w:val="en-AU"/>
              </w:rPr>
            </w:pPr>
            <w:r w:rsidRPr="00D44FF8">
              <w:rPr>
                <w:rFonts w:ascii="Arial" w:hAnsi="Arial" w:cs="Arial"/>
                <w:color w:val="auto"/>
                <w:lang w:val="en-AU"/>
              </w:rPr>
              <w:t>Number of meetings attended/ total number of meetings eligible</w:t>
            </w:r>
          </w:p>
        </w:tc>
        <w:tc>
          <w:tcPr>
            <w:tcW w:w="1625" w:type="dxa"/>
            <w:shd w:val="clear" w:color="auto" w:fill="15272F" w:themeFill="text1"/>
          </w:tcPr>
          <w:p w14:paraId="045EA8FC" w14:textId="77777777" w:rsidR="00EB0D85" w:rsidRPr="00D44FF8" w:rsidRDefault="00EB0D85" w:rsidP="00ED2732">
            <w:pPr>
              <w:pStyle w:val="Tableheadingleft"/>
              <w:spacing w:before="80" w:after="60"/>
              <w:ind w:right="57"/>
              <w:rPr>
                <w:rFonts w:ascii="Arial" w:hAnsi="Arial" w:cs="Arial"/>
                <w:color w:val="auto"/>
                <w:lang w:val="en-AU"/>
              </w:rPr>
            </w:pPr>
            <w:r w:rsidRPr="00D44FF8">
              <w:rPr>
                <w:rFonts w:ascii="Arial" w:hAnsi="Arial" w:cs="Arial"/>
                <w:color w:val="auto"/>
                <w:lang w:val="en-AU"/>
              </w:rPr>
              <w:t>Total annual remuneration</w:t>
            </w:r>
          </w:p>
        </w:tc>
        <w:tc>
          <w:tcPr>
            <w:tcW w:w="1286" w:type="dxa"/>
            <w:shd w:val="clear" w:color="auto" w:fill="15272F" w:themeFill="text1"/>
          </w:tcPr>
          <w:p w14:paraId="3E8580BF" w14:textId="77777777" w:rsidR="00EB0D85" w:rsidRPr="00D44FF8" w:rsidRDefault="00EB0D85" w:rsidP="00ED2732">
            <w:pPr>
              <w:pStyle w:val="Tableheadingleft"/>
              <w:spacing w:before="80" w:after="60"/>
              <w:ind w:right="57"/>
              <w:rPr>
                <w:rFonts w:ascii="Arial" w:hAnsi="Arial" w:cs="Arial"/>
                <w:color w:val="auto"/>
                <w:lang w:val="en-AU"/>
              </w:rPr>
            </w:pPr>
            <w:r w:rsidRPr="00D44FF8">
              <w:rPr>
                <w:rFonts w:ascii="Arial" w:hAnsi="Arial" w:cs="Arial"/>
                <w:color w:val="auto"/>
                <w:lang w:val="en-AU"/>
              </w:rPr>
              <w:t>Additional information</w:t>
            </w:r>
          </w:p>
        </w:tc>
      </w:tr>
      <w:tr w:rsidR="00EB0D85" w:rsidRPr="00D44FF8" w14:paraId="64E1C670" w14:textId="77777777" w:rsidTr="00ED2732">
        <w:trPr>
          <w:cnfStyle w:val="000000100000" w:firstRow="0" w:lastRow="0" w:firstColumn="0" w:lastColumn="0" w:oddVBand="0" w:evenVBand="0" w:oddHBand="1" w:evenHBand="0" w:firstRowFirstColumn="0" w:firstRowLastColumn="0" w:lastRowFirstColumn="0" w:lastRowLastColumn="0"/>
          <w:trHeight w:val="1557"/>
        </w:trPr>
        <w:tc>
          <w:tcPr>
            <w:tcW w:w="1418" w:type="dxa"/>
          </w:tcPr>
          <w:p w14:paraId="473A3A12" w14:textId="77777777" w:rsidR="00EB0D85" w:rsidRPr="00195818" w:rsidRDefault="00EB0D85" w:rsidP="00ED2732">
            <w:pPr>
              <w:pStyle w:val="Financialbodyleft"/>
              <w:spacing w:before="80" w:after="60"/>
              <w:ind w:right="57"/>
              <w:rPr>
                <w:rFonts w:ascii="Arial" w:hAnsi="Arial" w:cs="Arial"/>
                <w:szCs w:val="18"/>
                <w:lang w:val="en-AU"/>
              </w:rPr>
            </w:pPr>
            <w:bookmarkStart w:id="529" w:name="_Hlk199342239"/>
            <w:r w:rsidRPr="00195818">
              <w:rPr>
                <w:rFonts w:ascii="Arial" w:hAnsi="Arial" w:cs="Arial"/>
                <w:szCs w:val="18"/>
                <w:lang w:val="en-AU"/>
              </w:rPr>
              <w:t>Ms Angela Diamond</w:t>
            </w:r>
            <w:bookmarkEnd w:id="529"/>
          </w:p>
        </w:tc>
        <w:tc>
          <w:tcPr>
            <w:tcW w:w="3584" w:type="dxa"/>
          </w:tcPr>
          <w:p w14:paraId="1FD29B62" w14:textId="77777777" w:rsidR="00EB0D85" w:rsidRPr="00195818" w:rsidRDefault="00EB0D85" w:rsidP="00ED2732">
            <w:pPr>
              <w:pStyle w:val="Financialbodyleft"/>
              <w:spacing w:before="80" w:after="60"/>
              <w:ind w:right="57"/>
              <w:rPr>
                <w:rFonts w:ascii="Arial" w:hAnsi="Arial" w:cs="Arial"/>
                <w:szCs w:val="18"/>
                <w:lang w:val="en-AU"/>
              </w:rPr>
            </w:pPr>
            <w:bookmarkStart w:id="530" w:name="_Hlk199342230"/>
            <w:r w:rsidRPr="00195818">
              <w:rPr>
                <w:rFonts w:ascii="Arial" w:hAnsi="Arial" w:cs="Arial"/>
                <w:szCs w:val="18"/>
                <w:lang w:val="en-AU"/>
              </w:rPr>
              <w:t>Ms Angela Diamond has held several senior finance positions within the public service and is currently the Chief Financial Officer at Services Australia.</w:t>
            </w:r>
          </w:p>
          <w:p w14:paraId="6D9FC615" w14:textId="77777777" w:rsidR="00EB0D85" w:rsidRPr="00195818" w:rsidRDefault="00EB0D85" w:rsidP="00ED2732">
            <w:pPr>
              <w:pStyle w:val="Financialbodyleft"/>
              <w:spacing w:before="80" w:after="60"/>
              <w:ind w:right="57"/>
              <w:rPr>
                <w:rFonts w:ascii="Arial" w:hAnsi="Arial" w:cs="Arial"/>
                <w:szCs w:val="18"/>
                <w:lang w:val="en-AU"/>
              </w:rPr>
            </w:pPr>
            <w:r w:rsidRPr="00195818">
              <w:rPr>
                <w:rFonts w:ascii="Arial" w:hAnsi="Arial" w:cs="Arial"/>
                <w:szCs w:val="18"/>
                <w:lang w:val="en-AU"/>
              </w:rPr>
              <w:t>Angela has a Bachelor of Commerce from the Australian National University and is a Certified Practising Accountant.</w:t>
            </w:r>
            <w:bookmarkEnd w:id="530"/>
          </w:p>
        </w:tc>
        <w:tc>
          <w:tcPr>
            <w:tcW w:w="1661" w:type="dxa"/>
          </w:tcPr>
          <w:p w14:paraId="257EF869" w14:textId="77777777" w:rsidR="00EB0D85" w:rsidRPr="00F84B67" w:rsidRDefault="00EB0D85" w:rsidP="00ED2732">
            <w:pPr>
              <w:pStyle w:val="Financialbodyleft"/>
              <w:spacing w:before="80" w:after="60"/>
              <w:ind w:right="57"/>
              <w:rPr>
                <w:rFonts w:ascii="Arial" w:hAnsi="Arial" w:cs="Arial"/>
                <w:szCs w:val="18"/>
                <w:lang w:val="en-AU"/>
              </w:rPr>
            </w:pPr>
            <w:r w:rsidRPr="00F84B67">
              <w:rPr>
                <w:rFonts w:ascii="Arial" w:hAnsi="Arial" w:cs="Arial"/>
                <w:szCs w:val="18"/>
                <w:lang w:val="en-AU"/>
              </w:rPr>
              <w:t>4/4</w:t>
            </w:r>
          </w:p>
        </w:tc>
        <w:tc>
          <w:tcPr>
            <w:tcW w:w="1625" w:type="dxa"/>
          </w:tcPr>
          <w:p w14:paraId="130C9376" w14:textId="77777777" w:rsidR="00EB0D85" w:rsidRPr="00195818" w:rsidRDefault="00EB0D85" w:rsidP="00ED2732">
            <w:pPr>
              <w:pStyle w:val="Pa11"/>
              <w:spacing w:before="80" w:after="60"/>
              <w:ind w:right="57"/>
              <w:rPr>
                <w:rFonts w:ascii="Arial" w:hAnsi="Arial" w:cs="Arial"/>
                <w:color w:val="15272F" w:themeColor="text1"/>
                <w:sz w:val="18"/>
                <w:szCs w:val="18"/>
              </w:rPr>
            </w:pPr>
            <w:r w:rsidRPr="00195818">
              <w:rPr>
                <w:rFonts w:ascii="Arial" w:hAnsi="Arial" w:cs="Arial"/>
                <w:color w:val="15272F" w:themeColor="text1"/>
                <w:sz w:val="18"/>
                <w:szCs w:val="18"/>
              </w:rPr>
              <w:t>Nil — employed by a Commonwealth entity</w:t>
            </w:r>
          </w:p>
        </w:tc>
        <w:tc>
          <w:tcPr>
            <w:tcW w:w="1286" w:type="dxa"/>
          </w:tcPr>
          <w:p w14:paraId="6481DC00" w14:textId="77777777" w:rsidR="00EB0D85" w:rsidRPr="00195818" w:rsidRDefault="00EB0D85" w:rsidP="00ED2732">
            <w:pPr>
              <w:pStyle w:val="Financialbodyleft"/>
              <w:spacing w:before="80" w:after="60"/>
              <w:ind w:right="57"/>
              <w:rPr>
                <w:rFonts w:ascii="Arial" w:hAnsi="Arial" w:cs="Arial"/>
                <w:szCs w:val="18"/>
                <w:lang w:val="en-AU"/>
              </w:rPr>
            </w:pPr>
            <w:r w:rsidRPr="00195818">
              <w:rPr>
                <w:rFonts w:ascii="Arial" w:hAnsi="Arial" w:cs="Arial"/>
                <w:szCs w:val="18"/>
                <w:lang w:val="en-AU"/>
              </w:rPr>
              <w:t>Chair and independent member</w:t>
            </w:r>
          </w:p>
        </w:tc>
      </w:tr>
      <w:tr w:rsidR="00EB0D85" w:rsidRPr="00D44FF8" w14:paraId="63D2B1C6" w14:textId="77777777" w:rsidTr="00ED2732">
        <w:trPr>
          <w:cnfStyle w:val="000000010000" w:firstRow="0" w:lastRow="0" w:firstColumn="0" w:lastColumn="0" w:oddVBand="0" w:evenVBand="0" w:oddHBand="0" w:evenHBand="1" w:firstRowFirstColumn="0" w:firstRowLastColumn="0" w:lastRowFirstColumn="0" w:lastRowLastColumn="0"/>
          <w:trHeight w:val="3117"/>
        </w:trPr>
        <w:tc>
          <w:tcPr>
            <w:tcW w:w="1418" w:type="dxa"/>
          </w:tcPr>
          <w:p w14:paraId="448699BE" w14:textId="77777777" w:rsidR="00EB0D85" w:rsidRPr="00195818" w:rsidRDefault="00EB0D85" w:rsidP="00ED2732">
            <w:pPr>
              <w:pStyle w:val="Financialbodyleft"/>
              <w:spacing w:before="80" w:after="60"/>
              <w:ind w:right="57"/>
              <w:rPr>
                <w:rFonts w:ascii="Arial" w:hAnsi="Arial" w:cs="Arial"/>
                <w:szCs w:val="18"/>
                <w:lang w:val="en-AU"/>
              </w:rPr>
            </w:pPr>
            <w:r w:rsidRPr="00195818">
              <w:rPr>
                <w:rFonts w:ascii="Arial" w:hAnsi="Arial" w:cs="Arial"/>
                <w:szCs w:val="18"/>
                <w:lang w:val="en-AU"/>
              </w:rPr>
              <w:lastRenderedPageBreak/>
              <w:t>Mr Glenn Appleyard</w:t>
            </w:r>
          </w:p>
        </w:tc>
        <w:tc>
          <w:tcPr>
            <w:tcW w:w="3584" w:type="dxa"/>
          </w:tcPr>
          <w:p w14:paraId="7AC4ECCE" w14:textId="77777777" w:rsidR="00EB0D85" w:rsidRPr="00195818" w:rsidRDefault="00EB0D85" w:rsidP="00ED2732">
            <w:pPr>
              <w:pStyle w:val="Financialbodyleft"/>
              <w:spacing w:before="80" w:after="60"/>
              <w:ind w:right="57"/>
              <w:rPr>
                <w:rFonts w:ascii="Arial" w:hAnsi="Arial" w:cs="Arial"/>
                <w:szCs w:val="18"/>
                <w:lang w:val="en-AU"/>
              </w:rPr>
            </w:pPr>
            <w:r w:rsidRPr="00195818">
              <w:rPr>
                <w:rFonts w:ascii="Arial" w:hAnsi="Arial" w:cs="Arial"/>
                <w:szCs w:val="18"/>
                <w:lang w:val="en-AU"/>
              </w:rPr>
              <w:t>Mr Glenn Appleyard has been a member of the Pricing Authority since 2011.</w:t>
            </w:r>
          </w:p>
          <w:p w14:paraId="6FBD926B" w14:textId="77777777" w:rsidR="00EB0D85" w:rsidRPr="00195818" w:rsidRDefault="00EB0D85" w:rsidP="00ED2732">
            <w:pPr>
              <w:pStyle w:val="Financialbodyleft"/>
              <w:spacing w:before="80" w:after="60"/>
              <w:ind w:right="57"/>
              <w:rPr>
                <w:rFonts w:ascii="Arial" w:hAnsi="Arial" w:cs="Arial"/>
                <w:szCs w:val="18"/>
                <w:lang w:val="en-AU"/>
              </w:rPr>
            </w:pPr>
            <w:r w:rsidRPr="00195818">
              <w:rPr>
                <w:rFonts w:ascii="Arial" w:hAnsi="Arial" w:cs="Arial"/>
                <w:szCs w:val="18"/>
                <w:lang w:val="en-AU"/>
              </w:rPr>
              <w:t xml:space="preserve">He was a member of the Australian Accounting Standards Board from </w:t>
            </w:r>
            <w:r>
              <w:rPr>
                <w:rFonts w:ascii="Arial" w:hAnsi="Arial" w:cs="Arial"/>
                <w:szCs w:val="18"/>
                <w:lang w:val="en-AU"/>
              </w:rPr>
              <w:br/>
            </w:r>
            <w:r w:rsidRPr="00195818">
              <w:rPr>
                <w:rFonts w:ascii="Arial" w:hAnsi="Arial" w:cs="Arial"/>
                <w:szCs w:val="18"/>
                <w:lang w:val="en-AU"/>
              </w:rPr>
              <w:t>1 January 2003 to 31 December 2011.</w:t>
            </w:r>
          </w:p>
          <w:p w14:paraId="56A70F2D" w14:textId="77777777" w:rsidR="00EB0D85" w:rsidRPr="00195818" w:rsidRDefault="00EB0D85" w:rsidP="00ED2732">
            <w:pPr>
              <w:pStyle w:val="Financialbodyleft"/>
              <w:spacing w:before="80" w:after="60"/>
              <w:ind w:right="57"/>
              <w:rPr>
                <w:rFonts w:ascii="Arial" w:hAnsi="Arial" w:cs="Arial"/>
                <w:szCs w:val="18"/>
                <w:lang w:val="en-AU"/>
              </w:rPr>
            </w:pPr>
            <w:r w:rsidRPr="00195818">
              <w:rPr>
                <w:rFonts w:ascii="Arial" w:hAnsi="Arial" w:cs="Arial"/>
                <w:szCs w:val="18"/>
                <w:lang w:val="en-AU"/>
              </w:rPr>
              <w:t>Glenn has held several senior positions within the public service including Deputy Secretary in the Tasmanian and Victorian Departments of Treasury and Finance, and Regional Director for the Australian Bureau of Statistics in Tasmania.</w:t>
            </w:r>
          </w:p>
          <w:p w14:paraId="61FE185F" w14:textId="77777777" w:rsidR="00EB0D85" w:rsidRPr="00195818" w:rsidRDefault="00EB0D85" w:rsidP="00ED2732">
            <w:pPr>
              <w:pStyle w:val="Financialbodyleft"/>
              <w:spacing w:before="80" w:after="60"/>
              <w:ind w:right="57"/>
              <w:rPr>
                <w:rFonts w:ascii="Arial" w:hAnsi="Arial" w:cs="Arial"/>
                <w:szCs w:val="18"/>
                <w:lang w:val="en-AU"/>
              </w:rPr>
            </w:pPr>
            <w:r w:rsidRPr="00195818">
              <w:rPr>
                <w:rFonts w:ascii="Arial" w:hAnsi="Arial" w:cs="Arial"/>
                <w:szCs w:val="18"/>
                <w:lang w:val="en-AU"/>
              </w:rPr>
              <w:t>He was a member of the Commonwealth Grants Commission for 11 years and was Chair of the Tasmanian Economic Regulator.</w:t>
            </w:r>
          </w:p>
        </w:tc>
        <w:tc>
          <w:tcPr>
            <w:tcW w:w="1661" w:type="dxa"/>
          </w:tcPr>
          <w:p w14:paraId="6BF9EB58" w14:textId="77777777" w:rsidR="00EB0D85" w:rsidRPr="007A5EB9" w:rsidRDefault="00EB0D85" w:rsidP="00ED2732">
            <w:pPr>
              <w:pStyle w:val="Financialbodyleft"/>
              <w:spacing w:before="80" w:after="60"/>
              <w:ind w:right="57"/>
              <w:rPr>
                <w:rFonts w:ascii="Arial" w:hAnsi="Arial" w:cs="Arial"/>
                <w:szCs w:val="18"/>
                <w:lang w:val="en-AU"/>
              </w:rPr>
            </w:pPr>
            <w:r w:rsidRPr="007A5EB9">
              <w:rPr>
                <w:rFonts w:ascii="Arial" w:hAnsi="Arial" w:cs="Arial"/>
                <w:szCs w:val="18"/>
                <w:lang w:val="en-AU"/>
              </w:rPr>
              <w:t>2/3</w:t>
            </w:r>
          </w:p>
        </w:tc>
        <w:tc>
          <w:tcPr>
            <w:tcW w:w="1625" w:type="dxa"/>
          </w:tcPr>
          <w:p w14:paraId="6DC69251" w14:textId="77777777" w:rsidR="00EB0D85" w:rsidRPr="007A5EB9" w:rsidRDefault="00EB0D85" w:rsidP="00ED2732">
            <w:pPr>
              <w:pStyle w:val="Pa11"/>
              <w:spacing w:before="80" w:after="60"/>
              <w:ind w:right="57"/>
              <w:rPr>
                <w:rFonts w:ascii="Arial" w:hAnsi="Arial" w:cs="Arial"/>
                <w:color w:val="15272F" w:themeColor="text1"/>
                <w:sz w:val="18"/>
                <w:szCs w:val="18"/>
              </w:rPr>
            </w:pPr>
            <w:r w:rsidRPr="007A5EB9">
              <w:rPr>
                <w:rFonts w:ascii="Arial" w:hAnsi="Arial" w:cs="Arial"/>
                <w:color w:val="15272F" w:themeColor="text1"/>
                <w:sz w:val="18"/>
                <w:szCs w:val="18"/>
              </w:rPr>
              <w:t>Nil — Pricing Authority member</w:t>
            </w:r>
          </w:p>
        </w:tc>
        <w:tc>
          <w:tcPr>
            <w:tcW w:w="1286" w:type="dxa"/>
          </w:tcPr>
          <w:p w14:paraId="75E8174C" w14:textId="77777777" w:rsidR="00EB0D85" w:rsidRPr="00195818" w:rsidRDefault="00EB0D85" w:rsidP="00ED2732">
            <w:pPr>
              <w:pStyle w:val="Financialbodyleft"/>
              <w:spacing w:before="80" w:after="60"/>
              <w:ind w:right="57"/>
              <w:rPr>
                <w:rFonts w:ascii="Arial" w:hAnsi="Arial" w:cs="Arial"/>
                <w:szCs w:val="18"/>
                <w:lang w:val="en-AU"/>
              </w:rPr>
            </w:pPr>
            <w:r w:rsidRPr="00195818">
              <w:rPr>
                <w:rFonts w:ascii="Arial" w:hAnsi="Arial" w:cs="Arial"/>
                <w:szCs w:val="18"/>
                <w:lang w:val="en-AU"/>
              </w:rPr>
              <w:t>Pricing Authority member</w:t>
            </w:r>
          </w:p>
        </w:tc>
      </w:tr>
      <w:tr w:rsidR="00EB0D85" w:rsidRPr="00D44FF8" w14:paraId="48CFC156" w14:textId="77777777" w:rsidTr="00ED2732">
        <w:trPr>
          <w:cnfStyle w:val="000000100000" w:firstRow="0" w:lastRow="0" w:firstColumn="0" w:lastColumn="0" w:oddVBand="0" w:evenVBand="0" w:oddHBand="1" w:evenHBand="0" w:firstRowFirstColumn="0" w:firstRowLastColumn="0" w:lastRowFirstColumn="0" w:lastRowLastColumn="0"/>
          <w:trHeight w:val="3117"/>
        </w:trPr>
        <w:tc>
          <w:tcPr>
            <w:tcW w:w="1418" w:type="dxa"/>
          </w:tcPr>
          <w:p w14:paraId="24FAD9D0" w14:textId="77777777" w:rsidR="00EB0D85" w:rsidRPr="00195818" w:rsidRDefault="00EB0D85" w:rsidP="00ED2732">
            <w:pPr>
              <w:pStyle w:val="Financialbodyleft"/>
              <w:spacing w:before="80" w:after="60"/>
              <w:ind w:right="57"/>
              <w:rPr>
                <w:rFonts w:ascii="Arial" w:hAnsi="Arial" w:cs="Arial"/>
                <w:szCs w:val="18"/>
                <w:lang w:val="en-AU"/>
              </w:rPr>
            </w:pPr>
            <w:r>
              <w:rPr>
                <w:rFonts w:ascii="Arial" w:hAnsi="Arial" w:cs="Arial"/>
                <w:szCs w:val="18"/>
                <w:lang w:val="en-AU"/>
              </w:rPr>
              <w:t xml:space="preserve">Distinguished Prof Jane Hall AO </w:t>
            </w:r>
          </w:p>
        </w:tc>
        <w:tc>
          <w:tcPr>
            <w:tcW w:w="3584" w:type="dxa"/>
          </w:tcPr>
          <w:p w14:paraId="4682D515" w14:textId="77777777" w:rsidR="00EB0D85" w:rsidRPr="00E651AB" w:rsidRDefault="00EB0D85" w:rsidP="00ED2732">
            <w:pPr>
              <w:pStyle w:val="Financialbodyleft"/>
              <w:rPr>
                <w:rFonts w:ascii="Arial" w:hAnsi="Arial" w:cs="Arial"/>
              </w:rPr>
            </w:pPr>
            <w:r w:rsidRPr="00E651AB">
              <w:rPr>
                <w:rFonts w:ascii="Arial" w:hAnsi="Arial" w:cs="Arial"/>
              </w:rPr>
              <w:t>Professor Jane Hall AO is a Distinguished Professor of Health Economics at the University of Technology Sydney. She received the National Health and Medical Research Council Outstanding Contribution Award in 2017. She was named as one of the</w:t>
            </w:r>
            <w:r w:rsidRPr="00E651AB">
              <w:rPr>
                <w:rFonts w:ascii="Arial" w:hAnsi="Arial" w:cs="Arial"/>
                <w:i/>
                <w:iCs/>
              </w:rPr>
              <w:t xml:space="preserve"> </w:t>
            </w:r>
            <w:r w:rsidRPr="00C32E00">
              <w:rPr>
                <w:rFonts w:ascii="Arial" w:hAnsi="Arial" w:cs="Arial"/>
              </w:rPr>
              <w:t>Australian Financial Review/Westpac</w:t>
            </w:r>
            <w:r w:rsidRPr="00E651AB">
              <w:rPr>
                <w:rFonts w:ascii="Arial" w:hAnsi="Arial" w:cs="Arial"/>
              </w:rPr>
              <w:t xml:space="preserve"> 100 Women of Influence in 2016.</w:t>
            </w:r>
          </w:p>
          <w:p w14:paraId="24355C46" w14:textId="77777777" w:rsidR="00EB0D85" w:rsidRPr="00E651AB" w:rsidRDefault="00EB0D85" w:rsidP="00ED2732">
            <w:pPr>
              <w:pStyle w:val="Financialbodyleft"/>
              <w:rPr>
                <w:rFonts w:ascii="Arial" w:hAnsi="Arial" w:cs="Arial"/>
              </w:rPr>
            </w:pPr>
            <w:r w:rsidRPr="00E651AB">
              <w:rPr>
                <w:rFonts w:ascii="Arial" w:hAnsi="Arial" w:cs="Arial"/>
              </w:rPr>
              <w:t>Professor Hall is a Fellow of the Academy of Social Sciences in Australia</w:t>
            </w:r>
            <w:r>
              <w:rPr>
                <w:rFonts w:ascii="Arial" w:hAnsi="Arial" w:cs="Arial"/>
              </w:rPr>
              <w:t>, where she previously served as President,</w:t>
            </w:r>
            <w:r w:rsidRPr="00E651AB">
              <w:rPr>
                <w:rFonts w:ascii="Arial" w:hAnsi="Arial" w:cs="Arial"/>
              </w:rPr>
              <w:t xml:space="preserve"> </w:t>
            </w:r>
            <w:r>
              <w:rPr>
                <w:rFonts w:ascii="Arial" w:hAnsi="Arial" w:cs="Arial"/>
              </w:rPr>
              <w:t xml:space="preserve">and a Fellow of </w:t>
            </w:r>
            <w:r w:rsidRPr="00E651AB">
              <w:rPr>
                <w:rFonts w:ascii="Arial" w:hAnsi="Arial" w:cs="Arial"/>
              </w:rPr>
              <w:t>the Australian Academy of Health and Medical Sciences.</w:t>
            </w:r>
          </w:p>
          <w:p w14:paraId="2E21B482" w14:textId="77777777" w:rsidR="00EB0D85" w:rsidRPr="00195818" w:rsidRDefault="00EB0D85" w:rsidP="00ED2732">
            <w:pPr>
              <w:pStyle w:val="Financialbodyleft"/>
              <w:rPr>
                <w:lang w:val="en-AU"/>
              </w:rPr>
            </w:pPr>
            <w:r w:rsidRPr="00E651AB">
              <w:rPr>
                <w:rFonts w:ascii="Arial" w:hAnsi="Arial" w:cs="Arial"/>
              </w:rPr>
              <w:t>She has worked across many areas of health economics. Her current research is focused on funding and financing issues and payment reform.</w:t>
            </w:r>
          </w:p>
        </w:tc>
        <w:tc>
          <w:tcPr>
            <w:tcW w:w="1661" w:type="dxa"/>
          </w:tcPr>
          <w:p w14:paraId="5E16B937" w14:textId="77777777" w:rsidR="00EB0D85" w:rsidRPr="007A5EB9" w:rsidRDefault="00EB0D85" w:rsidP="00ED2732">
            <w:pPr>
              <w:pStyle w:val="Financialbodyleft"/>
              <w:spacing w:before="80" w:after="60"/>
              <w:ind w:right="57"/>
              <w:rPr>
                <w:rFonts w:ascii="Arial" w:hAnsi="Arial" w:cs="Arial"/>
                <w:szCs w:val="18"/>
                <w:lang w:val="en-AU"/>
              </w:rPr>
            </w:pPr>
            <w:r w:rsidRPr="007A5EB9">
              <w:rPr>
                <w:rFonts w:ascii="Arial" w:hAnsi="Arial" w:cs="Arial"/>
                <w:szCs w:val="18"/>
                <w:lang w:val="en-AU"/>
              </w:rPr>
              <w:t>1/1</w:t>
            </w:r>
          </w:p>
        </w:tc>
        <w:tc>
          <w:tcPr>
            <w:tcW w:w="1625" w:type="dxa"/>
          </w:tcPr>
          <w:p w14:paraId="28CC5297" w14:textId="77777777" w:rsidR="00EB0D85" w:rsidRPr="00195818" w:rsidRDefault="00EB0D85" w:rsidP="00ED2732">
            <w:pPr>
              <w:pStyle w:val="Pa11"/>
              <w:spacing w:before="80" w:after="60"/>
              <w:ind w:right="57"/>
              <w:rPr>
                <w:rFonts w:ascii="Arial" w:hAnsi="Arial" w:cs="Arial"/>
                <w:color w:val="15272F" w:themeColor="text1"/>
                <w:sz w:val="18"/>
                <w:szCs w:val="18"/>
              </w:rPr>
            </w:pPr>
            <w:r>
              <w:rPr>
                <w:rFonts w:ascii="Arial" w:hAnsi="Arial" w:cs="Arial"/>
                <w:color w:val="15272F" w:themeColor="text1"/>
                <w:sz w:val="18"/>
                <w:szCs w:val="18"/>
              </w:rPr>
              <w:t xml:space="preserve">Nil – Pricing Authority member </w:t>
            </w:r>
          </w:p>
        </w:tc>
        <w:tc>
          <w:tcPr>
            <w:tcW w:w="1286" w:type="dxa"/>
          </w:tcPr>
          <w:p w14:paraId="41893C01" w14:textId="77777777" w:rsidR="00EB0D85" w:rsidRPr="00195818" w:rsidRDefault="00EB0D85" w:rsidP="00ED2732">
            <w:pPr>
              <w:pStyle w:val="Financialbodyleft"/>
              <w:spacing w:before="80" w:after="60"/>
              <w:ind w:right="57"/>
              <w:rPr>
                <w:rFonts w:ascii="Arial" w:hAnsi="Arial" w:cs="Arial"/>
                <w:szCs w:val="18"/>
                <w:lang w:val="en-AU"/>
              </w:rPr>
            </w:pPr>
            <w:r>
              <w:rPr>
                <w:rFonts w:ascii="Arial" w:hAnsi="Arial" w:cs="Arial"/>
                <w:szCs w:val="18"/>
                <w:lang w:val="en-AU"/>
              </w:rPr>
              <w:t xml:space="preserve">Pricing Authority member </w:t>
            </w:r>
          </w:p>
        </w:tc>
      </w:tr>
      <w:tr w:rsidR="00EB0D85" w:rsidRPr="00D44FF8" w14:paraId="39AEBB79" w14:textId="77777777" w:rsidTr="00ED2732">
        <w:trPr>
          <w:cnfStyle w:val="000000010000" w:firstRow="0" w:lastRow="0" w:firstColumn="0" w:lastColumn="0" w:oddVBand="0" w:evenVBand="0" w:oddHBand="0" w:evenHBand="1" w:firstRowFirstColumn="0" w:firstRowLastColumn="0" w:lastRowFirstColumn="0" w:lastRowLastColumn="0"/>
          <w:trHeight w:val="2976"/>
        </w:trPr>
        <w:tc>
          <w:tcPr>
            <w:tcW w:w="1418" w:type="dxa"/>
          </w:tcPr>
          <w:p w14:paraId="6538EB50" w14:textId="77777777" w:rsidR="00EB0D85" w:rsidRPr="00195818" w:rsidRDefault="00EB0D85" w:rsidP="00ED2732">
            <w:pPr>
              <w:pStyle w:val="Financialbodyleft"/>
              <w:spacing w:before="80" w:after="60"/>
              <w:rPr>
                <w:rFonts w:ascii="Arial" w:hAnsi="Arial" w:cs="Arial"/>
                <w:szCs w:val="18"/>
                <w:lang w:val="en-AU"/>
              </w:rPr>
            </w:pPr>
            <w:r w:rsidRPr="00195818">
              <w:rPr>
                <w:rFonts w:ascii="Arial" w:hAnsi="Arial" w:cs="Arial"/>
                <w:szCs w:val="18"/>
                <w:lang w:val="en-AU"/>
              </w:rPr>
              <w:t>Mr John Lenarduzzi</w:t>
            </w:r>
          </w:p>
        </w:tc>
        <w:tc>
          <w:tcPr>
            <w:tcW w:w="3584" w:type="dxa"/>
          </w:tcPr>
          <w:p w14:paraId="53A84B8E" w14:textId="77777777" w:rsidR="00EB0D85" w:rsidRPr="00195818" w:rsidRDefault="00EB0D85" w:rsidP="00ED2732">
            <w:pPr>
              <w:pStyle w:val="Financialbodyleft"/>
              <w:spacing w:before="80" w:after="60"/>
              <w:rPr>
                <w:rFonts w:ascii="Arial" w:hAnsi="Arial" w:cs="Arial"/>
                <w:szCs w:val="18"/>
                <w:lang w:val="en-AU"/>
              </w:rPr>
            </w:pPr>
            <w:r w:rsidRPr="00195818">
              <w:rPr>
                <w:rFonts w:ascii="Arial" w:hAnsi="Arial" w:cs="Arial"/>
                <w:szCs w:val="18"/>
              </w:rPr>
              <w:t>J</w:t>
            </w:r>
            <w:r w:rsidRPr="00195818">
              <w:rPr>
                <w:rFonts w:ascii="Arial" w:hAnsi="Arial" w:cs="Arial"/>
                <w:szCs w:val="18"/>
                <w:lang w:val="en-AU"/>
              </w:rPr>
              <w:t>ohn Lenarduzzi is the Executive Director of Global and Commercial Operations of CyberCX's Managed Security Services practice. John has over 20 years’ experience working in technology and security environments and spent 7 years as a senior executive in Australia’s National Intelligence Community. </w:t>
            </w:r>
          </w:p>
          <w:p w14:paraId="7A676B36" w14:textId="77777777" w:rsidR="00EB0D85" w:rsidRPr="00195818" w:rsidRDefault="00EB0D85" w:rsidP="00ED2732">
            <w:pPr>
              <w:pStyle w:val="Financialbodyleft"/>
              <w:spacing w:before="80" w:after="60"/>
              <w:rPr>
                <w:rFonts w:ascii="Arial" w:hAnsi="Arial" w:cs="Arial"/>
                <w:szCs w:val="18"/>
                <w:lang w:val="en-AU"/>
              </w:rPr>
            </w:pPr>
            <w:r w:rsidRPr="00195818">
              <w:rPr>
                <w:rFonts w:ascii="Arial" w:hAnsi="Arial" w:cs="Arial"/>
                <w:szCs w:val="18"/>
                <w:lang w:val="en-AU"/>
              </w:rPr>
              <w:t>John has a Bachelor of Electrical and Electronic Engineering (Flinders University) and a Master of Business Administration (Deakin). He completed the Senior Executives in National Security Program at Harvard Kennedy School in 2017 and has also served as an independent member on multiple audit, risk and compliance committees.</w:t>
            </w:r>
          </w:p>
        </w:tc>
        <w:tc>
          <w:tcPr>
            <w:tcW w:w="1661" w:type="dxa"/>
          </w:tcPr>
          <w:p w14:paraId="6C88F4A5" w14:textId="77777777" w:rsidR="00EB0D85" w:rsidRPr="007A5EB9" w:rsidRDefault="00EB0D85" w:rsidP="00ED2732">
            <w:pPr>
              <w:pStyle w:val="Financialbodyleft"/>
              <w:spacing w:before="80" w:after="60"/>
              <w:rPr>
                <w:rFonts w:ascii="Arial" w:hAnsi="Arial" w:cs="Arial"/>
                <w:szCs w:val="18"/>
                <w:lang w:val="en-AU"/>
              </w:rPr>
            </w:pPr>
            <w:r w:rsidRPr="007A5EB9">
              <w:rPr>
                <w:rFonts w:ascii="Arial" w:hAnsi="Arial" w:cs="Arial"/>
                <w:szCs w:val="18"/>
                <w:lang w:val="en-AU"/>
              </w:rPr>
              <w:t>3/4</w:t>
            </w:r>
          </w:p>
        </w:tc>
        <w:tc>
          <w:tcPr>
            <w:tcW w:w="1625" w:type="dxa"/>
          </w:tcPr>
          <w:p w14:paraId="5D1E4BDC" w14:textId="649F5623" w:rsidR="00EB0D85" w:rsidRPr="007A5EB9" w:rsidRDefault="00EB0D85" w:rsidP="00ED2732">
            <w:pPr>
              <w:pStyle w:val="Financialbodyleft"/>
              <w:spacing w:before="80" w:after="60"/>
              <w:rPr>
                <w:rFonts w:ascii="Arial" w:hAnsi="Arial" w:cs="Arial"/>
                <w:szCs w:val="18"/>
                <w:lang w:val="en-AU"/>
              </w:rPr>
            </w:pPr>
            <w:r w:rsidRPr="007A5EB9">
              <w:rPr>
                <w:rFonts w:ascii="Arial" w:hAnsi="Arial" w:cs="Arial"/>
                <w:szCs w:val="18"/>
                <w:lang w:val="en-AU"/>
              </w:rPr>
              <w:t>$6</w:t>
            </w:r>
            <w:r>
              <w:rPr>
                <w:rFonts w:ascii="Arial" w:hAnsi="Arial" w:cs="Arial"/>
                <w:szCs w:val="18"/>
                <w:lang w:val="en-AU"/>
              </w:rPr>
              <w:t>,</w:t>
            </w:r>
            <w:r w:rsidR="00CE2336">
              <w:rPr>
                <w:rFonts w:ascii="Arial" w:hAnsi="Arial" w:cs="Arial"/>
                <w:szCs w:val="18"/>
                <w:lang w:val="en-AU"/>
              </w:rPr>
              <w:t>720</w:t>
            </w:r>
          </w:p>
        </w:tc>
        <w:tc>
          <w:tcPr>
            <w:tcW w:w="1286" w:type="dxa"/>
          </w:tcPr>
          <w:p w14:paraId="6E5122BE" w14:textId="77777777" w:rsidR="00EB0D85" w:rsidRPr="00195818" w:rsidRDefault="00EB0D85" w:rsidP="00ED2732">
            <w:pPr>
              <w:pStyle w:val="Financialbodyleft"/>
              <w:spacing w:before="80" w:after="60"/>
              <w:rPr>
                <w:rFonts w:ascii="Arial" w:hAnsi="Arial" w:cs="Arial"/>
                <w:szCs w:val="18"/>
                <w:lang w:val="en-AU"/>
              </w:rPr>
            </w:pPr>
            <w:r w:rsidRPr="00195818">
              <w:rPr>
                <w:rFonts w:ascii="Arial" w:hAnsi="Arial" w:cs="Arial"/>
                <w:szCs w:val="18"/>
                <w:lang w:val="en-AU"/>
              </w:rPr>
              <w:t>Independent member</w:t>
            </w:r>
          </w:p>
        </w:tc>
      </w:tr>
      <w:tr w:rsidR="00EB0D85" w:rsidRPr="00D44FF8" w14:paraId="3D4BC90B" w14:textId="77777777" w:rsidTr="00ED2732">
        <w:trPr>
          <w:cnfStyle w:val="000000100000" w:firstRow="0" w:lastRow="0" w:firstColumn="0" w:lastColumn="0" w:oddVBand="0" w:evenVBand="0" w:oddHBand="1" w:evenHBand="0" w:firstRowFirstColumn="0" w:firstRowLastColumn="0" w:lastRowFirstColumn="0" w:lastRowLastColumn="0"/>
          <w:trHeight w:val="1122"/>
        </w:trPr>
        <w:tc>
          <w:tcPr>
            <w:tcW w:w="1418" w:type="dxa"/>
          </w:tcPr>
          <w:p w14:paraId="7F5AF2E3" w14:textId="77777777" w:rsidR="00EB0D85" w:rsidRPr="00195818" w:rsidRDefault="00EB0D85" w:rsidP="00ED2732">
            <w:pPr>
              <w:pStyle w:val="Financialbodyleft"/>
              <w:spacing w:before="80" w:after="60"/>
              <w:rPr>
                <w:rFonts w:ascii="Arial" w:hAnsi="Arial" w:cs="Arial"/>
                <w:szCs w:val="18"/>
                <w:lang w:val="en-AU"/>
              </w:rPr>
            </w:pPr>
            <w:r w:rsidRPr="00195818">
              <w:rPr>
                <w:rFonts w:ascii="Arial" w:hAnsi="Arial" w:cs="Arial"/>
                <w:szCs w:val="18"/>
                <w:lang w:val="en-AU"/>
              </w:rPr>
              <w:lastRenderedPageBreak/>
              <w:t>Ms Yaso Arumugam</w:t>
            </w:r>
          </w:p>
        </w:tc>
        <w:tc>
          <w:tcPr>
            <w:tcW w:w="3584" w:type="dxa"/>
          </w:tcPr>
          <w:p w14:paraId="5F24D7D0" w14:textId="77777777" w:rsidR="00EB0D85" w:rsidRPr="00195818" w:rsidRDefault="00EB0D85" w:rsidP="00ED2732">
            <w:pPr>
              <w:pStyle w:val="Financialbodyleft"/>
              <w:spacing w:before="80" w:after="60"/>
              <w:rPr>
                <w:rFonts w:ascii="Arial" w:hAnsi="Arial" w:cs="Arial"/>
                <w:szCs w:val="18"/>
                <w:lang w:val="en-AU"/>
              </w:rPr>
            </w:pPr>
            <w:r w:rsidRPr="00195818">
              <w:rPr>
                <w:rFonts w:ascii="Arial" w:hAnsi="Arial" w:cs="Arial"/>
                <w:szCs w:val="18"/>
                <w:lang w:val="en-AU"/>
              </w:rPr>
              <w:t>Ms Arumugam has extensive experience working as a senior executive public servant and in the private sector leading agencies, leading transformational digital, data and cyber security programs, policies and strategies. She currently works for Bluerydge as a Senior Cyber Security Consultant and Career Manager.</w:t>
            </w:r>
          </w:p>
          <w:p w14:paraId="23782F64" w14:textId="77777777" w:rsidR="00EB0D85" w:rsidRPr="00195818" w:rsidRDefault="00EB0D85" w:rsidP="00ED2732">
            <w:pPr>
              <w:pStyle w:val="Financialbodyleft"/>
              <w:spacing w:before="80" w:after="60"/>
              <w:rPr>
                <w:rFonts w:ascii="Arial" w:hAnsi="Arial" w:cs="Arial"/>
                <w:szCs w:val="18"/>
                <w:lang w:val="en-AU"/>
              </w:rPr>
            </w:pPr>
            <w:r w:rsidRPr="00195818">
              <w:rPr>
                <w:rFonts w:ascii="Arial" w:hAnsi="Arial" w:cs="Arial"/>
                <w:szCs w:val="18"/>
                <w:lang w:val="en-AU"/>
              </w:rPr>
              <w:t>Ms Arumugam also works for the Department of Finance as an Independent Assurance Review team member. She has participated in a number of assurance activities to support Senior Responsible Officers of large complex government programs and projects. Ms Arumugam holds a BSc in Electronics Engineering and has completed the Advanced Management and Leadership Program at the University of Oxford.</w:t>
            </w:r>
          </w:p>
          <w:p w14:paraId="54BEC739" w14:textId="77777777" w:rsidR="00EB0D85" w:rsidRPr="00195818" w:rsidRDefault="00EB0D85" w:rsidP="00ED2732">
            <w:pPr>
              <w:pStyle w:val="Financialbodyleft"/>
              <w:spacing w:before="80" w:after="60"/>
              <w:rPr>
                <w:rFonts w:ascii="Arial" w:hAnsi="Arial" w:cs="Arial"/>
                <w:szCs w:val="18"/>
                <w:lang w:val="en-AU"/>
              </w:rPr>
            </w:pPr>
          </w:p>
        </w:tc>
        <w:tc>
          <w:tcPr>
            <w:tcW w:w="1661" w:type="dxa"/>
          </w:tcPr>
          <w:p w14:paraId="35EDC2E1" w14:textId="77777777" w:rsidR="00EB0D85" w:rsidRPr="007A5EB9" w:rsidRDefault="00EB0D85" w:rsidP="00ED2732">
            <w:pPr>
              <w:pStyle w:val="Financialbodyleft"/>
              <w:spacing w:before="80" w:after="60"/>
              <w:rPr>
                <w:rFonts w:ascii="Arial" w:hAnsi="Arial" w:cs="Arial"/>
                <w:szCs w:val="18"/>
                <w:lang w:val="en-AU"/>
              </w:rPr>
            </w:pPr>
            <w:r w:rsidRPr="007A5EB9">
              <w:rPr>
                <w:rFonts w:ascii="Arial" w:hAnsi="Arial" w:cs="Arial"/>
                <w:szCs w:val="18"/>
                <w:lang w:val="en-AU"/>
              </w:rPr>
              <w:t>4/4</w:t>
            </w:r>
          </w:p>
        </w:tc>
        <w:tc>
          <w:tcPr>
            <w:tcW w:w="1625" w:type="dxa"/>
          </w:tcPr>
          <w:p w14:paraId="7D59FE29" w14:textId="77777777" w:rsidR="00EB0D85" w:rsidRPr="007A5EB9" w:rsidRDefault="00EB0D85" w:rsidP="00ED2732">
            <w:pPr>
              <w:pStyle w:val="Financialbodyleft"/>
              <w:spacing w:before="80" w:after="60"/>
              <w:rPr>
                <w:rFonts w:ascii="Arial" w:hAnsi="Arial" w:cs="Arial"/>
                <w:szCs w:val="18"/>
                <w:lang w:val="en-AU"/>
              </w:rPr>
            </w:pPr>
            <w:r w:rsidRPr="007A5EB9">
              <w:rPr>
                <w:rFonts w:ascii="Arial" w:hAnsi="Arial" w:cs="Arial"/>
                <w:szCs w:val="18"/>
                <w:lang w:val="en-AU"/>
              </w:rPr>
              <w:t>$11,200</w:t>
            </w:r>
          </w:p>
          <w:p w14:paraId="00787597" w14:textId="77777777" w:rsidR="00EB0D85" w:rsidRPr="007A5EB9" w:rsidRDefault="00EB0D85" w:rsidP="00ED2732">
            <w:pPr>
              <w:pStyle w:val="Financialbodyleft"/>
              <w:spacing w:before="80" w:after="60"/>
              <w:rPr>
                <w:rFonts w:ascii="Arial" w:hAnsi="Arial" w:cs="Arial"/>
                <w:szCs w:val="18"/>
                <w:lang w:val="en-AU"/>
              </w:rPr>
            </w:pPr>
          </w:p>
          <w:p w14:paraId="2843DDBA" w14:textId="77777777" w:rsidR="00EB0D85" w:rsidRPr="007A5EB9" w:rsidRDefault="00EB0D85" w:rsidP="00ED2732">
            <w:pPr>
              <w:pStyle w:val="Financialbodyleft"/>
              <w:spacing w:before="80" w:after="60"/>
              <w:rPr>
                <w:rFonts w:ascii="Arial" w:hAnsi="Arial" w:cs="Arial"/>
                <w:szCs w:val="18"/>
                <w:lang w:val="en-AU"/>
              </w:rPr>
            </w:pPr>
          </w:p>
          <w:p w14:paraId="4E9DE111" w14:textId="77777777" w:rsidR="00EB0D85" w:rsidRPr="007A5EB9" w:rsidRDefault="00EB0D85" w:rsidP="00ED2732">
            <w:pPr>
              <w:pStyle w:val="Financialbodyleft"/>
              <w:spacing w:before="80" w:after="60"/>
              <w:rPr>
                <w:rFonts w:ascii="Arial" w:hAnsi="Arial" w:cs="Arial"/>
                <w:szCs w:val="18"/>
                <w:lang w:val="en-AU"/>
              </w:rPr>
            </w:pPr>
          </w:p>
          <w:p w14:paraId="19D02CDF" w14:textId="77777777" w:rsidR="00EB0D85" w:rsidRPr="007A5EB9" w:rsidRDefault="00EB0D85" w:rsidP="00ED2732">
            <w:pPr>
              <w:pStyle w:val="Financialbodyleft"/>
              <w:spacing w:before="80" w:after="60"/>
              <w:rPr>
                <w:rFonts w:ascii="Arial" w:hAnsi="Arial" w:cs="Arial"/>
                <w:szCs w:val="18"/>
                <w:lang w:val="en-AU"/>
              </w:rPr>
            </w:pPr>
          </w:p>
          <w:p w14:paraId="62562128" w14:textId="77777777" w:rsidR="00EB0D85" w:rsidRPr="007A5EB9" w:rsidRDefault="00EB0D85" w:rsidP="00ED2732">
            <w:pPr>
              <w:pStyle w:val="Financialbodyleft"/>
              <w:spacing w:before="80" w:after="60"/>
              <w:rPr>
                <w:rFonts w:ascii="Arial" w:hAnsi="Arial" w:cs="Arial"/>
                <w:szCs w:val="18"/>
                <w:lang w:val="en-AU"/>
              </w:rPr>
            </w:pPr>
          </w:p>
          <w:p w14:paraId="1D42D393" w14:textId="77777777" w:rsidR="00EB0D85" w:rsidRPr="007A5EB9" w:rsidRDefault="00EB0D85" w:rsidP="00ED2732">
            <w:pPr>
              <w:pStyle w:val="Financialbodyleft"/>
              <w:spacing w:before="80" w:after="60"/>
              <w:rPr>
                <w:rFonts w:ascii="Arial" w:hAnsi="Arial" w:cs="Arial"/>
                <w:szCs w:val="18"/>
                <w:lang w:val="en-AU"/>
              </w:rPr>
            </w:pPr>
          </w:p>
          <w:p w14:paraId="27BB724A" w14:textId="77777777" w:rsidR="00EB0D85" w:rsidRPr="007A5EB9" w:rsidRDefault="00EB0D85" w:rsidP="00ED2732">
            <w:pPr>
              <w:pStyle w:val="Financialbodyleft"/>
              <w:spacing w:before="80" w:after="60"/>
              <w:rPr>
                <w:rFonts w:ascii="Arial" w:hAnsi="Arial" w:cs="Arial"/>
                <w:szCs w:val="18"/>
                <w:lang w:val="en-AU"/>
              </w:rPr>
            </w:pPr>
          </w:p>
          <w:p w14:paraId="5D1C4A16" w14:textId="77777777" w:rsidR="00EB0D85" w:rsidRPr="007A5EB9" w:rsidRDefault="00EB0D85" w:rsidP="00ED2732">
            <w:pPr>
              <w:pStyle w:val="Financialbodyleft"/>
              <w:spacing w:before="80" w:after="60"/>
              <w:rPr>
                <w:rFonts w:ascii="Arial" w:hAnsi="Arial" w:cs="Arial"/>
                <w:szCs w:val="18"/>
                <w:lang w:val="en-AU"/>
              </w:rPr>
            </w:pPr>
          </w:p>
          <w:p w14:paraId="21531997" w14:textId="77777777" w:rsidR="00EB0D85" w:rsidRPr="007A5EB9" w:rsidRDefault="00EB0D85" w:rsidP="00ED2732">
            <w:pPr>
              <w:pStyle w:val="Financialbodyleft"/>
              <w:spacing w:before="80" w:after="60"/>
              <w:rPr>
                <w:rFonts w:ascii="Arial" w:hAnsi="Arial" w:cs="Arial"/>
                <w:szCs w:val="18"/>
                <w:lang w:val="en-AU"/>
              </w:rPr>
            </w:pPr>
          </w:p>
          <w:p w14:paraId="0C098967" w14:textId="77777777" w:rsidR="00EB0D85" w:rsidRPr="007A5EB9" w:rsidRDefault="00EB0D85" w:rsidP="00ED2732">
            <w:pPr>
              <w:pStyle w:val="Financialbodyleft"/>
              <w:spacing w:before="80" w:after="60"/>
              <w:rPr>
                <w:rFonts w:ascii="Arial" w:hAnsi="Arial" w:cs="Arial"/>
                <w:szCs w:val="18"/>
                <w:lang w:val="en-AU"/>
              </w:rPr>
            </w:pPr>
          </w:p>
          <w:p w14:paraId="64E8FC33" w14:textId="77777777" w:rsidR="00EB0D85" w:rsidRPr="007A5EB9" w:rsidRDefault="00EB0D85" w:rsidP="00ED2732">
            <w:pPr>
              <w:pStyle w:val="Financialbodyleft"/>
              <w:spacing w:before="80" w:after="60"/>
              <w:rPr>
                <w:rFonts w:ascii="Arial" w:hAnsi="Arial" w:cs="Arial"/>
                <w:szCs w:val="18"/>
                <w:lang w:val="en-AU"/>
              </w:rPr>
            </w:pPr>
          </w:p>
        </w:tc>
        <w:tc>
          <w:tcPr>
            <w:tcW w:w="1286" w:type="dxa"/>
          </w:tcPr>
          <w:p w14:paraId="59200AD1" w14:textId="77777777" w:rsidR="00EB0D85" w:rsidRPr="00195818" w:rsidRDefault="00EB0D85" w:rsidP="00ED2732">
            <w:pPr>
              <w:pStyle w:val="Financialbodyleft"/>
              <w:spacing w:before="80" w:after="60"/>
              <w:rPr>
                <w:rFonts w:ascii="Arial" w:hAnsi="Arial" w:cs="Arial"/>
                <w:szCs w:val="18"/>
                <w:lang w:val="en-AU"/>
              </w:rPr>
            </w:pPr>
            <w:r w:rsidRPr="00195818">
              <w:rPr>
                <w:rFonts w:ascii="Arial" w:hAnsi="Arial" w:cs="Arial"/>
                <w:szCs w:val="18"/>
                <w:lang w:val="en-AU"/>
              </w:rPr>
              <w:t>Independent member</w:t>
            </w:r>
          </w:p>
        </w:tc>
      </w:tr>
    </w:tbl>
    <w:p w14:paraId="1F6C9206" w14:textId="77777777" w:rsidR="00EB0D85" w:rsidRPr="00E84A07" w:rsidRDefault="00EB0D85" w:rsidP="00EB0D85"/>
    <w:p w14:paraId="232AC0A8" w14:textId="77777777" w:rsidR="00EB0D85" w:rsidRPr="007E1C3F" w:rsidRDefault="00EB0D85" w:rsidP="00EB0D85">
      <w:pPr>
        <w:pStyle w:val="Heading2"/>
      </w:pPr>
      <w:bookmarkStart w:id="531" w:name="_Toc233022299"/>
      <w:bookmarkStart w:id="532" w:name="_Toc233023061"/>
      <w:bookmarkStart w:id="533" w:name="_Toc233023396"/>
      <w:bookmarkStart w:id="534" w:name="_Toc233028704"/>
      <w:bookmarkStart w:id="535" w:name="_Toc233028889"/>
      <w:bookmarkStart w:id="536" w:name="_Toc235787444"/>
      <w:bookmarkStart w:id="537" w:name="_Toc235791582"/>
      <w:bookmarkStart w:id="538" w:name="_Toc237872685"/>
      <w:r w:rsidRPr="007E1C3F" w:rsidDel="00F85C30">
        <w:t>Risk management</w:t>
      </w:r>
      <w:bookmarkEnd w:id="531"/>
      <w:bookmarkEnd w:id="532"/>
      <w:bookmarkEnd w:id="533"/>
      <w:bookmarkEnd w:id="534"/>
      <w:bookmarkEnd w:id="535"/>
      <w:bookmarkEnd w:id="536"/>
      <w:bookmarkEnd w:id="537"/>
      <w:bookmarkEnd w:id="538"/>
    </w:p>
    <w:p w14:paraId="3A2DA3A8" w14:textId="77777777" w:rsidR="00EB0D85" w:rsidRPr="00FF2A6C" w:rsidRDefault="00EB0D85" w:rsidP="00EB0D85">
      <w:r w:rsidRPr="00FF2A6C">
        <w:t xml:space="preserve">IHACPA’s enterprise-wide approach to risk management remains at the forefront of all </w:t>
      </w:r>
      <w:r>
        <w:t>our</w:t>
      </w:r>
      <w:r w:rsidRPr="00FF2A6C">
        <w:t xml:space="preserve"> activities. Risk management is embedded in our day-to-day activities and supported by governance arrangements, assurance activities and controls, communication and training, and defined roles and responsibilities. </w:t>
      </w:r>
      <w:r>
        <w:t>Our</w:t>
      </w:r>
      <w:r w:rsidRPr="00FF2A6C">
        <w:t xml:space="preserve"> </w:t>
      </w:r>
      <w:r>
        <w:t>r</w:t>
      </w:r>
      <w:r w:rsidRPr="00FF2A6C">
        <w:t xml:space="preserve">isk </w:t>
      </w:r>
      <w:r>
        <w:t>m</w:t>
      </w:r>
      <w:r w:rsidRPr="00FF2A6C">
        <w:t xml:space="preserve">anagement </w:t>
      </w:r>
      <w:r>
        <w:t>p</w:t>
      </w:r>
      <w:r w:rsidRPr="00FF2A6C">
        <w:t xml:space="preserve">olicy and </w:t>
      </w:r>
      <w:r>
        <w:t>f</w:t>
      </w:r>
      <w:r w:rsidRPr="00FF2A6C">
        <w:t>ramework outlines our commitment to maintaining a positive, transparent and risk-aware culture, and sets out the arrangements for implementing, monitoring, reviewing and continuously improving risk management across the organisation.</w:t>
      </w:r>
    </w:p>
    <w:p w14:paraId="03EC2779" w14:textId="77777777" w:rsidR="00EB0D85" w:rsidRDefault="00EB0D85" w:rsidP="00EB0D85">
      <w:r>
        <w:t>We</w:t>
      </w:r>
      <w:r w:rsidRPr="00FF2A6C">
        <w:t xml:space="preserve"> manage several types of risks to ensure a consistent and comprehensive understanding of uncertainty across the organisation. These risk types support clear identification, assessment and reporting across enterprise, program and project activities. </w:t>
      </w:r>
      <w:r w:rsidRPr="00DD307D">
        <w:rPr>
          <w:b/>
        </w:rPr>
        <w:t>Table 7</w:t>
      </w:r>
      <w:r>
        <w:t xml:space="preserve"> outlines our risk categories. </w:t>
      </w:r>
    </w:p>
    <w:p w14:paraId="15B2EC5B" w14:textId="77777777" w:rsidR="00EB0D85" w:rsidRPr="00A36336" w:rsidRDefault="00EB0D85" w:rsidP="00EB0D85">
      <w:pPr>
        <w:rPr>
          <w:b/>
          <w:bCs/>
        </w:rPr>
      </w:pPr>
      <w:r w:rsidRPr="00A36336">
        <w:rPr>
          <w:b/>
          <w:bCs/>
        </w:rPr>
        <w:t xml:space="preserve">Table </w:t>
      </w:r>
      <w:r>
        <w:rPr>
          <w:b/>
          <w:bCs/>
        </w:rPr>
        <w:t>7:</w:t>
      </w:r>
      <w:r w:rsidRPr="00A36336">
        <w:rPr>
          <w:b/>
          <w:bCs/>
        </w:rPr>
        <w:t xml:space="preserve"> IHACPA’s risk</w:t>
      </w:r>
      <w:r>
        <w:rPr>
          <w:b/>
          <w:bCs/>
        </w:rPr>
        <w:t xml:space="preserve"> categorie</w:t>
      </w:r>
      <w:r w:rsidRPr="00A36336">
        <w:rPr>
          <w:b/>
          <w:bCs/>
        </w:rPr>
        <w:t>s</w:t>
      </w:r>
    </w:p>
    <w:tbl>
      <w:tblPr>
        <w:tblStyle w:val="IHACPATable"/>
        <w:tblW w:w="9781" w:type="dxa"/>
        <w:tblLayout w:type="fixed"/>
        <w:tblLook w:val="0020" w:firstRow="1" w:lastRow="0" w:firstColumn="0" w:lastColumn="0" w:noHBand="0" w:noVBand="0"/>
        <w:tblCaption w:val="Table 8"/>
        <w:tblDescription w:val="Summary of Performance for Activity 6: Independent and transparent decision-making and engagement with stakeholders"/>
      </w:tblPr>
      <w:tblGrid>
        <w:gridCol w:w="3828"/>
        <w:gridCol w:w="5953"/>
      </w:tblGrid>
      <w:tr w:rsidR="00EB0D85" w:rsidRPr="004E67F4" w14:paraId="369BFF6D" w14:textId="77777777" w:rsidTr="00ED2732">
        <w:trPr>
          <w:cnfStyle w:val="100000000000" w:firstRow="1" w:lastRow="0" w:firstColumn="0" w:lastColumn="0" w:oddVBand="0" w:evenVBand="0" w:oddHBand="0" w:evenHBand="0" w:firstRowFirstColumn="0" w:firstRowLastColumn="0" w:lastRowFirstColumn="0" w:lastRowLastColumn="0"/>
          <w:trHeight w:val="20"/>
          <w:tblHeader/>
        </w:trPr>
        <w:tc>
          <w:tcPr>
            <w:tcW w:w="3828" w:type="dxa"/>
          </w:tcPr>
          <w:p w14:paraId="0C2216A9" w14:textId="77777777" w:rsidR="00EB0D85" w:rsidRPr="00DB669D" w:rsidRDefault="00EB0D85" w:rsidP="00ED2732">
            <w:pPr>
              <w:spacing w:before="120" w:after="120"/>
              <w:rPr>
                <w:b/>
                <w:bCs/>
                <w:color w:val="1C1C1C"/>
                <w:szCs w:val="18"/>
              </w:rPr>
            </w:pPr>
            <w:r w:rsidRPr="00DB669D">
              <w:rPr>
                <w:b/>
                <w:bCs/>
                <w:color w:val="FFFFFF" w:themeColor="background2"/>
                <w:szCs w:val="18"/>
                <w:lang w:val="en-US"/>
              </w:rPr>
              <w:t xml:space="preserve">Risk </w:t>
            </w:r>
          </w:p>
        </w:tc>
        <w:tc>
          <w:tcPr>
            <w:tcW w:w="5953" w:type="dxa"/>
          </w:tcPr>
          <w:p w14:paraId="12CBFC55" w14:textId="77777777" w:rsidR="00EB0D85" w:rsidRPr="00DB669D" w:rsidRDefault="00EB0D85" w:rsidP="00ED2732">
            <w:pPr>
              <w:spacing w:before="120" w:after="120"/>
              <w:rPr>
                <w:b/>
                <w:bCs/>
                <w:color w:val="FFFFFF" w:themeColor="background2"/>
                <w:szCs w:val="18"/>
              </w:rPr>
            </w:pPr>
            <w:r w:rsidRPr="00DB669D">
              <w:rPr>
                <w:b/>
                <w:bCs/>
                <w:color w:val="FFFFFF" w:themeColor="background2"/>
                <w:szCs w:val="18"/>
              </w:rPr>
              <w:t>Description</w:t>
            </w:r>
          </w:p>
        </w:tc>
      </w:tr>
      <w:tr w:rsidR="00EB0D85" w:rsidRPr="004E67F4" w14:paraId="48D8701F" w14:textId="77777777" w:rsidTr="00ED2732">
        <w:trPr>
          <w:cnfStyle w:val="000000100000" w:firstRow="0" w:lastRow="0" w:firstColumn="0" w:lastColumn="0" w:oddVBand="0" w:evenVBand="0" w:oddHBand="1" w:evenHBand="0" w:firstRowFirstColumn="0" w:firstRowLastColumn="0" w:lastRowFirstColumn="0" w:lastRowLastColumn="0"/>
          <w:trHeight w:val="20"/>
        </w:trPr>
        <w:tc>
          <w:tcPr>
            <w:tcW w:w="3828" w:type="dxa"/>
            <w:tcBorders>
              <w:top w:val="single" w:sz="4" w:space="0" w:color="DFEBF1" w:themeColor="accent1" w:themeTint="1A"/>
              <w:bottom w:val="single" w:sz="4" w:space="0" w:color="DFEBF1" w:themeColor="accent1" w:themeTint="1A"/>
            </w:tcBorders>
          </w:tcPr>
          <w:p w14:paraId="19A2DB6E" w14:textId="77777777" w:rsidR="00EB0D85" w:rsidRPr="00392FDA" w:rsidRDefault="00EB0D85" w:rsidP="00ED2732">
            <w:pPr>
              <w:spacing w:before="120" w:after="120"/>
              <w:rPr>
                <w:rFonts w:cs="Arial"/>
                <w:sz w:val="16"/>
                <w:szCs w:val="16"/>
              </w:rPr>
            </w:pPr>
            <w:r w:rsidRPr="00392FDA">
              <w:rPr>
                <w:rFonts w:cs="Arial"/>
                <w:sz w:val="16"/>
                <w:szCs w:val="16"/>
              </w:rPr>
              <w:t>Artificial Intelligence (AI) risk</w:t>
            </w:r>
          </w:p>
        </w:tc>
        <w:tc>
          <w:tcPr>
            <w:tcW w:w="5953" w:type="dxa"/>
            <w:tcBorders>
              <w:top w:val="single" w:sz="4" w:space="0" w:color="DFEBF1" w:themeColor="accent1" w:themeTint="1A"/>
              <w:bottom w:val="single" w:sz="4" w:space="0" w:color="DFEBF1" w:themeColor="accent1" w:themeTint="1A"/>
            </w:tcBorders>
          </w:tcPr>
          <w:p w14:paraId="17C8D4D8" w14:textId="77777777" w:rsidR="00EB0D85" w:rsidRPr="00392FDA" w:rsidRDefault="00EB0D85" w:rsidP="00ED2732">
            <w:pPr>
              <w:pStyle w:val="TableParagraph"/>
              <w:framePr w:wrap="around"/>
              <w:jc w:val="left"/>
              <w:rPr>
                <w:color w:val="15272F" w:themeColor="text1"/>
                <w:sz w:val="16"/>
                <w:szCs w:val="16"/>
              </w:rPr>
            </w:pPr>
            <w:r w:rsidRPr="00392FDA">
              <w:rPr>
                <w:color w:val="15272F" w:themeColor="text1"/>
                <w:sz w:val="16"/>
                <w:szCs w:val="16"/>
              </w:rPr>
              <w:t>Risks arising from the use of AI could affect IHACPA’s decision</w:t>
            </w:r>
            <w:r w:rsidRPr="00392FDA">
              <w:rPr>
                <w:rFonts w:ascii="Cambria Math" w:hAnsi="Cambria Math" w:cs="Cambria Math"/>
                <w:color w:val="15272F" w:themeColor="text1"/>
                <w:sz w:val="16"/>
                <w:szCs w:val="16"/>
              </w:rPr>
              <w:t>‑</w:t>
            </w:r>
            <w:r w:rsidRPr="00392FDA">
              <w:rPr>
                <w:color w:val="15272F" w:themeColor="text1"/>
                <w:sz w:val="16"/>
                <w:szCs w:val="16"/>
              </w:rPr>
              <w:t xml:space="preserve">making, data integrity, privacy, security and fairness. Poorly governed AI may introduce errors or bias into analysis, expose personal or sensitive information, or create transparency and accountability issues. </w:t>
            </w:r>
          </w:p>
          <w:p w14:paraId="0E9A19B2" w14:textId="77777777" w:rsidR="00EB0D85" w:rsidRPr="00392FDA" w:rsidRDefault="00EB0D85" w:rsidP="00ED2732">
            <w:pPr>
              <w:pStyle w:val="TableParagraph"/>
              <w:framePr w:wrap="around"/>
              <w:jc w:val="left"/>
              <w:rPr>
                <w:color w:val="15272F" w:themeColor="text1"/>
                <w:sz w:val="16"/>
                <w:szCs w:val="16"/>
              </w:rPr>
            </w:pPr>
            <w:r w:rsidRPr="00392FDA">
              <w:rPr>
                <w:color w:val="15272F" w:themeColor="text1"/>
                <w:sz w:val="16"/>
                <w:szCs w:val="16"/>
              </w:rPr>
              <w:t>We manage AI risk by assigning accountable owners and maintaining an internal AI use</w:t>
            </w:r>
            <w:r w:rsidRPr="00392FDA">
              <w:rPr>
                <w:rFonts w:ascii="Cambria Math" w:hAnsi="Cambria Math" w:cs="Cambria Math"/>
                <w:color w:val="15272F" w:themeColor="text1"/>
                <w:sz w:val="16"/>
                <w:szCs w:val="16"/>
              </w:rPr>
              <w:t>‑</w:t>
            </w:r>
            <w:r w:rsidRPr="00392FDA">
              <w:rPr>
                <w:color w:val="15272F" w:themeColor="text1"/>
                <w:sz w:val="16"/>
                <w:szCs w:val="16"/>
              </w:rPr>
              <w:t>case register, requiring risk assessments before procurement or change.</w:t>
            </w:r>
          </w:p>
        </w:tc>
      </w:tr>
      <w:tr w:rsidR="00EB0D85" w:rsidRPr="004E67F4" w14:paraId="1636ABB0" w14:textId="77777777" w:rsidTr="00ED2732">
        <w:trPr>
          <w:cnfStyle w:val="000000010000" w:firstRow="0" w:lastRow="0" w:firstColumn="0" w:lastColumn="0" w:oddVBand="0" w:evenVBand="0" w:oddHBand="0" w:evenHBand="1" w:firstRowFirstColumn="0" w:firstRowLastColumn="0" w:lastRowFirstColumn="0" w:lastRowLastColumn="0"/>
          <w:cantSplit/>
          <w:trHeight w:val="20"/>
        </w:trPr>
        <w:tc>
          <w:tcPr>
            <w:tcW w:w="3828" w:type="dxa"/>
            <w:tcBorders>
              <w:top w:val="single" w:sz="4" w:space="0" w:color="DFEBF1" w:themeColor="accent1" w:themeTint="1A"/>
              <w:bottom w:val="single" w:sz="4" w:space="0" w:color="DFEBF1" w:themeColor="accent1" w:themeTint="1A"/>
            </w:tcBorders>
          </w:tcPr>
          <w:p w14:paraId="3252206A" w14:textId="77777777" w:rsidR="00EB0D85" w:rsidRPr="00392FDA" w:rsidRDefault="00EB0D85" w:rsidP="00ED2732">
            <w:pPr>
              <w:spacing w:before="120" w:after="120"/>
              <w:rPr>
                <w:sz w:val="16"/>
                <w:szCs w:val="16"/>
              </w:rPr>
            </w:pPr>
            <w:r w:rsidRPr="00392FDA">
              <w:rPr>
                <w:sz w:val="16"/>
                <w:szCs w:val="16"/>
              </w:rPr>
              <w:lastRenderedPageBreak/>
              <w:t>Enterprise risks</w:t>
            </w:r>
          </w:p>
        </w:tc>
        <w:tc>
          <w:tcPr>
            <w:tcW w:w="5953" w:type="dxa"/>
            <w:tcBorders>
              <w:top w:val="single" w:sz="4" w:space="0" w:color="DFEBF1" w:themeColor="accent1" w:themeTint="1A"/>
              <w:bottom w:val="single" w:sz="4" w:space="0" w:color="DFEBF1" w:themeColor="accent1" w:themeTint="1A"/>
            </w:tcBorders>
          </w:tcPr>
          <w:p w14:paraId="13B26378" w14:textId="77777777" w:rsidR="00EB0D85" w:rsidRPr="00392FDA" w:rsidRDefault="00EB0D85" w:rsidP="00ED2732">
            <w:pPr>
              <w:pStyle w:val="TableParagraph"/>
              <w:framePr w:wrap="around"/>
              <w:jc w:val="left"/>
              <w:rPr>
                <w:color w:val="15272F" w:themeColor="text1"/>
                <w:sz w:val="16"/>
                <w:szCs w:val="16"/>
              </w:rPr>
            </w:pPr>
            <w:r w:rsidRPr="00392FDA">
              <w:rPr>
                <w:color w:val="15272F" w:themeColor="text1"/>
                <w:sz w:val="16"/>
                <w:szCs w:val="16"/>
              </w:rPr>
              <w:t>Enterprise risks are high</w:t>
            </w:r>
            <w:r w:rsidRPr="00392FDA">
              <w:rPr>
                <w:rFonts w:ascii="Cambria Math" w:hAnsi="Cambria Math" w:cs="Cambria Math"/>
                <w:color w:val="15272F" w:themeColor="text1"/>
                <w:sz w:val="16"/>
                <w:szCs w:val="16"/>
              </w:rPr>
              <w:t>‑</w:t>
            </w:r>
            <w:r w:rsidRPr="00392FDA">
              <w:rPr>
                <w:color w:val="15272F" w:themeColor="text1"/>
                <w:sz w:val="16"/>
                <w:szCs w:val="16"/>
              </w:rPr>
              <w:t xml:space="preserve">level risks that could materially impact IHACPA’s ability to deliver its purpose, legislative functions or strategic priorities. Enterprise risks are monitored by the Executive and reviewed by ARCC. </w:t>
            </w:r>
          </w:p>
          <w:p w14:paraId="3D9EA7B8" w14:textId="77777777" w:rsidR="00EB0D85" w:rsidRPr="00392FDA" w:rsidRDefault="00EB0D85" w:rsidP="00ED2732">
            <w:pPr>
              <w:pStyle w:val="TableParagraph"/>
              <w:framePr w:wrap="around"/>
              <w:jc w:val="left"/>
              <w:rPr>
                <w:color w:val="15272F" w:themeColor="text1"/>
                <w:sz w:val="16"/>
                <w:szCs w:val="16"/>
              </w:rPr>
            </w:pPr>
            <w:r w:rsidRPr="00392FDA">
              <w:rPr>
                <w:color w:val="15272F" w:themeColor="text1"/>
                <w:sz w:val="16"/>
                <w:szCs w:val="16"/>
              </w:rPr>
              <w:t>We have identified 4 key enterprise</w:t>
            </w:r>
            <w:r w:rsidRPr="00392FDA">
              <w:rPr>
                <w:rFonts w:ascii="Cambria Math" w:hAnsi="Cambria Math" w:cs="Cambria Math"/>
                <w:color w:val="15272F" w:themeColor="text1"/>
                <w:sz w:val="16"/>
                <w:szCs w:val="16"/>
              </w:rPr>
              <w:t>‑</w:t>
            </w:r>
            <w:r w:rsidRPr="00392FDA">
              <w:rPr>
                <w:color w:val="15272F" w:themeColor="text1"/>
                <w:sz w:val="16"/>
                <w:szCs w:val="16"/>
              </w:rPr>
              <w:t>level risk categories:</w:t>
            </w:r>
          </w:p>
          <w:p w14:paraId="0A950F5F" w14:textId="77777777" w:rsidR="00EB0D85" w:rsidRPr="00392FDA" w:rsidRDefault="00EB0D85" w:rsidP="00ED2732">
            <w:pPr>
              <w:pStyle w:val="TableParagraph"/>
              <w:framePr w:wrap="around"/>
              <w:jc w:val="left"/>
              <w:rPr>
                <w:color w:val="15272F" w:themeColor="text1"/>
                <w:sz w:val="16"/>
                <w:szCs w:val="16"/>
              </w:rPr>
            </w:pPr>
            <w:r w:rsidRPr="00392FDA">
              <w:rPr>
                <w:color w:val="15272F" w:themeColor="text1"/>
                <w:sz w:val="16"/>
                <w:szCs w:val="16"/>
              </w:rPr>
              <w:t xml:space="preserve">1. </w:t>
            </w:r>
            <w:r>
              <w:rPr>
                <w:color w:val="15272F" w:themeColor="text1"/>
                <w:sz w:val="16"/>
                <w:szCs w:val="16"/>
              </w:rPr>
              <w:t>r</w:t>
            </w:r>
            <w:r w:rsidRPr="00392FDA">
              <w:rPr>
                <w:color w:val="15272F" w:themeColor="text1"/>
                <w:sz w:val="16"/>
                <w:szCs w:val="16"/>
              </w:rPr>
              <w:t xml:space="preserve">eputational risks </w:t>
            </w:r>
          </w:p>
          <w:p w14:paraId="137B549B" w14:textId="77777777" w:rsidR="00EB0D85" w:rsidRPr="00392FDA" w:rsidRDefault="00EB0D85" w:rsidP="00ED2732">
            <w:pPr>
              <w:pStyle w:val="TableParagraph"/>
              <w:framePr w:wrap="around"/>
              <w:jc w:val="left"/>
              <w:rPr>
                <w:color w:val="15272F" w:themeColor="text1"/>
                <w:sz w:val="16"/>
                <w:szCs w:val="16"/>
              </w:rPr>
            </w:pPr>
            <w:r w:rsidRPr="00392FDA">
              <w:rPr>
                <w:color w:val="15272F" w:themeColor="text1"/>
                <w:sz w:val="16"/>
                <w:szCs w:val="16"/>
              </w:rPr>
              <w:t xml:space="preserve">2. </w:t>
            </w:r>
            <w:r>
              <w:rPr>
                <w:color w:val="15272F" w:themeColor="text1"/>
                <w:sz w:val="16"/>
                <w:szCs w:val="16"/>
              </w:rPr>
              <w:t>d</w:t>
            </w:r>
            <w:r w:rsidRPr="00392FDA">
              <w:rPr>
                <w:color w:val="15272F" w:themeColor="text1"/>
                <w:sz w:val="16"/>
                <w:szCs w:val="16"/>
              </w:rPr>
              <w:t>ata and information governance risks</w:t>
            </w:r>
          </w:p>
          <w:p w14:paraId="7D696E69" w14:textId="77777777" w:rsidR="00EB0D85" w:rsidRPr="00392FDA" w:rsidRDefault="00EB0D85" w:rsidP="00ED2732">
            <w:pPr>
              <w:pStyle w:val="TableParagraph"/>
              <w:framePr w:wrap="around"/>
              <w:jc w:val="left"/>
              <w:rPr>
                <w:color w:val="15272F" w:themeColor="text1"/>
                <w:sz w:val="16"/>
                <w:szCs w:val="16"/>
              </w:rPr>
            </w:pPr>
            <w:r w:rsidRPr="00392FDA">
              <w:rPr>
                <w:color w:val="15272F" w:themeColor="text1"/>
                <w:sz w:val="16"/>
                <w:szCs w:val="16"/>
              </w:rPr>
              <w:t xml:space="preserve">3. </w:t>
            </w:r>
            <w:r>
              <w:rPr>
                <w:color w:val="15272F" w:themeColor="text1"/>
                <w:sz w:val="16"/>
                <w:szCs w:val="16"/>
              </w:rPr>
              <w:t>c</w:t>
            </w:r>
            <w:r w:rsidRPr="00392FDA">
              <w:rPr>
                <w:color w:val="15272F" w:themeColor="text1"/>
                <w:sz w:val="16"/>
                <w:szCs w:val="16"/>
              </w:rPr>
              <w:t xml:space="preserve">orporate and operational risks </w:t>
            </w:r>
          </w:p>
          <w:p w14:paraId="50BDA383" w14:textId="77777777" w:rsidR="00EB0D85" w:rsidRPr="00ED2732" w:rsidRDefault="00EB0D85" w:rsidP="00ED2732">
            <w:pPr>
              <w:pStyle w:val="TableParagraph"/>
              <w:framePr w:wrap="around"/>
              <w:jc w:val="left"/>
              <w:rPr>
                <w:color w:val="15272F" w:themeColor="text1"/>
                <w:sz w:val="16"/>
                <w:szCs w:val="16"/>
              </w:rPr>
            </w:pPr>
            <w:r w:rsidRPr="00392FDA">
              <w:rPr>
                <w:color w:val="15272F" w:themeColor="text1"/>
                <w:sz w:val="16"/>
                <w:szCs w:val="16"/>
              </w:rPr>
              <w:t xml:space="preserve">4. </w:t>
            </w:r>
            <w:r>
              <w:rPr>
                <w:color w:val="15272F" w:themeColor="text1"/>
                <w:sz w:val="16"/>
                <w:szCs w:val="16"/>
              </w:rPr>
              <w:t>i</w:t>
            </w:r>
            <w:r w:rsidRPr="00392FDA">
              <w:rPr>
                <w:color w:val="15272F" w:themeColor="text1"/>
                <w:sz w:val="16"/>
                <w:szCs w:val="16"/>
              </w:rPr>
              <w:t>nnovation risks</w:t>
            </w:r>
            <w:r>
              <w:rPr>
                <w:color w:val="15272F" w:themeColor="text1"/>
                <w:sz w:val="16"/>
                <w:szCs w:val="16"/>
              </w:rPr>
              <w:t>.</w:t>
            </w:r>
          </w:p>
        </w:tc>
      </w:tr>
      <w:tr w:rsidR="00EB0D85" w:rsidRPr="004E67F4" w14:paraId="107A7581" w14:textId="77777777" w:rsidTr="00ED2732">
        <w:trPr>
          <w:cnfStyle w:val="000000100000" w:firstRow="0" w:lastRow="0" w:firstColumn="0" w:lastColumn="0" w:oddVBand="0" w:evenVBand="0" w:oddHBand="1" w:evenHBand="0" w:firstRowFirstColumn="0" w:firstRowLastColumn="0" w:lastRowFirstColumn="0" w:lastRowLastColumn="0"/>
          <w:trHeight w:val="20"/>
        </w:trPr>
        <w:tc>
          <w:tcPr>
            <w:tcW w:w="3828" w:type="dxa"/>
            <w:tcBorders>
              <w:top w:val="single" w:sz="4" w:space="0" w:color="DFEBF1" w:themeColor="accent1" w:themeTint="1A"/>
              <w:bottom w:val="single" w:sz="4" w:space="0" w:color="DFEBF1" w:themeColor="accent1" w:themeTint="1A"/>
            </w:tcBorders>
          </w:tcPr>
          <w:p w14:paraId="4A654346" w14:textId="77777777" w:rsidR="00EB0D85" w:rsidRPr="00392FDA" w:rsidRDefault="00EB0D85" w:rsidP="00ED2732">
            <w:pPr>
              <w:spacing w:before="120" w:after="120"/>
              <w:rPr>
                <w:rFonts w:cs="Arial"/>
                <w:sz w:val="16"/>
                <w:szCs w:val="16"/>
              </w:rPr>
            </w:pPr>
            <w:r w:rsidRPr="00392FDA">
              <w:rPr>
                <w:rFonts w:cs="Arial"/>
                <w:sz w:val="16"/>
                <w:szCs w:val="16"/>
              </w:rPr>
              <w:t>Program and project risks</w:t>
            </w:r>
          </w:p>
        </w:tc>
        <w:tc>
          <w:tcPr>
            <w:tcW w:w="5953" w:type="dxa"/>
            <w:tcBorders>
              <w:top w:val="single" w:sz="4" w:space="0" w:color="DFEBF1" w:themeColor="accent1" w:themeTint="1A"/>
              <w:bottom w:val="single" w:sz="4" w:space="0" w:color="DFEBF1" w:themeColor="accent1" w:themeTint="1A"/>
            </w:tcBorders>
            <w:vAlign w:val="center"/>
          </w:tcPr>
          <w:p w14:paraId="29D2A115" w14:textId="77777777" w:rsidR="00EB0D85" w:rsidRPr="00392FDA" w:rsidRDefault="00EB0D85" w:rsidP="00ED2732">
            <w:pPr>
              <w:pStyle w:val="TableParagraph"/>
              <w:framePr w:wrap="around"/>
              <w:jc w:val="left"/>
              <w:rPr>
                <w:color w:val="15272F" w:themeColor="text1"/>
                <w:sz w:val="16"/>
                <w:szCs w:val="16"/>
              </w:rPr>
            </w:pPr>
            <w:r w:rsidRPr="00392FDA">
              <w:rPr>
                <w:color w:val="15272F" w:themeColor="text1"/>
                <w:sz w:val="16"/>
                <w:szCs w:val="16"/>
              </w:rPr>
              <w:t>Program and project risks relate to uncertainties that may affect the delivery, continuity, scope, quality, timelines, resources or budget of IHACPA’s ongoing programs and time</w:t>
            </w:r>
            <w:r w:rsidRPr="00392FDA">
              <w:rPr>
                <w:rFonts w:ascii="Cambria Math" w:hAnsi="Cambria Math" w:cs="Cambria Math"/>
                <w:color w:val="15272F" w:themeColor="text1"/>
                <w:sz w:val="16"/>
                <w:szCs w:val="16"/>
              </w:rPr>
              <w:t>‑</w:t>
            </w:r>
            <w:r w:rsidRPr="00392FDA">
              <w:rPr>
                <w:color w:val="15272F" w:themeColor="text1"/>
                <w:sz w:val="16"/>
                <w:szCs w:val="16"/>
              </w:rPr>
              <w:t>limited initiatives. These risks may arise from changes in government priorities, data availability, stakeholder expectations, sector reforms or funding pressures. Effective management of program and project risks remain aligned with our organisational objectives, with risks monitored at the relevant division or project level and escalated when they have broader implications for our strategic priorities or operations.</w:t>
            </w:r>
          </w:p>
        </w:tc>
      </w:tr>
      <w:tr w:rsidR="00EB0D85" w:rsidRPr="004E67F4" w14:paraId="5DFE4716" w14:textId="77777777" w:rsidTr="00ED2732">
        <w:trPr>
          <w:cnfStyle w:val="000000010000" w:firstRow="0" w:lastRow="0" w:firstColumn="0" w:lastColumn="0" w:oddVBand="0" w:evenVBand="0" w:oddHBand="0" w:evenHBand="1" w:firstRowFirstColumn="0" w:firstRowLastColumn="0" w:lastRowFirstColumn="0" w:lastRowLastColumn="0"/>
          <w:trHeight w:val="20"/>
        </w:trPr>
        <w:tc>
          <w:tcPr>
            <w:tcW w:w="3828" w:type="dxa"/>
            <w:tcBorders>
              <w:top w:val="single" w:sz="4" w:space="0" w:color="DFEBF1" w:themeColor="accent1" w:themeTint="1A"/>
              <w:bottom w:val="single" w:sz="4" w:space="0" w:color="DFEBF1" w:themeColor="accent1" w:themeTint="1A"/>
            </w:tcBorders>
          </w:tcPr>
          <w:p w14:paraId="44FA854B" w14:textId="77777777" w:rsidR="00EB0D85" w:rsidRPr="00392FDA" w:rsidRDefault="00EB0D85" w:rsidP="00ED2732">
            <w:pPr>
              <w:spacing w:before="120" w:after="120"/>
              <w:rPr>
                <w:rFonts w:cs="Arial"/>
                <w:sz w:val="16"/>
                <w:szCs w:val="16"/>
              </w:rPr>
            </w:pPr>
            <w:r w:rsidRPr="00392FDA">
              <w:rPr>
                <w:rFonts w:cs="Arial"/>
                <w:sz w:val="16"/>
                <w:szCs w:val="16"/>
              </w:rPr>
              <w:t>Shared risks</w:t>
            </w:r>
          </w:p>
        </w:tc>
        <w:tc>
          <w:tcPr>
            <w:tcW w:w="5953" w:type="dxa"/>
            <w:tcBorders>
              <w:top w:val="single" w:sz="4" w:space="0" w:color="DFEBF1" w:themeColor="accent1" w:themeTint="1A"/>
              <w:bottom w:val="single" w:sz="4" w:space="0" w:color="DFEBF1" w:themeColor="accent1" w:themeTint="1A"/>
            </w:tcBorders>
            <w:vAlign w:val="center"/>
          </w:tcPr>
          <w:p w14:paraId="59D86742" w14:textId="77777777" w:rsidR="00EB0D85" w:rsidRPr="00392FDA" w:rsidRDefault="00EB0D85" w:rsidP="00ED2732">
            <w:pPr>
              <w:pStyle w:val="TableParagraph"/>
              <w:framePr w:wrap="around"/>
              <w:jc w:val="left"/>
              <w:rPr>
                <w:color w:val="15272F" w:themeColor="text1"/>
                <w:sz w:val="16"/>
                <w:szCs w:val="16"/>
              </w:rPr>
            </w:pPr>
            <w:r w:rsidRPr="00392FDA">
              <w:rPr>
                <w:color w:val="15272F" w:themeColor="text1"/>
                <w:sz w:val="16"/>
                <w:szCs w:val="16"/>
              </w:rPr>
              <w:t>Shared risks are those that relate to IHACPA’s responsibilities and objectives but extend beyond its direct control, requiring coordinated oversight with other agencies. We identify and manage these risks through engagement with the National Health Funding Body, the Department of Health, Disability and Ageing and other national bodies via shared risk registers and established committees, working groups and forums. Clear roles, coordinated decision-making, timely information sharing and joint monitoring support effective risk management.</w:t>
            </w:r>
          </w:p>
        </w:tc>
      </w:tr>
      <w:tr w:rsidR="00EB0D85" w:rsidRPr="004E67F4" w14:paraId="60B8E1AC" w14:textId="77777777" w:rsidTr="00ED2732">
        <w:trPr>
          <w:cnfStyle w:val="000000100000" w:firstRow="0" w:lastRow="0" w:firstColumn="0" w:lastColumn="0" w:oddVBand="0" w:evenVBand="0" w:oddHBand="1" w:evenHBand="0" w:firstRowFirstColumn="0" w:firstRowLastColumn="0" w:lastRowFirstColumn="0" w:lastRowLastColumn="0"/>
          <w:trHeight w:val="20"/>
        </w:trPr>
        <w:tc>
          <w:tcPr>
            <w:tcW w:w="3828" w:type="dxa"/>
            <w:tcBorders>
              <w:top w:val="single" w:sz="4" w:space="0" w:color="DFEBF1" w:themeColor="accent1" w:themeTint="1A"/>
              <w:bottom w:val="single" w:sz="4" w:space="0" w:color="DFEBF1" w:themeColor="accent1" w:themeTint="1A"/>
            </w:tcBorders>
          </w:tcPr>
          <w:p w14:paraId="7EF9F759" w14:textId="77777777" w:rsidR="00EB0D85" w:rsidRPr="00392FDA" w:rsidRDefault="00EB0D85" w:rsidP="00ED2732">
            <w:pPr>
              <w:spacing w:before="120" w:after="120"/>
              <w:rPr>
                <w:rFonts w:cs="Arial"/>
                <w:sz w:val="16"/>
                <w:szCs w:val="16"/>
              </w:rPr>
            </w:pPr>
            <w:r w:rsidRPr="00392FDA">
              <w:rPr>
                <w:rFonts w:cs="Arial"/>
                <w:sz w:val="16"/>
                <w:szCs w:val="16"/>
              </w:rPr>
              <w:t>Innovative and emerging risks</w:t>
            </w:r>
          </w:p>
        </w:tc>
        <w:tc>
          <w:tcPr>
            <w:tcW w:w="5953" w:type="dxa"/>
            <w:tcBorders>
              <w:top w:val="single" w:sz="4" w:space="0" w:color="DFEBF1" w:themeColor="accent1" w:themeTint="1A"/>
              <w:bottom w:val="single" w:sz="4" w:space="0" w:color="DFEBF1" w:themeColor="accent1" w:themeTint="1A"/>
            </w:tcBorders>
            <w:vAlign w:val="center"/>
          </w:tcPr>
          <w:p w14:paraId="569301CC" w14:textId="77777777" w:rsidR="00EB0D85" w:rsidRPr="00392FDA" w:rsidRDefault="00EB0D85" w:rsidP="00ED2732">
            <w:pPr>
              <w:pStyle w:val="TableParagraph"/>
              <w:framePr w:wrap="around"/>
              <w:jc w:val="left"/>
              <w:rPr>
                <w:color w:val="15272F" w:themeColor="text1"/>
                <w:sz w:val="16"/>
                <w:szCs w:val="16"/>
              </w:rPr>
            </w:pPr>
            <w:r w:rsidRPr="00392FDA">
              <w:rPr>
                <w:color w:val="15272F" w:themeColor="text1"/>
                <w:sz w:val="16"/>
                <w:szCs w:val="16"/>
              </w:rPr>
              <w:t xml:space="preserve">Emerging risks are developing or uncertain risks that may impact IHACPA in the future but are not yet sufficiently defined for inclusion in the main risk register. These may arise from innovative activities where the consequences </w:t>
            </w:r>
            <w:r w:rsidRPr="00152A5D">
              <w:rPr>
                <w:color w:val="15272F" w:themeColor="text1"/>
                <w:sz w:val="16"/>
                <w:szCs w:val="16"/>
              </w:rPr>
              <w:t>a</w:t>
            </w:r>
            <w:r w:rsidRPr="00392FDA">
              <w:rPr>
                <w:color w:val="15272F" w:themeColor="text1"/>
                <w:sz w:val="16"/>
                <w:szCs w:val="16"/>
              </w:rPr>
              <w:t>re not yet known, and where we maintain a higher tolerance for experimentation. Emerging risks will be captured in the risk library.</w:t>
            </w:r>
          </w:p>
        </w:tc>
      </w:tr>
    </w:tbl>
    <w:p w14:paraId="2FB67946" w14:textId="77777777" w:rsidR="00EB0D85" w:rsidRPr="00FF2A6C" w:rsidRDefault="00EB0D85" w:rsidP="00EB0D85"/>
    <w:p w14:paraId="06573A97" w14:textId="77777777" w:rsidR="00EB0D85" w:rsidRPr="00FF2A6C" w:rsidRDefault="00EB0D85" w:rsidP="00EB0D85">
      <w:r>
        <w:t xml:space="preserve">Additionally, we </w:t>
      </w:r>
      <w:r w:rsidRPr="00FF2A6C">
        <w:t xml:space="preserve">maintain a shared </w:t>
      </w:r>
      <w:r>
        <w:t>strategic risk register</w:t>
      </w:r>
      <w:r w:rsidRPr="00FF2A6C">
        <w:t xml:space="preserve"> with the National Health Funding Body and other national bodies</w:t>
      </w:r>
      <w:r>
        <w:t>. This register identifies</w:t>
      </w:r>
      <w:r w:rsidRPr="00FF2A6C">
        <w:t xml:space="preserve"> joint risks that the agencies manage together. </w:t>
      </w:r>
      <w:r>
        <w:t>The current risks</w:t>
      </w:r>
      <w:r w:rsidRPr="00FF2A6C">
        <w:t xml:space="preserve"> are:</w:t>
      </w:r>
    </w:p>
    <w:p w14:paraId="5B6F6342" w14:textId="77777777" w:rsidR="00EB0D85" w:rsidRPr="00FF2A6C" w:rsidRDefault="00EB0D85" w:rsidP="00EB0D85">
      <w:pPr>
        <w:pStyle w:val="ListLevel1"/>
      </w:pPr>
      <w:r w:rsidRPr="00FF2A6C">
        <w:t>incorrect calculation of Commonwealth funding entitlements</w:t>
      </w:r>
    </w:p>
    <w:p w14:paraId="5B3FC1DA" w14:textId="77777777" w:rsidR="00EB0D85" w:rsidRPr="00FF2A6C" w:rsidRDefault="00EB0D85" w:rsidP="00EB0D85">
      <w:pPr>
        <w:pStyle w:val="ListLevel1"/>
      </w:pPr>
      <w:r w:rsidRPr="00FF2A6C">
        <w:t>changes to models that have not been effectively modelled or implemented.</w:t>
      </w:r>
    </w:p>
    <w:p w14:paraId="37FCB119" w14:textId="4DB240B7" w:rsidR="00EB0D85" w:rsidRPr="00FF2A6C" w:rsidRDefault="00EB0D85" w:rsidP="00EB0D85">
      <w:r>
        <w:t>We are</w:t>
      </w:r>
      <w:r w:rsidRPr="00FF2A6C">
        <w:t xml:space="preserve"> also developing a joint risk register with the Department of Health, Disability and Age</w:t>
      </w:r>
      <w:r w:rsidR="008F7646">
        <w:t xml:space="preserve">ing </w:t>
      </w:r>
      <w:r w:rsidRPr="00FF2A6C">
        <w:t xml:space="preserve">in relation to </w:t>
      </w:r>
      <w:r>
        <w:t>our</w:t>
      </w:r>
      <w:r w:rsidRPr="00FF2A6C">
        <w:t xml:space="preserve"> accommodation functions.</w:t>
      </w:r>
    </w:p>
    <w:p w14:paraId="7422CAF2" w14:textId="77777777" w:rsidR="00EB0D85" w:rsidRPr="008938A3" w:rsidRDefault="00EB0D85" w:rsidP="00EB0D85">
      <w:r w:rsidRPr="008938A3">
        <w:t>We have a comprehensive risk management process that outlines how risks are identified, analysed, assessed, evaluated, treated, monitored and reviewed. We also use a risk assessment template, including a risk assessment matrix, to ensure a consistent approach to risk analysis.</w:t>
      </w:r>
    </w:p>
    <w:p w14:paraId="75D08EF6" w14:textId="77777777" w:rsidR="00EB0D85" w:rsidRPr="0061774A" w:rsidRDefault="00EB0D85" w:rsidP="00EB0D85">
      <w:pPr>
        <w:pStyle w:val="Heading2"/>
      </w:pPr>
      <w:bookmarkStart w:id="539" w:name="_Toc233022300"/>
      <w:bookmarkStart w:id="540" w:name="_Toc233023062"/>
      <w:bookmarkStart w:id="541" w:name="_Toc233023397"/>
      <w:bookmarkStart w:id="542" w:name="_Toc233028705"/>
      <w:bookmarkStart w:id="543" w:name="_Toc233028890"/>
      <w:bookmarkStart w:id="544" w:name="_Toc235787445"/>
      <w:bookmarkStart w:id="545" w:name="_Toc235791583"/>
      <w:bookmarkStart w:id="546" w:name="_Toc237872686"/>
      <w:r w:rsidRPr="0061774A">
        <w:t>Compliance</w:t>
      </w:r>
      <w:bookmarkEnd w:id="539"/>
      <w:bookmarkEnd w:id="540"/>
      <w:bookmarkEnd w:id="541"/>
      <w:bookmarkEnd w:id="542"/>
      <w:bookmarkEnd w:id="543"/>
      <w:bookmarkEnd w:id="544"/>
      <w:bookmarkEnd w:id="545"/>
      <w:bookmarkEnd w:id="546"/>
    </w:p>
    <w:p w14:paraId="5D0966AE" w14:textId="77777777" w:rsidR="00EB0D85" w:rsidRPr="00195818" w:rsidRDefault="00EB0D85" w:rsidP="00EB0D85">
      <w:pPr>
        <w:rPr>
          <w:rFonts w:cs="Arial"/>
        </w:rPr>
      </w:pPr>
      <w:r w:rsidRPr="00195818">
        <w:rPr>
          <w:rFonts w:cs="Arial"/>
        </w:rPr>
        <w:t>IHACPA has a broad range of compliance obligations</w:t>
      </w:r>
      <w:r>
        <w:rPr>
          <w:rFonts w:cs="Arial"/>
        </w:rPr>
        <w:t xml:space="preserve">. These include </w:t>
      </w:r>
      <w:r w:rsidRPr="00195818">
        <w:rPr>
          <w:rFonts w:cs="Arial"/>
        </w:rPr>
        <w:t xml:space="preserve">key statutory obligations set out in the NHR Act, </w:t>
      </w:r>
      <w:r w:rsidRPr="00195818">
        <w:rPr>
          <w:rFonts w:cs="Arial"/>
          <w:i/>
          <w:iCs/>
        </w:rPr>
        <w:t>Aged Care Act 2024</w:t>
      </w:r>
      <w:r w:rsidRPr="00195818">
        <w:rPr>
          <w:rFonts w:cs="Arial"/>
        </w:rPr>
        <w:t xml:space="preserve">, National Health Reform Agreement, </w:t>
      </w:r>
      <w:r w:rsidRPr="00195818">
        <w:rPr>
          <w:rFonts w:cs="Arial"/>
          <w:i/>
          <w:iCs/>
        </w:rPr>
        <w:t>Public Governance,</w:t>
      </w:r>
      <w:r w:rsidRPr="00195818">
        <w:rPr>
          <w:rFonts w:cs="Arial"/>
        </w:rPr>
        <w:t xml:space="preserve"> </w:t>
      </w:r>
      <w:r w:rsidRPr="00195818">
        <w:rPr>
          <w:rFonts w:cs="Arial"/>
          <w:i/>
          <w:iCs/>
        </w:rPr>
        <w:t xml:space="preserve">Performance and Accountability Act 2013 </w:t>
      </w:r>
      <w:r w:rsidRPr="00195818">
        <w:rPr>
          <w:rFonts w:cs="Arial"/>
        </w:rPr>
        <w:t>(PGPA Act), and Public Governance, Performance and Accountability Rule 2014 (PGPA Rule).</w:t>
      </w:r>
    </w:p>
    <w:p w14:paraId="4CB51008" w14:textId="77777777" w:rsidR="00EB0D85" w:rsidRPr="007A48B5" w:rsidRDefault="00EB0D85" w:rsidP="00EB0D85">
      <w:pPr>
        <w:rPr>
          <w:rFonts w:cs="Arial"/>
        </w:rPr>
      </w:pPr>
      <w:r w:rsidRPr="007A48B5">
        <w:rPr>
          <w:rFonts w:cs="Arial"/>
        </w:rPr>
        <w:lastRenderedPageBreak/>
        <w:t xml:space="preserve">Other legal and compliance obligations include work health and safety, intellectual property, public interest disclosure, the </w:t>
      </w:r>
      <w:r>
        <w:rPr>
          <w:rFonts w:cs="Arial"/>
        </w:rPr>
        <w:t>p</w:t>
      </w:r>
      <w:r w:rsidRPr="007A48B5">
        <w:rPr>
          <w:rFonts w:cs="Arial"/>
        </w:rPr>
        <w:t xml:space="preserve">rotective </w:t>
      </w:r>
      <w:r>
        <w:rPr>
          <w:rFonts w:cs="Arial"/>
        </w:rPr>
        <w:t>s</w:t>
      </w:r>
      <w:r w:rsidRPr="007A48B5">
        <w:rPr>
          <w:rFonts w:cs="Arial"/>
        </w:rPr>
        <w:t xml:space="preserve">ecurity </w:t>
      </w:r>
      <w:r>
        <w:rPr>
          <w:rFonts w:cs="Arial"/>
        </w:rPr>
        <w:t>p</w:t>
      </w:r>
      <w:r w:rsidRPr="007A48B5">
        <w:rPr>
          <w:rFonts w:cs="Arial"/>
        </w:rPr>
        <w:t xml:space="preserve">olicy </w:t>
      </w:r>
      <w:r>
        <w:rPr>
          <w:rFonts w:cs="Arial"/>
        </w:rPr>
        <w:t>f</w:t>
      </w:r>
      <w:r w:rsidRPr="007A48B5">
        <w:rPr>
          <w:rFonts w:cs="Arial"/>
        </w:rPr>
        <w:t>ramework, website accessibility and records management.</w:t>
      </w:r>
    </w:p>
    <w:p w14:paraId="5934CF2F" w14:textId="77777777" w:rsidR="00EB0D85" w:rsidRPr="007A48B5" w:rsidRDefault="00EB0D85" w:rsidP="00EB0D85">
      <w:pPr>
        <w:rPr>
          <w:rFonts w:cs="Arial"/>
        </w:rPr>
      </w:pPr>
      <w:r w:rsidRPr="007A48B5">
        <w:rPr>
          <w:rFonts w:cs="Arial"/>
        </w:rPr>
        <w:t xml:space="preserve">As the accountable authority, </w:t>
      </w:r>
      <w:r>
        <w:rPr>
          <w:rFonts w:cs="Arial"/>
        </w:rPr>
        <w:t>our</w:t>
      </w:r>
      <w:r w:rsidRPr="007A48B5">
        <w:rPr>
          <w:rFonts w:cs="Arial"/>
        </w:rPr>
        <w:t xml:space="preserve"> CEO receives management assurances on </w:t>
      </w:r>
      <w:r>
        <w:rPr>
          <w:rFonts w:cs="Arial"/>
        </w:rPr>
        <w:t>our</w:t>
      </w:r>
      <w:r w:rsidRPr="007A48B5">
        <w:rPr>
          <w:rFonts w:cs="Arial"/>
        </w:rPr>
        <w:t xml:space="preserve"> compliance with these obligations through an organised system of controls and special exercises. Th</w:t>
      </w:r>
      <w:r>
        <w:rPr>
          <w:rFonts w:cs="Arial"/>
        </w:rPr>
        <w:t xml:space="preserve">ese include </w:t>
      </w:r>
      <w:r w:rsidRPr="007A48B5">
        <w:rPr>
          <w:rFonts w:cs="Arial"/>
        </w:rPr>
        <w:t>substantive testing, monthly reports, exception notifications and compliance audits undertaken by an independent internal auditor and reviewed by ARCC.</w:t>
      </w:r>
    </w:p>
    <w:p w14:paraId="59FD1477" w14:textId="77777777" w:rsidR="00EB0D85" w:rsidRPr="007A48B5" w:rsidRDefault="00EB0D85" w:rsidP="00EB0D85">
      <w:pPr>
        <w:rPr>
          <w:rFonts w:cs="Arial"/>
        </w:rPr>
      </w:pPr>
      <w:r>
        <w:rPr>
          <w:rFonts w:cs="Arial"/>
        </w:rPr>
        <w:t>We also have</w:t>
      </w:r>
      <w:r w:rsidRPr="007A48B5">
        <w:rPr>
          <w:rFonts w:cs="Arial"/>
        </w:rPr>
        <w:t xml:space="preserve"> a compliance obligation that all staff complete essential eLearning training on these obligations </w:t>
      </w:r>
      <w:r>
        <w:rPr>
          <w:rFonts w:cs="Arial"/>
        </w:rPr>
        <w:t>on commencement and annually thereafter.</w:t>
      </w:r>
      <w:r w:rsidRPr="007A48B5">
        <w:rPr>
          <w:rFonts w:cs="Arial"/>
        </w:rPr>
        <w:t xml:space="preserve"> </w:t>
      </w:r>
    </w:p>
    <w:p w14:paraId="5D0703A1" w14:textId="77777777" w:rsidR="00EB0D85" w:rsidRDefault="00EB0D85" w:rsidP="00EB0D85">
      <w:pPr>
        <w:pStyle w:val="Heading2"/>
      </w:pPr>
      <w:bookmarkStart w:id="547" w:name="_Toc233022301"/>
      <w:bookmarkStart w:id="548" w:name="_Toc233023063"/>
      <w:bookmarkStart w:id="549" w:name="_Toc233023398"/>
      <w:bookmarkStart w:id="550" w:name="_Toc233028706"/>
      <w:bookmarkStart w:id="551" w:name="_Toc233028891"/>
      <w:bookmarkStart w:id="552" w:name="_Toc235787446"/>
      <w:bookmarkStart w:id="553" w:name="_Toc235791584"/>
      <w:bookmarkStart w:id="554" w:name="_Toc237872687"/>
      <w:r>
        <w:t>Assurance</w:t>
      </w:r>
      <w:bookmarkEnd w:id="547"/>
      <w:bookmarkEnd w:id="548"/>
      <w:bookmarkEnd w:id="549"/>
      <w:bookmarkEnd w:id="550"/>
      <w:bookmarkEnd w:id="551"/>
      <w:bookmarkEnd w:id="552"/>
      <w:bookmarkEnd w:id="553"/>
      <w:bookmarkEnd w:id="554"/>
      <w:r>
        <w:t xml:space="preserve"> </w:t>
      </w:r>
    </w:p>
    <w:p w14:paraId="71230EA1" w14:textId="77777777" w:rsidR="00EB0D85" w:rsidRPr="00195818" w:rsidRDefault="00EB0D85" w:rsidP="00EB0D85">
      <w:pPr>
        <w:rPr>
          <w:rFonts w:cs="Arial"/>
        </w:rPr>
      </w:pPr>
      <w:r w:rsidRPr="00195818">
        <w:rPr>
          <w:rFonts w:cs="Arial"/>
        </w:rPr>
        <w:t xml:space="preserve">IHACPA’s internal audit program in 2025–26 supported compliance and provided assurance </w:t>
      </w:r>
      <w:r>
        <w:rPr>
          <w:rFonts w:cs="Arial"/>
        </w:rPr>
        <w:t>on our</w:t>
      </w:r>
      <w:r w:rsidRPr="00195818">
        <w:rPr>
          <w:rFonts w:cs="Arial"/>
        </w:rPr>
        <w:t xml:space="preserve"> key delivery objectives and effectiveness of </w:t>
      </w:r>
      <w:r>
        <w:rPr>
          <w:rFonts w:cs="Arial"/>
        </w:rPr>
        <w:t>our</w:t>
      </w:r>
      <w:r w:rsidRPr="00195818">
        <w:rPr>
          <w:rFonts w:cs="Arial"/>
        </w:rPr>
        <w:t xml:space="preserve"> control frameworks.</w:t>
      </w:r>
    </w:p>
    <w:p w14:paraId="68F519D7" w14:textId="77777777" w:rsidR="00EB0D85" w:rsidRPr="00195818" w:rsidRDefault="00EB0D85" w:rsidP="00EB0D85">
      <w:pPr>
        <w:rPr>
          <w:rFonts w:cs="Arial"/>
        </w:rPr>
      </w:pPr>
      <w:r>
        <w:rPr>
          <w:rFonts w:cs="Arial"/>
        </w:rPr>
        <w:t>Our i</w:t>
      </w:r>
      <w:r w:rsidRPr="00195818">
        <w:rPr>
          <w:rFonts w:cs="Arial"/>
        </w:rPr>
        <w:t>nformation and communication technology systems were independently assessed as meeting relevant standards.</w:t>
      </w:r>
    </w:p>
    <w:p w14:paraId="1DED47EA" w14:textId="77777777" w:rsidR="00EB0D85" w:rsidRPr="00195818" w:rsidRDefault="00EB0D85" w:rsidP="00EB0D85">
      <w:pPr>
        <w:rPr>
          <w:rFonts w:cs="Arial"/>
        </w:rPr>
      </w:pPr>
      <w:r w:rsidRPr="00195818">
        <w:rPr>
          <w:rFonts w:cs="Arial"/>
        </w:rPr>
        <w:t xml:space="preserve">During the 2025–26 financial year, </w:t>
      </w:r>
      <w:r>
        <w:rPr>
          <w:rFonts w:cs="Arial"/>
        </w:rPr>
        <w:t xml:space="preserve">no </w:t>
      </w:r>
      <w:r w:rsidRPr="00195818">
        <w:rPr>
          <w:rFonts w:cs="Arial"/>
        </w:rPr>
        <w:t xml:space="preserve">compliance issues arose from </w:t>
      </w:r>
      <w:r>
        <w:rPr>
          <w:rFonts w:cs="Arial"/>
        </w:rPr>
        <w:t>our</w:t>
      </w:r>
      <w:r w:rsidRPr="00195818">
        <w:rPr>
          <w:rFonts w:cs="Arial"/>
        </w:rPr>
        <w:t xml:space="preserve"> administration of relevant sections of the NHR Act. </w:t>
      </w:r>
    </w:p>
    <w:p w14:paraId="32ECAAAF" w14:textId="77777777" w:rsidR="00EB0D85" w:rsidRDefault="00EB0D85" w:rsidP="00EB0D85">
      <w:pPr>
        <w:pStyle w:val="Heading2"/>
      </w:pPr>
      <w:bookmarkStart w:id="555" w:name="_Toc233022302"/>
      <w:bookmarkStart w:id="556" w:name="_Toc233023064"/>
      <w:bookmarkStart w:id="557" w:name="_Toc233023399"/>
      <w:bookmarkStart w:id="558" w:name="_Toc233028707"/>
      <w:bookmarkStart w:id="559" w:name="_Toc233028892"/>
      <w:bookmarkStart w:id="560" w:name="_Toc235787447"/>
      <w:bookmarkStart w:id="561" w:name="_Toc235791585"/>
      <w:bookmarkStart w:id="562" w:name="_Toc237872688"/>
      <w:r>
        <w:t>Procurement performance</w:t>
      </w:r>
      <w:bookmarkEnd w:id="555"/>
      <w:bookmarkEnd w:id="556"/>
      <w:bookmarkEnd w:id="557"/>
      <w:bookmarkEnd w:id="558"/>
      <w:bookmarkEnd w:id="559"/>
      <w:bookmarkEnd w:id="560"/>
      <w:bookmarkEnd w:id="561"/>
      <w:bookmarkEnd w:id="562"/>
    </w:p>
    <w:p w14:paraId="3C5CCAC6" w14:textId="77777777" w:rsidR="00EB0D85" w:rsidRPr="00195818" w:rsidRDefault="00EB0D85" w:rsidP="00EB0D85">
      <w:r>
        <w:t>We have reviewed our</w:t>
      </w:r>
      <w:r w:rsidRPr="00195818">
        <w:t xml:space="preserve"> internal procurement policies </w:t>
      </w:r>
      <w:r>
        <w:t>to ensure they align</w:t>
      </w:r>
      <w:r w:rsidRPr="00195818">
        <w:t xml:space="preserve"> with the Commonwealth Procurement Rules. </w:t>
      </w:r>
    </w:p>
    <w:p w14:paraId="4EDBE78B" w14:textId="77777777" w:rsidR="00EB0D85" w:rsidRPr="00195818" w:rsidRDefault="00EB0D85" w:rsidP="00EB0D85">
      <w:r>
        <w:t>We were</w:t>
      </w:r>
      <w:r w:rsidRPr="00195818">
        <w:t xml:space="preserve"> compliant with the Commonwealth Procurement Rules during the financial year.  </w:t>
      </w:r>
    </w:p>
    <w:p w14:paraId="654EA2A0" w14:textId="77777777" w:rsidR="00EB0D85" w:rsidRDefault="00EB0D85" w:rsidP="00EB0D85">
      <w:pPr>
        <w:pStyle w:val="Heading2"/>
      </w:pPr>
      <w:bookmarkStart w:id="563" w:name="_Toc233022303"/>
      <w:bookmarkStart w:id="564" w:name="_Toc233023065"/>
      <w:bookmarkStart w:id="565" w:name="_Toc233023400"/>
      <w:bookmarkStart w:id="566" w:name="_Toc233028708"/>
      <w:bookmarkStart w:id="567" w:name="_Toc233028893"/>
      <w:bookmarkStart w:id="568" w:name="_Toc235787448"/>
      <w:bookmarkStart w:id="569" w:name="_Toc235791586"/>
      <w:bookmarkStart w:id="570" w:name="_Toc237872689"/>
      <w:r>
        <w:t>Significant non-compliance issues with finance law</w:t>
      </w:r>
      <w:bookmarkEnd w:id="563"/>
      <w:bookmarkEnd w:id="564"/>
      <w:bookmarkEnd w:id="565"/>
      <w:bookmarkEnd w:id="566"/>
      <w:bookmarkEnd w:id="567"/>
      <w:bookmarkEnd w:id="568"/>
      <w:bookmarkEnd w:id="569"/>
      <w:bookmarkEnd w:id="570"/>
      <w:r>
        <w:t xml:space="preserve"> </w:t>
      </w:r>
    </w:p>
    <w:p w14:paraId="14C1B9E1" w14:textId="77777777" w:rsidR="00EB0D85" w:rsidRPr="00195818" w:rsidRDefault="00EB0D85" w:rsidP="00EB0D85">
      <w:r w:rsidRPr="00195818">
        <w:t xml:space="preserve">In 2025–26, </w:t>
      </w:r>
      <w:r>
        <w:t>we</w:t>
      </w:r>
      <w:r w:rsidRPr="00195818">
        <w:t xml:space="preserve"> made no reports to the Minister for Health and Ageing of significant </w:t>
      </w:r>
      <w:r>
        <w:br/>
      </w:r>
      <w:r w:rsidRPr="00195818">
        <w:t xml:space="preserve">non-compliance with finance law under section 19 of the PGPA Act. </w:t>
      </w:r>
    </w:p>
    <w:p w14:paraId="6704B9D6" w14:textId="77777777" w:rsidR="00EB0D85" w:rsidRPr="001C5F52" w:rsidRDefault="00EB0D85" w:rsidP="00EB0D85">
      <w:pPr>
        <w:pStyle w:val="Heading2"/>
      </w:pPr>
      <w:bookmarkStart w:id="571" w:name="_Toc233022304"/>
      <w:bookmarkStart w:id="572" w:name="_Toc233023066"/>
      <w:bookmarkStart w:id="573" w:name="_Toc233023401"/>
      <w:bookmarkStart w:id="574" w:name="_Toc233028709"/>
      <w:bookmarkStart w:id="575" w:name="_Toc233028894"/>
      <w:bookmarkStart w:id="576" w:name="_Toc235787449"/>
      <w:bookmarkStart w:id="577" w:name="_Toc235791587"/>
      <w:bookmarkStart w:id="578" w:name="_Toc237872690"/>
      <w:r w:rsidRPr="001C5F52">
        <w:t>Financial authorisation</w:t>
      </w:r>
      <w:bookmarkEnd w:id="571"/>
      <w:bookmarkEnd w:id="572"/>
      <w:bookmarkEnd w:id="573"/>
      <w:bookmarkEnd w:id="574"/>
      <w:bookmarkEnd w:id="575"/>
      <w:bookmarkEnd w:id="576"/>
      <w:bookmarkEnd w:id="577"/>
      <w:bookmarkEnd w:id="578"/>
    </w:p>
    <w:p w14:paraId="3B5A436C" w14:textId="77777777" w:rsidR="00EB0D85" w:rsidRPr="0051430A" w:rsidRDefault="00EB0D85" w:rsidP="00EB0D85">
      <w:pPr>
        <w:rPr>
          <w:rFonts w:cs="Arial"/>
        </w:rPr>
      </w:pPr>
      <w:r w:rsidRPr="0051430A">
        <w:rPr>
          <w:rFonts w:cs="Arial"/>
        </w:rPr>
        <w:t>As a corporate Commonwealth agency, IHACPA adheres to the PGPA Act</w:t>
      </w:r>
      <w:r>
        <w:rPr>
          <w:rFonts w:cs="Arial"/>
        </w:rPr>
        <w:t xml:space="preserve"> and the </w:t>
      </w:r>
      <w:r w:rsidRPr="0051430A">
        <w:rPr>
          <w:rFonts w:cs="Arial"/>
        </w:rPr>
        <w:t xml:space="preserve">PGPA Rule and is subject to the Commonwealth Procurement Rules. Line managers have value and purchase class limits in accordance with </w:t>
      </w:r>
      <w:r>
        <w:rPr>
          <w:rFonts w:cs="Arial"/>
        </w:rPr>
        <w:t>financial delegations approved</w:t>
      </w:r>
      <w:r w:rsidRPr="0051430A">
        <w:rPr>
          <w:rFonts w:cs="Arial"/>
        </w:rPr>
        <w:t xml:space="preserve"> and </w:t>
      </w:r>
      <w:r>
        <w:rPr>
          <w:rFonts w:cs="Arial"/>
        </w:rPr>
        <w:t xml:space="preserve">regularly </w:t>
      </w:r>
      <w:r w:rsidRPr="0051430A">
        <w:rPr>
          <w:rFonts w:cs="Arial"/>
        </w:rPr>
        <w:t>reviewed by the accountable authority.</w:t>
      </w:r>
    </w:p>
    <w:p w14:paraId="10D969AB" w14:textId="77777777" w:rsidR="00EB0D85" w:rsidRDefault="00EB0D85" w:rsidP="00EB0D85">
      <w:pPr>
        <w:pStyle w:val="Heading2"/>
      </w:pPr>
      <w:bookmarkStart w:id="579" w:name="_Toc233022305"/>
      <w:bookmarkStart w:id="580" w:name="_Toc233023067"/>
      <w:bookmarkStart w:id="581" w:name="_Toc233023402"/>
      <w:bookmarkStart w:id="582" w:name="_Toc233028710"/>
      <w:bookmarkStart w:id="583" w:name="_Toc233028895"/>
      <w:bookmarkStart w:id="584" w:name="_Toc235787450"/>
      <w:bookmarkStart w:id="585" w:name="_Toc235791588"/>
      <w:bookmarkStart w:id="586" w:name="_Toc237872691"/>
      <w:r>
        <w:t>Fraud and corruption control plan</w:t>
      </w:r>
      <w:bookmarkEnd w:id="579"/>
      <w:bookmarkEnd w:id="580"/>
      <w:bookmarkEnd w:id="581"/>
      <w:bookmarkEnd w:id="582"/>
      <w:bookmarkEnd w:id="583"/>
      <w:bookmarkEnd w:id="584"/>
      <w:bookmarkEnd w:id="585"/>
      <w:bookmarkEnd w:id="586"/>
      <w:r>
        <w:t xml:space="preserve"> </w:t>
      </w:r>
    </w:p>
    <w:p w14:paraId="7FB77A04" w14:textId="77777777" w:rsidR="00EB0D85" w:rsidRPr="000B7951" w:rsidRDefault="00EB0D85" w:rsidP="00EB0D85">
      <w:pPr>
        <w:rPr>
          <w:rFonts w:cs="Arial"/>
        </w:rPr>
      </w:pPr>
      <w:r w:rsidRPr="000B7951">
        <w:rPr>
          <w:rFonts w:cs="Arial"/>
        </w:rPr>
        <w:t xml:space="preserve">IHACPA’s fraud and corruption control plan is a critical internal tool to mitigate unauthorised use of </w:t>
      </w:r>
      <w:r>
        <w:rPr>
          <w:rFonts w:cs="Arial"/>
        </w:rPr>
        <w:t>our</w:t>
      </w:r>
      <w:r w:rsidRPr="000B7951">
        <w:rPr>
          <w:rFonts w:cs="Arial"/>
        </w:rPr>
        <w:t xml:space="preserve"> data and financial resources</w:t>
      </w:r>
      <w:r>
        <w:rPr>
          <w:rFonts w:cs="Arial"/>
        </w:rPr>
        <w:t xml:space="preserve"> and its impacts</w:t>
      </w:r>
      <w:r w:rsidRPr="000B7951">
        <w:rPr>
          <w:rFonts w:cs="Arial"/>
        </w:rPr>
        <w:t xml:space="preserve">. The plan supports </w:t>
      </w:r>
      <w:r>
        <w:rPr>
          <w:rFonts w:cs="Arial"/>
        </w:rPr>
        <w:t>our</w:t>
      </w:r>
      <w:r w:rsidRPr="000B7951">
        <w:rPr>
          <w:rFonts w:cs="Arial"/>
        </w:rPr>
        <w:t xml:space="preserve"> CEO as the accountable authority to meet legislative obligations under the Fraud and Corruption Rule (section 10 of the Public Governance, Performance and Accountability Rule 2014). The plan sets out </w:t>
      </w:r>
      <w:r>
        <w:rPr>
          <w:rFonts w:cs="Arial"/>
        </w:rPr>
        <w:t>our</w:t>
      </w:r>
      <w:r w:rsidRPr="000B7951">
        <w:rPr>
          <w:rFonts w:cs="Arial"/>
        </w:rPr>
        <w:t xml:space="preserve"> strategic and </w:t>
      </w:r>
      <w:r w:rsidRPr="000B7951">
        <w:rPr>
          <w:rFonts w:cs="Arial"/>
        </w:rPr>
        <w:lastRenderedPageBreak/>
        <w:t xml:space="preserve">operational approach to identifying, preventing, detecting and responding to fraud and corruption across the organisation, and </w:t>
      </w:r>
      <w:r>
        <w:rPr>
          <w:rFonts w:cs="Arial"/>
        </w:rPr>
        <w:t>supports</w:t>
      </w:r>
      <w:r w:rsidRPr="000B7951">
        <w:rPr>
          <w:rFonts w:cs="Arial"/>
        </w:rPr>
        <w:t xml:space="preserve"> understanding of current and emerging threats. This approach is supported by policies, procedures and practices that align with the Commonwealth Fraud and Corruption Control Framework and other best practices. </w:t>
      </w:r>
    </w:p>
    <w:p w14:paraId="3CD0F4CC" w14:textId="77777777" w:rsidR="00EB0D85" w:rsidRPr="000B7951" w:rsidRDefault="00EB0D85" w:rsidP="00EB0D85">
      <w:pPr>
        <w:rPr>
          <w:rFonts w:cs="Arial"/>
        </w:rPr>
      </w:pPr>
      <w:r>
        <w:rPr>
          <w:rFonts w:cs="Arial"/>
        </w:rPr>
        <w:t>We</w:t>
      </w:r>
      <w:r w:rsidRPr="000B7951">
        <w:rPr>
          <w:rFonts w:cs="Arial"/>
        </w:rPr>
        <w:t xml:space="preserve"> routinely monitor both internal and external factors that may influence or shift </w:t>
      </w:r>
      <w:r>
        <w:rPr>
          <w:rFonts w:cs="Arial"/>
        </w:rPr>
        <w:t>our</w:t>
      </w:r>
      <w:r w:rsidRPr="000B7951">
        <w:rPr>
          <w:rFonts w:cs="Arial"/>
        </w:rPr>
        <w:t xml:space="preserve"> fraud and corruption risk profile. To support this, we maintain a </w:t>
      </w:r>
      <w:r>
        <w:rPr>
          <w:rFonts w:cs="Arial"/>
        </w:rPr>
        <w:t>fraud and corruption risk register</w:t>
      </w:r>
      <w:r w:rsidRPr="000B7951">
        <w:rPr>
          <w:rFonts w:cs="Arial"/>
        </w:rPr>
        <w:t xml:space="preserve"> which documents </w:t>
      </w:r>
      <w:r>
        <w:rPr>
          <w:rFonts w:cs="Arial"/>
        </w:rPr>
        <w:t>6</w:t>
      </w:r>
      <w:r w:rsidRPr="000B7951">
        <w:rPr>
          <w:rFonts w:cs="Arial"/>
        </w:rPr>
        <w:t xml:space="preserve"> enterprise level fraud and corruption risks and their controls and mitigation strategies. </w:t>
      </w:r>
    </w:p>
    <w:p w14:paraId="374C0E00" w14:textId="77777777" w:rsidR="00EB0D85" w:rsidRPr="000B7951" w:rsidRDefault="00EB0D85" w:rsidP="00EB0D85">
      <w:pPr>
        <w:rPr>
          <w:rFonts w:cs="Arial"/>
        </w:rPr>
      </w:pPr>
      <w:r w:rsidRPr="000B7951">
        <w:rPr>
          <w:rFonts w:cs="Arial"/>
        </w:rPr>
        <w:t xml:space="preserve">Staff are required to undertake fraud and corruption awareness training </w:t>
      </w:r>
      <w:r>
        <w:rPr>
          <w:rFonts w:cs="Arial"/>
        </w:rPr>
        <w:t>on</w:t>
      </w:r>
      <w:r w:rsidRPr="000B7951">
        <w:rPr>
          <w:rFonts w:cs="Arial"/>
        </w:rPr>
        <w:t xml:space="preserve"> commencement </w:t>
      </w:r>
      <w:r>
        <w:rPr>
          <w:rFonts w:cs="Arial"/>
        </w:rPr>
        <w:t>and annually thereafter</w:t>
      </w:r>
      <w:r w:rsidRPr="000B7951">
        <w:rPr>
          <w:rFonts w:cs="Arial"/>
        </w:rPr>
        <w:t xml:space="preserve">. </w:t>
      </w:r>
    </w:p>
    <w:p w14:paraId="7BC1F24F" w14:textId="77777777" w:rsidR="00EB0D85" w:rsidRDefault="00EB0D85" w:rsidP="00EB0D85">
      <w:pPr>
        <w:pStyle w:val="Heading2"/>
      </w:pPr>
      <w:bookmarkStart w:id="587" w:name="_Toc233022306"/>
      <w:bookmarkStart w:id="588" w:name="_Toc233023068"/>
      <w:bookmarkStart w:id="589" w:name="_Toc233023403"/>
      <w:bookmarkStart w:id="590" w:name="_Toc233028711"/>
      <w:bookmarkStart w:id="591" w:name="_Toc233028896"/>
      <w:bookmarkStart w:id="592" w:name="_Toc235787451"/>
      <w:bookmarkStart w:id="593" w:name="_Toc235791589"/>
      <w:bookmarkStart w:id="594" w:name="_Toc237872692"/>
      <w:r>
        <w:t>Inter-agency financial activity</w:t>
      </w:r>
      <w:bookmarkEnd w:id="587"/>
      <w:bookmarkEnd w:id="588"/>
      <w:bookmarkEnd w:id="589"/>
      <w:bookmarkEnd w:id="590"/>
      <w:bookmarkEnd w:id="591"/>
      <w:bookmarkEnd w:id="592"/>
      <w:bookmarkEnd w:id="593"/>
      <w:bookmarkEnd w:id="594"/>
      <w:r>
        <w:t xml:space="preserve"> </w:t>
      </w:r>
    </w:p>
    <w:p w14:paraId="5A79B882" w14:textId="0708E7AA" w:rsidR="00EB0D85" w:rsidRDefault="00EB0D85" w:rsidP="00EB0D85">
      <w:pPr>
        <w:rPr>
          <w:rFonts w:cs="Arial"/>
        </w:rPr>
      </w:pPr>
      <w:r w:rsidRPr="0047602C">
        <w:rPr>
          <w:rFonts w:cs="Arial"/>
        </w:rPr>
        <w:t xml:space="preserve">During the 2025–26 financial year, IHACPA received shared services resourcing from </w:t>
      </w:r>
      <w:r w:rsidR="00BE4F4D">
        <w:rPr>
          <w:rFonts w:cs="Arial"/>
        </w:rPr>
        <w:t xml:space="preserve">the </w:t>
      </w:r>
      <w:r w:rsidRPr="0047602C">
        <w:rPr>
          <w:rFonts w:cs="Arial"/>
        </w:rPr>
        <w:t xml:space="preserve">department. The department charged </w:t>
      </w:r>
      <w:r w:rsidRPr="00A85C6F">
        <w:t>$</w:t>
      </w:r>
      <w:r>
        <w:t>1,130,000</w:t>
      </w:r>
      <w:r w:rsidRPr="0047602C">
        <w:t xml:space="preserve"> </w:t>
      </w:r>
      <w:r w:rsidRPr="0047602C">
        <w:rPr>
          <w:rFonts w:cs="Arial"/>
        </w:rPr>
        <w:t xml:space="preserve">to provide these services, </w:t>
      </w:r>
      <w:r>
        <w:rPr>
          <w:rFonts w:cs="Arial"/>
        </w:rPr>
        <w:t>which included</w:t>
      </w:r>
      <w:r w:rsidRPr="0047602C">
        <w:rPr>
          <w:rFonts w:cs="Arial"/>
        </w:rPr>
        <w:t xml:space="preserve"> treasury, financial transaction</w:t>
      </w:r>
      <w:r>
        <w:rPr>
          <w:rFonts w:cs="Arial"/>
        </w:rPr>
        <w:t xml:space="preserve"> processing</w:t>
      </w:r>
      <w:r w:rsidRPr="0047602C">
        <w:rPr>
          <w:rFonts w:cs="Arial"/>
        </w:rPr>
        <w:t xml:space="preserve">, information and communication </w:t>
      </w:r>
      <w:r>
        <w:rPr>
          <w:rFonts w:cs="Arial"/>
        </w:rPr>
        <w:t xml:space="preserve">technology </w:t>
      </w:r>
      <w:r w:rsidRPr="0047602C">
        <w:rPr>
          <w:rFonts w:cs="Arial"/>
        </w:rPr>
        <w:t>desktop services and parliamentary support.</w:t>
      </w:r>
    </w:p>
    <w:p w14:paraId="57DDCB4B" w14:textId="77777777" w:rsidR="00EB0D85" w:rsidRDefault="00EB0D85" w:rsidP="00EB0D85">
      <w:pPr>
        <w:rPr>
          <w:rFonts w:cs="Arial"/>
        </w:rPr>
      </w:pPr>
    </w:p>
    <w:p w14:paraId="374C3B05" w14:textId="77777777" w:rsidR="00EB0D85" w:rsidRDefault="00EB0D85" w:rsidP="00EB0D85">
      <w:pPr>
        <w:rPr>
          <w:rFonts w:cs="Arial"/>
        </w:rPr>
      </w:pPr>
    </w:p>
    <w:p w14:paraId="28110AEB" w14:textId="77777777" w:rsidR="00EB0D85" w:rsidRDefault="00EB0D85" w:rsidP="00EB0D85">
      <w:pPr>
        <w:rPr>
          <w:rFonts w:cs="Arial"/>
        </w:rPr>
      </w:pPr>
    </w:p>
    <w:p w14:paraId="1876051D" w14:textId="77777777" w:rsidR="00EB0D85" w:rsidRDefault="00EB0D85" w:rsidP="00EB0D85">
      <w:pPr>
        <w:rPr>
          <w:rFonts w:cs="Arial"/>
        </w:rPr>
      </w:pPr>
    </w:p>
    <w:p w14:paraId="09F4272B" w14:textId="77777777" w:rsidR="00EB0D85" w:rsidRDefault="00EB0D85" w:rsidP="00EB0D85">
      <w:pPr>
        <w:rPr>
          <w:rFonts w:cs="Arial"/>
        </w:rPr>
      </w:pPr>
    </w:p>
    <w:p w14:paraId="75EEF5FE" w14:textId="77777777" w:rsidR="00EB0D85" w:rsidRDefault="00EB0D85" w:rsidP="00EB0D85">
      <w:pPr>
        <w:rPr>
          <w:rFonts w:cs="Arial"/>
        </w:rPr>
      </w:pPr>
    </w:p>
    <w:p w14:paraId="5BA2F412" w14:textId="77777777" w:rsidR="00EB0D85" w:rsidRDefault="00EB0D85" w:rsidP="00EB0D85">
      <w:pPr>
        <w:rPr>
          <w:rFonts w:cs="Arial"/>
        </w:rPr>
      </w:pPr>
    </w:p>
    <w:p w14:paraId="0ECF262F" w14:textId="77777777" w:rsidR="00EB0D85" w:rsidRDefault="00EB0D85" w:rsidP="00EB0D85">
      <w:pPr>
        <w:rPr>
          <w:rFonts w:cs="Arial"/>
        </w:rPr>
      </w:pPr>
    </w:p>
    <w:p w14:paraId="4BF7EF14" w14:textId="77777777" w:rsidR="00EB0D85" w:rsidRDefault="00EB0D85" w:rsidP="00EB0D85">
      <w:pPr>
        <w:rPr>
          <w:rFonts w:cs="Arial"/>
        </w:rPr>
      </w:pPr>
    </w:p>
    <w:p w14:paraId="4F62343C" w14:textId="77777777" w:rsidR="00EB0D85" w:rsidRDefault="00EB0D85" w:rsidP="00EB0D85">
      <w:pPr>
        <w:rPr>
          <w:rFonts w:cs="Arial"/>
        </w:rPr>
      </w:pPr>
    </w:p>
    <w:p w14:paraId="50C7F5FD" w14:textId="77777777" w:rsidR="00EB0D85" w:rsidRPr="0047602C" w:rsidRDefault="00EB0D85" w:rsidP="00EB0D85">
      <w:pPr>
        <w:rPr>
          <w:rFonts w:cs="Arial"/>
        </w:rPr>
      </w:pPr>
    </w:p>
    <w:p w14:paraId="0AA83E27" w14:textId="77777777" w:rsidR="00EB0D85" w:rsidRDefault="00EB0D85" w:rsidP="00EB0D85">
      <w:pPr>
        <w:rPr>
          <w:rFonts w:cs="Arial"/>
        </w:rPr>
      </w:pPr>
    </w:p>
    <w:p w14:paraId="7365195C" w14:textId="77777777" w:rsidR="00EB0D85" w:rsidRDefault="00EB0D85" w:rsidP="00EB0D85">
      <w:pPr>
        <w:rPr>
          <w:rFonts w:cs="Arial"/>
        </w:rPr>
      </w:pPr>
    </w:p>
    <w:p w14:paraId="088ACB4C" w14:textId="77777777" w:rsidR="00EB0D85" w:rsidRDefault="00EB0D85" w:rsidP="00EB0D85">
      <w:pPr>
        <w:rPr>
          <w:rFonts w:cs="Arial"/>
        </w:rPr>
      </w:pPr>
    </w:p>
    <w:p w14:paraId="4FA5D33D" w14:textId="77777777" w:rsidR="00EB0D85" w:rsidRDefault="00EB0D85" w:rsidP="00EB0D85">
      <w:pPr>
        <w:rPr>
          <w:rFonts w:cs="Arial"/>
        </w:rPr>
      </w:pPr>
    </w:p>
    <w:p w14:paraId="34D3DE9A" w14:textId="77777777" w:rsidR="00EB0D85" w:rsidRPr="00195818" w:rsidRDefault="00EB0D85" w:rsidP="00EB0D85">
      <w:pPr>
        <w:rPr>
          <w:rFonts w:cs="Arial"/>
        </w:rPr>
      </w:pPr>
    </w:p>
    <w:p w14:paraId="048A02FC" w14:textId="77777777" w:rsidR="00EB0D85" w:rsidRDefault="00EB0D85" w:rsidP="00EB0D85">
      <w:pPr>
        <w:rPr>
          <w:rFonts w:cs="Arial"/>
          <w:color w:val="auto"/>
        </w:rPr>
      </w:pPr>
    </w:p>
    <w:p w14:paraId="3DA127BB" w14:textId="77777777" w:rsidR="00EB0D85" w:rsidRDefault="00EB0D85" w:rsidP="00EB0D85">
      <w:pPr>
        <w:rPr>
          <w:rFonts w:cs="Arial"/>
          <w:color w:val="auto"/>
        </w:rPr>
      </w:pPr>
    </w:p>
    <w:p w14:paraId="6A7E14E3" w14:textId="77777777" w:rsidR="00EB0D85" w:rsidRDefault="00EB0D85" w:rsidP="00EB0D85">
      <w:pPr>
        <w:rPr>
          <w:rFonts w:cs="Arial"/>
          <w:color w:val="auto"/>
        </w:rPr>
      </w:pPr>
    </w:p>
    <w:p w14:paraId="2234C43A" w14:textId="77777777" w:rsidR="00EB0D85" w:rsidRDefault="00EB0D85" w:rsidP="00EB0D85">
      <w:pPr>
        <w:pStyle w:val="Sectionnumber"/>
        <w:rPr>
          <w:rFonts w:ascii="Arial" w:hAnsi="Arial" w:cs="Arial"/>
          <w:color w:val="15272F" w:themeColor="text1"/>
        </w:rPr>
      </w:pPr>
      <w:r w:rsidRPr="007C342E">
        <w:rPr>
          <w:rFonts w:ascii="Arial" w:hAnsi="Arial" w:cs="Arial"/>
          <w:color w:val="15272F" w:themeColor="text1"/>
        </w:rPr>
        <w:lastRenderedPageBreak/>
        <w:t>0</w:t>
      </w:r>
      <w:r>
        <w:rPr>
          <w:rFonts w:ascii="Arial" w:hAnsi="Arial" w:cs="Arial"/>
          <w:color w:val="15272F" w:themeColor="text1"/>
        </w:rPr>
        <w:t>4</w:t>
      </w:r>
    </w:p>
    <w:p w14:paraId="5D58AC53" w14:textId="77777777" w:rsidR="00EB0D85" w:rsidRPr="0047602C" w:rsidRDefault="00EB0D85" w:rsidP="00EB0D85">
      <w:pPr>
        <w:pStyle w:val="Sectionnumber"/>
        <w:rPr>
          <w:rFonts w:ascii="Arial" w:hAnsi="Arial" w:cs="Arial"/>
          <w:color w:val="15272F" w:themeColor="text1"/>
        </w:rPr>
      </w:pPr>
      <w:r w:rsidRPr="009D6C95">
        <w:rPr>
          <w:rFonts w:ascii="Arial" w:hAnsi="Arial" w:cs="Arial"/>
          <w:color w:val="15272F" w:themeColor="text1"/>
          <w:sz w:val="72"/>
          <w:szCs w:val="72"/>
        </w:rPr>
        <w:t>Annual performance statements</w:t>
      </w:r>
    </w:p>
    <w:p w14:paraId="3F2B080B" w14:textId="77777777" w:rsidR="00EB0D85" w:rsidRPr="00195818" w:rsidRDefault="00EB0D85" w:rsidP="00EB0D85">
      <w:pPr>
        <w:pStyle w:val="Heading1"/>
      </w:pPr>
      <w:bookmarkStart w:id="595" w:name="_Toc230068309"/>
      <w:bookmarkStart w:id="596" w:name="_Toc233022307"/>
      <w:bookmarkStart w:id="597" w:name="_Toc233023069"/>
      <w:bookmarkStart w:id="598" w:name="_Toc233023404"/>
      <w:bookmarkStart w:id="599" w:name="_Toc233028712"/>
      <w:bookmarkStart w:id="600" w:name="_Toc233028897"/>
      <w:bookmarkStart w:id="601" w:name="_Toc235787452"/>
      <w:bookmarkStart w:id="602" w:name="_Toc235791590"/>
      <w:bookmarkStart w:id="603" w:name="_Toc237872693"/>
      <w:r w:rsidRPr="00195818">
        <w:lastRenderedPageBreak/>
        <w:t>4.1</w:t>
      </w:r>
      <w:r w:rsidRPr="00195818">
        <w:tab/>
        <w:t>Introductory statement</w:t>
      </w:r>
      <w:bookmarkEnd w:id="595"/>
      <w:bookmarkEnd w:id="596"/>
      <w:bookmarkEnd w:id="597"/>
      <w:bookmarkEnd w:id="598"/>
      <w:bookmarkEnd w:id="599"/>
      <w:bookmarkEnd w:id="600"/>
      <w:bookmarkEnd w:id="601"/>
      <w:bookmarkEnd w:id="602"/>
      <w:bookmarkEnd w:id="603"/>
    </w:p>
    <w:p w14:paraId="70E06536" w14:textId="77777777" w:rsidR="00EB0D85" w:rsidRPr="00195818" w:rsidRDefault="00EB0D85" w:rsidP="00EB0D85">
      <w:pPr>
        <w:rPr>
          <w:rFonts w:cs="Arial"/>
        </w:rPr>
      </w:pPr>
      <w:r w:rsidRPr="00195818">
        <w:rPr>
          <w:rFonts w:cs="Arial"/>
        </w:rPr>
        <w:t>I, Professor Michael Pervan, as the accountable authority of the Independent Health and Aged Care Pricing Authority (IHACPA), present the 202</w:t>
      </w:r>
      <w:bookmarkStart w:id="604" w:name="_Hlk205993207"/>
      <w:r w:rsidRPr="00195818">
        <w:rPr>
          <w:rFonts w:cs="Arial"/>
        </w:rPr>
        <w:t>5–</w:t>
      </w:r>
      <w:bookmarkEnd w:id="604"/>
      <w:r w:rsidRPr="00195818">
        <w:rPr>
          <w:rFonts w:cs="Arial"/>
        </w:rPr>
        <w:t xml:space="preserve">26 annual performance statements of IHACPA, as required under paragraph 39(1)(a) of the </w:t>
      </w:r>
      <w:r w:rsidRPr="00195818">
        <w:rPr>
          <w:rFonts w:cs="Arial"/>
          <w:i/>
          <w:iCs/>
        </w:rPr>
        <w:t>Public Governance, Performance and Accountability Act 2013</w:t>
      </w:r>
      <w:r w:rsidRPr="00195818">
        <w:rPr>
          <w:rFonts w:cs="Arial"/>
        </w:rPr>
        <w:t xml:space="preserve"> (PGPA Act).</w:t>
      </w:r>
    </w:p>
    <w:p w14:paraId="6B97B2F0" w14:textId="77777777" w:rsidR="00EB0D85" w:rsidRPr="00195818" w:rsidRDefault="00EB0D85" w:rsidP="00EB0D85">
      <w:pPr>
        <w:rPr>
          <w:rFonts w:cs="Arial"/>
        </w:rPr>
      </w:pPr>
      <w:r w:rsidRPr="00195818">
        <w:rPr>
          <w:rFonts w:cs="Arial"/>
        </w:rPr>
        <w:t>In my opinion, these annual performance statements are based on properly maintained records, accurately reflect the performance of the entity and comply with sub-section 39(2) of the PGPA Act (section 16F of the PGPA Rule).</w:t>
      </w:r>
    </w:p>
    <w:p w14:paraId="35B897CD" w14:textId="77777777" w:rsidR="00EB0D85" w:rsidRPr="00195818" w:rsidRDefault="00EB0D85" w:rsidP="00EB0D85">
      <w:pPr>
        <w:spacing w:after="120" w:line="256" w:lineRule="auto"/>
        <w:rPr>
          <w:rFonts w:eastAsia="Fira Sans regular" w:cs="Arial"/>
        </w:rPr>
      </w:pPr>
    </w:p>
    <w:p w14:paraId="05A45BA2" w14:textId="77777777" w:rsidR="00EB0D85" w:rsidRPr="00195818" w:rsidDel="001769FE" w:rsidRDefault="00EB0D85" w:rsidP="00EB0D85">
      <w:pPr>
        <w:pStyle w:val="Heading1"/>
      </w:pPr>
      <w:bookmarkStart w:id="605" w:name="_Toc228267093"/>
      <w:bookmarkStart w:id="606" w:name="_Toc230068310"/>
      <w:bookmarkStart w:id="607" w:name="_Toc233022308"/>
      <w:bookmarkStart w:id="608" w:name="_Toc233023070"/>
      <w:bookmarkStart w:id="609" w:name="_Toc233023405"/>
      <w:bookmarkStart w:id="610" w:name="_Toc233028713"/>
      <w:bookmarkStart w:id="611" w:name="_Toc233028898"/>
      <w:bookmarkStart w:id="612" w:name="_Toc235787453"/>
      <w:bookmarkStart w:id="613" w:name="_Toc235791591"/>
      <w:bookmarkStart w:id="614" w:name="_Toc237872694"/>
      <w:r w:rsidRPr="00195818">
        <w:t>4.2</w:t>
      </w:r>
      <w:r w:rsidRPr="00195818">
        <w:tab/>
      </w:r>
      <w:r w:rsidRPr="00195818" w:rsidDel="001769FE">
        <w:t>Performance in 202</w:t>
      </w:r>
      <w:r w:rsidRPr="00195818">
        <w:t>5</w:t>
      </w:r>
      <w:r w:rsidRPr="00195818" w:rsidDel="001769FE">
        <w:t>–2</w:t>
      </w:r>
      <w:r w:rsidRPr="00195818">
        <w:t>6</w:t>
      </w:r>
      <w:r>
        <w:t xml:space="preserve"> –</w:t>
      </w:r>
      <w:r w:rsidRPr="00195818" w:rsidDel="001769FE">
        <w:t xml:space="preserve"> </w:t>
      </w:r>
      <w:r>
        <w:t>P</w:t>
      </w:r>
      <w:r w:rsidRPr="00195818" w:rsidDel="001769FE">
        <w:t xml:space="preserve">ortfolio </w:t>
      </w:r>
      <w:r>
        <w:t>B</w:t>
      </w:r>
      <w:r w:rsidRPr="00195818" w:rsidDel="001769FE">
        <w:t xml:space="preserve">udget </w:t>
      </w:r>
      <w:bookmarkEnd w:id="605"/>
      <w:bookmarkEnd w:id="606"/>
      <w:bookmarkEnd w:id="607"/>
      <w:bookmarkEnd w:id="608"/>
      <w:bookmarkEnd w:id="609"/>
      <w:bookmarkEnd w:id="610"/>
      <w:bookmarkEnd w:id="611"/>
      <w:r>
        <w:t>S</w:t>
      </w:r>
      <w:r w:rsidRPr="00195818" w:rsidDel="001769FE">
        <w:t>tatements</w:t>
      </w:r>
      <w:bookmarkEnd w:id="612"/>
      <w:bookmarkEnd w:id="613"/>
      <w:bookmarkEnd w:id="614"/>
    </w:p>
    <w:p w14:paraId="0D5C0642" w14:textId="77777777" w:rsidR="00EB0D85" w:rsidRPr="00195818" w:rsidRDefault="00EB0D85" w:rsidP="00EB0D85">
      <w:r w:rsidRPr="00195818" w:rsidDel="001769FE">
        <w:t>In 202</w:t>
      </w:r>
      <w:r w:rsidRPr="00195818">
        <w:t>5</w:t>
      </w:r>
      <w:r w:rsidRPr="00195818" w:rsidDel="001769FE">
        <w:t>–2</w:t>
      </w:r>
      <w:r w:rsidRPr="00195818">
        <w:t>6</w:t>
      </w:r>
      <w:r w:rsidRPr="00195818" w:rsidDel="001769FE">
        <w:t xml:space="preserve">, </w:t>
      </w:r>
      <w:r>
        <w:t>we</w:t>
      </w:r>
      <w:r w:rsidRPr="00195818" w:rsidDel="001769FE">
        <w:t xml:space="preserve"> ac</w:t>
      </w:r>
      <w:r w:rsidRPr="00195818">
        <w:t>hie</w:t>
      </w:r>
      <w:r w:rsidRPr="00195818" w:rsidDel="001769FE">
        <w:t xml:space="preserve">ved </w:t>
      </w:r>
      <w:r>
        <w:t>our</w:t>
      </w:r>
      <w:r w:rsidRPr="00195818" w:rsidDel="001769FE">
        <w:t xml:space="preserve"> deliverables in line with the </w:t>
      </w:r>
      <w:bookmarkStart w:id="615" w:name="_Hlk198641371"/>
      <w:r w:rsidRPr="00195818" w:rsidDel="001769FE">
        <w:t>Health and Aged Care Portfolio Budget Statements 202</w:t>
      </w:r>
      <w:r w:rsidRPr="00195818">
        <w:t>5</w:t>
      </w:r>
      <w:r w:rsidRPr="00195818" w:rsidDel="001769FE">
        <w:t>–2</w:t>
      </w:r>
      <w:r w:rsidRPr="00195818">
        <w:t>6</w:t>
      </w:r>
      <w:r w:rsidRPr="00195818" w:rsidDel="001769FE">
        <w:t xml:space="preserve"> </w:t>
      </w:r>
      <w:bookmarkEnd w:id="615"/>
      <w:r w:rsidRPr="00195818" w:rsidDel="001769FE">
        <w:t xml:space="preserve">and </w:t>
      </w:r>
      <w:bookmarkStart w:id="616" w:name="_Hlk198641417"/>
      <w:r w:rsidRPr="00195818" w:rsidDel="001769FE">
        <w:t>the IHACPA Work Program and Corporate Plan 202</w:t>
      </w:r>
      <w:r w:rsidRPr="00195818">
        <w:t>5</w:t>
      </w:r>
      <w:r w:rsidRPr="00195818" w:rsidDel="001769FE">
        <w:t>–2</w:t>
      </w:r>
      <w:bookmarkEnd w:id="616"/>
      <w:r w:rsidRPr="00195818">
        <w:t>6</w:t>
      </w:r>
      <w:r w:rsidRPr="00195818" w:rsidDel="001769FE">
        <w:t>.</w:t>
      </w:r>
    </w:p>
    <w:p w14:paraId="1E68D27E" w14:textId="77777777" w:rsidR="00EB0D85" w:rsidRPr="0051430A" w:rsidRDefault="00EB0D85" w:rsidP="00EB0D85">
      <w:r w:rsidRPr="0051430A">
        <w:t xml:space="preserve">The </w:t>
      </w:r>
      <w:r>
        <w:t>p</w:t>
      </w:r>
      <w:r w:rsidRPr="0051430A">
        <w:t xml:space="preserve">ortfolio </w:t>
      </w:r>
      <w:r>
        <w:t>b</w:t>
      </w:r>
      <w:r w:rsidRPr="0051430A" w:rsidDel="001769FE">
        <w:t xml:space="preserve">udget </w:t>
      </w:r>
      <w:r>
        <w:t>s</w:t>
      </w:r>
      <w:r w:rsidRPr="0051430A" w:rsidDel="001769FE">
        <w:t xml:space="preserve">tatements </w:t>
      </w:r>
      <w:r w:rsidRPr="0051430A">
        <w:t>provide</w:t>
      </w:r>
      <w:r>
        <w:t xml:space="preserve"> </w:t>
      </w:r>
      <w:r w:rsidRPr="0051430A">
        <w:t xml:space="preserve">performance information for programs of work undertaken by Commonwealth entities for 2025–26. </w:t>
      </w:r>
    </w:p>
    <w:p w14:paraId="365FEE50" w14:textId="77777777" w:rsidR="00EB0D85" w:rsidRPr="0051430A" w:rsidRDefault="00EB0D85" w:rsidP="00EB0D85">
      <w:r w:rsidRPr="0051430A">
        <w:t xml:space="preserve">Under the PGPA Act and PGPA Rule, </w:t>
      </w:r>
      <w:r>
        <w:t>we are</w:t>
      </w:r>
      <w:r w:rsidRPr="0051430A">
        <w:t xml:space="preserve"> required to publish a 4-year </w:t>
      </w:r>
      <w:r>
        <w:t>c</w:t>
      </w:r>
      <w:r w:rsidRPr="0051430A">
        <w:t xml:space="preserve">orporate </w:t>
      </w:r>
      <w:r>
        <w:t>p</w:t>
      </w:r>
      <w:r w:rsidRPr="0051430A">
        <w:t xml:space="preserve">lan that defines our purpose, key activities and operating context, as well as our work set out in the </w:t>
      </w:r>
      <w:r>
        <w:t>p</w:t>
      </w:r>
      <w:r w:rsidRPr="0051430A">
        <w:t xml:space="preserve">ortfolio </w:t>
      </w:r>
      <w:r>
        <w:t>b</w:t>
      </w:r>
      <w:r w:rsidRPr="0051430A">
        <w:t xml:space="preserve">udget </w:t>
      </w:r>
      <w:r>
        <w:t>s</w:t>
      </w:r>
      <w:r w:rsidRPr="0051430A">
        <w:t>tatement</w:t>
      </w:r>
      <w:r>
        <w:t>s</w:t>
      </w:r>
      <w:r w:rsidRPr="0051430A">
        <w:t>. In 2026</w:t>
      </w:r>
      <w:r>
        <w:t>,</w:t>
      </w:r>
      <w:r w:rsidRPr="00002809">
        <w:t xml:space="preserve"> </w:t>
      </w:r>
      <w:r w:rsidRPr="0051430A">
        <w:t xml:space="preserve">following a review that identified opportunities to strengthen alignment, improve consistency, better meet the PGPA requirements and Department of Finance best practice guidelines, </w:t>
      </w:r>
      <w:r>
        <w:t>we</w:t>
      </w:r>
      <w:r w:rsidRPr="0051430A">
        <w:t xml:space="preserve"> separated </w:t>
      </w:r>
      <w:r>
        <w:t>our</w:t>
      </w:r>
      <w:r w:rsidRPr="0051430A">
        <w:t xml:space="preserve"> </w:t>
      </w:r>
      <w:r>
        <w:t>c</w:t>
      </w:r>
      <w:r w:rsidRPr="0051430A">
        <w:t xml:space="preserve">orporate </w:t>
      </w:r>
      <w:r>
        <w:t>p</w:t>
      </w:r>
      <w:r w:rsidRPr="0051430A">
        <w:t xml:space="preserve">lan from </w:t>
      </w:r>
      <w:r>
        <w:t>the</w:t>
      </w:r>
      <w:r w:rsidRPr="0051430A">
        <w:t xml:space="preserve"> </w:t>
      </w:r>
      <w:r>
        <w:t>w</w:t>
      </w:r>
      <w:r w:rsidRPr="0051430A">
        <w:t xml:space="preserve">ork </w:t>
      </w:r>
      <w:r>
        <w:t>p</w:t>
      </w:r>
      <w:r w:rsidRPr="0051430A">
        <w:t xml:space="preserve">rogram. </w:t>
      </w:r>
    </w:p>
    <w:p w14:paraId="194631EE" w14:textId="77777777" w:rsidR="00EB0D85" w:rsidRPr="0051430A" w:rsidRDefault="00EB0D85" w:rsidP="00EB0D85">
      <w:r>
        <w:t>Our w</w:t>
      </w:r>
      <w:r w:rsidRPr="0051430A">
        <w:t xml:space="preserve">ork </w:t>
      </w:r>
      <w:r>
        <w:t>p</w:t>
      </w:r>
      <w:r w:rsidRPr="0051430A">
        <w:t>rogram outlines the agency’s key activities under the NHR Act</w:t>
      </w:r>
      <w:r>
        <w:t>. It</w:t>
      </w:r>
      <w:r w:rsidRPr="0051430A">
        <w:t xml:space="preserve"> has been developed </w:t>
      </w:r>
      <w:r>
        <w:t>in consultation</w:t>
      </w:r>
      <w:r w:rsidRPr="0051430A">
        <w:t xml:space="preserve"> with government</w:t>
      </w:r>
      <w:r>
        <w:t>,</w:t>
      </w:r>
      <w:r w:rsidRPr="0051430A">
        <w:t xml:space="preserve"> health and aged care sector stakeholders. </w:t>
      </w:r>
    </w:p>
    <w:p w14:paraId="34F63A26" w14:textId="77777777" w:rsidR="00EB0D85" w:rsidRPr="0051430A" w:rsidRDefault="00EB0D85" w:rsidP="00EB0D85">
      <w:r w:rsidRPr="0051430A">
        <w:t xml:space="preserve">The relationships between the </w:t>
      </w:r>
      <w:r>
        <w:t>P</w:t>
      </w:r>
      <w:r w:rsidRPr="0051430A">
        <w:t xml:space="preserve">ortfolio </w:t>
      </w:r>
      <w:r>
        <w:t>B</w:t>
      </w:r>
      <w:r w:rsidRPr="0051430A">
        <w:t xml:space="preserve">udget </w:t>
      </w:r>
      <w:r>
        <w:t>S</w:t>
      </w:r>
      <w:r w:rsidRPr="0051430A">
        <w:t xml:space="preserve">tatements, </w:t>
      </w:r>
      <w:r>
        <w:t>c</w:t>
      </w:r>
      <w:r w:rsidRPr="0051430A">
        <w:t xml:space="preserve">orporate </w:t>
      </w:r>
      <w:r>
        <w:t>p</w:t>
      </w:r>
      <w:r w:rsidRPr="0051430A">
        <w:t xml:space="preserve">lan and </w:t>
      </w:r>
      <w:r>
        <w:t>a</w:t>
      </w:r>
      <w:r w:rsidRPr="0051430A">
        <w:t>nnual performance statements for 2025–26 is d</w:t>
      </w:r>
      <w:r>
        <w:t xml:space="preserve">isplayed </w:t>
      </w:r>
      <w:r w:rsidRPr="0051430A">
        <w:t xml:space="preserve">in </w:t>
      </w:r>
      <w:r w:rsidRPr="0051430A">
        <w:rPr>
          <w:b/>
          <w:bCs/>
        </w:rPr>
        <w:t>Figure 6</w:t>
      </w:r>
      <w:r w:rsidRPr="0051430A">
        <w:t xml:space="preserve">. </w:t>
      </w:r>
    </w:p>
    <w:p w14:paraId="6521909B" w14:textId="77777777" w:rsidR="00EB0D85" w:rsidRDefault="00EB0D85" w:rsidP="00EB0D85"/>
    <w:p w14:paraId="53B56B1D" w14:textId="77777777" w:rsidR="00EB0D85" w:rsidRDefault="00EB0D85" w:rsidP="00EB0D85"/>
    <w:p w14:paraId="71DB2B72" w14:textId="77777777" w:rsidR="00EB0D85" w:rsidRDefault="00EB0D85" w:rsidP="00EB0D85"/>
    <w:p w14:paraId="001EB48C" w14:textId="77777777" w:rsidR="00EB0D85" w:rsidRDefault="00EB0D85" w:rsidP="00EB0D85">
      <w:pPr>
        <w:rPr>
          <w:b/>
          <w:bCs/>
        </w:rPr>
      </w:pPr>
      <w:r w:rsidRPr="00195818">
        <w:rPr>
          <w:noProof/>
        </w:rPr>
        <w:lastRenderedPageBreak/>
        <w:drawing>
          <wp:anchor distT="0" distB="0" distL="114300" distR="114300" simplePos="0" relativeHeight="251669504" behindDoc="0" locked="0" layoutInCell="1" allowOverlap="1" wp14:anchorId="786D7748" wp14:editId="1A860C2E">
            <wp:simplePos x="0" y="0"/>
            <wp:positionH relativeFrom="margin">
              <wp:align>left</wp:align>
            </wp:positionH>
            <wp:positionV relativeFrom="paragraph">
              <wp:posOffset>637540</wp:posOffset>
            </wp:positionV>
            <wp:extent cx="6138545" cy="6167755"/>
            <wp:effectExtent l="0" t="0" r="0" b="4445"/>
            <wp:wrapSquare wrapText="bothSides"/>
            <wp:docPr id="2118428849" name="Picture 1" descr="A close-up of a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428849" name="Picture 1" descr="A close-up of a report&#10;&#10;AI-generated content may be incorrect."/>
                    <pic:cNvPicPr/>
                  </pic:nvPicPr>
                  <pic:blipFill rotWithShape="1">
                    <a:blip r:embed="rId42">
                      <a:extLst>
                        <a:ext uri="{28A0092B-C50C-407E-A947-70E740481C1C}">
                          <a14:useLocalDpi xmlns:a14="http://schemas.microsoft.com/office/drawing/2010/main" val="0"/>
                        </a:ext>
                      </a:extLst>
                    </a:blip>
                    <a:srcRect l="7383" t="2890" r="4438" b="5181"/>
                    <a:stretch>
                      <a:fillRect/>
                    </a:stretch>
                  </pic:blipFill>
                  <pic:spPr bwMode="auto">
                    <a:xfrm>
                      <a:off x="0" y="0"/>
                      <a:ext cx="6138545" cy="6167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95818">
        <w:rPr>
          <w:b/>
          <w:bCs/>
        </w:rPr>
        <w:t>Figure 6</w:t>
      </w:r>
      <w:r>
        <w:rPr>
          <w:b/>
          <w:bCs/>
        </w:rPr>
        <w:t>:</w:t>
      </w:r>
      <w:r w:rsidRPr="00195818">
        <w:rPr>
          <w:b/>
          <w:bCs/>
        </w:rPr>
        <w:t xml:space="preserve"> Relationship between</w:t>
      </w:r>
      <w:r>
        <w:rPr>
          <w:b/>
          <w:bCs/>
        </w:rPr>
        <w:t xml:space="preserve"> IHACPA’s</w:t>
      </w:r>
      <w:r w:rsidRPr="00195818">
        <w:rPr>
          <w:b/>
          <w:bCs/>
        </w:rPr>
        <w:t xml:space="preserve"> </w:t>
      </w:r>
      <w:r>
        <w:rPr>
          <w:b/>
          <w:bCs/>
        </w:rPr>
        <w:t>P</w:t>
      </w:r>
      <w:r w:rsidRPr="00195818">
        <w:rPr>
          <w:b/>
          <w:bCs/>
        </w:rPr>
        <w:t xml:space="preserve">ortfolio </w:t>
      </w:r>
      <w:r>
        <w:rPr>
          <w:b/>
          <w:bCs/>
        </w:rPr>
        <w:t>B</w:t>
      </w:r>
      <w:r w:rsidRPr="00195818">
        <w:rPr>
          <w:b/>
          <w:bCs/>
        </w:rPr>
        <w:t xml:space="preserve">udget </w:t>
      </w:r>
      <w:r>
        <w:rPr>
          <w:b/>
          <w:bCs/>
        </w:rPr>
        <w:t>S</w:t>
      </w:r>
      <w:r w:rsidRPr="00195818">
        <w:rPr>
          <w:b/>
          <w:bCs/>
        </w:rPr>
        <w:t xml:space="preserve">tatements, </w:t>
      </w:r>
      <w:r>
        <w:rPr>
          <w:b/>
          <w:bCs/>
        </w:rPr>
        <w:t>w</w:t>
      </w:r>
      <w:r w:rsidRPr="00195818">
        <w:rPr>
          <w:b/>
          <w:bCs/>
        </w:rPr>
        <w:t xml:space="preserve">ork </w:t>
      </w:r>
      <w:r>
        <w:rPr>
          <w:b/>
          <w:bCs/>
        </w:rPr>
        <w:t>p</w:t>
      </w:r>
      <w:r w:rsidRPr="00195818">
        <w:rPr>
          <w:b/>
          <w:bCs/>
        </w:rPr>
        <w:t xml:space="preserve">rogram and </w:t>
      </w:r>
      <w:r>
        <w:rPr>
          <w:b/>
          <w:bCs/>
        </w:rPr>
        <w:t>c</w:t>
      </w:r>
      <w:r w:rsidRPr="00195818">
        <w:rPr>
          <w:b/>
          <w:bCs/>
        </w:rPr>
        <w:t xml:space="preserve">orporate </w:t>
      </w:r>
      <w:r>
        <w:rPr>
          <w:b/>
          <w:bCs/>
        </w:rPr>
        <w:t>p</w:t>
      </w:r>
      <w:r w:rsidRPr="00195818">
        <w:rPr>
          <w:b/>
          <w:bCs/>
        </w:rPr>
        <w:t xml:space="preserve">lan and </w:t>
      </w:r>
      <w:r>
        <w:rPr>
          <w:b/>
          <w:bCs/>
        </w:rPr>
        <w:t>a</w:t>
      </w:r>
      <w:r w:rsidRPr="00195818">
        <w:rPr>
          <w:b/>
          <w:bCs/>
        </w:rPr>
        <w:t>nnual performance statements</w:t>
      </w:r>
      <w:r>
        <w:rPr>
          <w:b/>
          <w:bCs/>
        </w:rPr>
        <w:t xml:space="preserve"> </w:t>
      </w:r>
      <w:bookmarkStart w:id="617" w:name="_Toc233022309"/>
      <w:bookmarkStart w:id="618" w:name="_Toc233023071"/>
      <w:bookmarkStart w:id="619" w:name="_Toc233023406"/>
      <w:bookmarkStart w:id="620" w:name="_Toc233028714"/>
      <w:bookmarkStart w:id="621" w:name="_Toc233028899"/>
    </w:p>
    <w:p w14:paraId="3501035A" w14:textId="77777777" w:rsidR="00EB0D85" w:rsidRDefault="00EB0D85" w:rsidP="00EB0D85">
      <w:pPr>
        <w:rPr>
          <w:b/>
          <w:bCs/>
        </w:rPr>
      </w:pPr>
    </w:p>
    <w:p w14:paraId="02EA58C9" w14:textId="77777777" w:rsidR="00EB0D85" w:rsidRPr="001C48C2" w:rsidRDefault="00EB0D85" w:rsidP="00EB0D85">
      <w:pPr>
        <w:rPr>
          <w:b/>
          <w:bCs/>
        </w:rPr>
      </w:pPr>
    </w:p>
    <w:p w14:paraId="735CC4A6" w14:textId="77777777" w:rsidR="00EB0D85" w:rsidRDefault="00EB0D85" w:rsidP="00EB0D85">
      <w:pPr>
        <w:pStyle w:val="Heading1"/>
      </w:pPr>
      <w:bookmarkStart w:id="622" w:name="_Toc235787454"/>
      <w:bookmarkStart w:id="623" w:name="_Toc235791592"/>
      <w:bookmarkStart w:id="624" w:name="_Toc237872695"/>
      <w:r w:rsidRPr="00195818">
        <w:lastRenderedPageBreak/>
        <w:t>4.3</w:t>
      </w:r>
      <w:r w:rsidRPr="00195818">
        <w:tab/>
        <w:t xml:space="preserve">Strategic </w:t>
      </w:r>
      <w:r>
        <w:t>o</w:t>
      </w:r>
      <w:r w:rsidRPr="00195818">
        <w:t xml:space="preserve">bjective </w:t>
      </w:r>
      <w:r>
        <w:t>o</w:t>
      </w:r>
      <w:r w:rsidRPr="00195818">
        <w:t xml:space="preserve">ne: Perform pricing </w:t>
      </w:r>
      <w:r w:rsidRPr="0051430A">
        <w:t>functions</w:t>
      </w:r>
      <w:bookmarkEnd w:id="617"/>
      <w:bookmarkEnd w:id="618"/>
      <w:bookmarkEnd w:id="619"/>
      <w:bookmarkEnd w:id="620"/>
      <w:bookmarkEnd w:id="621"/>
      <w:bookmarkEnd w:id="622"/>
      <w:bookmarkEnd w:id="623"/>
      <w:bookmarkEnd w:id="624"/>
      <w:r w:rsidRPr="0051430A">
        <w:t xml:space="preserve"> </w:t>
      </w:r>
    </w:p>
    <w:p w14:paraId="48F105E6" w14:textId="77777777" w:rsidR="00EB0D85" w:rsidRPr="007C3172" w:rsidRDefault="00EB0D85" w:rsidP="00EB0D85">
      <w:bookmarkStart w:id="625" w:name="_Toc233021833"/>
      <w:bookmarkStart w:id="626" w:name="_Toc233022310"/>
      <w:bookmarkStart w:id="627" w:name="_Toc233023072"/>
      <w:bookmarkStart w:id="628" w:name="_Toc233023407"/>
      <w:bookmarkStart w:id="629" w:name="_Toc233023539"/>
      <w:bookmarkStart w:id="630" w:name="_Toc233028715"/>
      <w:bookmarkStart w:id="631" w:name="_Toc233028900"/>
      <w:r w:rsidRPr="007C3172">
        <w:t>IHACPA’s primary functions are to determine the national efficient price (NEP) and the national efficient cost (NEC) for Australian public hospital services and provide</w:t>
      </w:r>
      <w:r>
        <w:t xml:space="preserve"> annual</w:t>
      </w:r>
      <w:r w:rsidRPr="007C3172">
        <w:t xml:space="preserve"> pricing advice for aged care services to the Australian </w:t>
      </w:r>
      <w:r>
        <w:t>G</w:t>
      </w:r>
      <w:r w:rsidRPr="007C3172">
        <w:t xml:space="preserve">overnment. Detailed information about the methodology used to develop IHACPA’s pricing determinations, pricing advice and their underpinning policy basis is published on </w:t>
      </w:r>
      <w:r>
        <w:t>our</w:t>
      </w:r>
      <w:r w:rsidRPr="007C3172">
        <w:t xml:space="preserve"> </w:t>
      </w:r>
      <w:hyperlink r:id="rId43" w:history="1">
        <w:r w:rsidRPr="00777BC4">
          <w:rPr>
            <w:rStyle w:val="Hyperlink"/>
          </w:rPr>
          <w:t>website</w:t>
        </w:r>
      </w:hyperlink>
      <w:r w:rsidRPr="007C3172">
        <w:t>. </w:t>
      </w:r>
    </w:p>
    <w:p w14:paraId="617C2131" w14:textId="77777777" w:rsidR="00EB0D85" w:rsidRPr="00B72DC8" w:rsidRDefault="00EB0D85" w:rsidP="00EB0D85">
      <w:pPr>
        <w:pStyle w:val="Heading2"/>
      </w:pPr>
      <w:bookmarkStart w:id="632" w:name="_Toc235786124"/>
      <w:bookmarkStart w:id="633" w:name="_Toc235787455"/>
      <w:bookmarkStart w:id="634" w:name="_Toc235791593"/>
      <w:bookmarkStart w:id="635" w:name="_Toc237872696"/>
      <w:r w:rsidRPr="00B72DC8">
        <w:t>Public hospital services</w:t>
      </w:r>
      <w:bookmarkEnd w:id="625"/>
      <w:bookmarkEnd w:id="626"/>
      <w:bookmarkEnd w:id="627"/>
      <w:bookmarkEnd w:id="628"/>
      <w:bookmarkEnd w:id="629"/>
      <w:bookmarkEnd w:id="630"/>
      <w:bookmarkEnd w:id="631"/>
      <w:bookmarkEnd w:id="632"/>
      <w:bookmarkEnd w:id="633"/>
      <w:bookmarkEnd w:id="634"/>
      <w:bookmarkEnd w:id="635"/>
    </w:p>
    <w:p w14:paraId="7212506E" w14:textId="77777777" w:rsidR="00EB0D85" w:rsidRPr="00B72DC8" w:rsidRDefault="00EB0D85" w:rsidP="00EB0D85">
      <w:pPr>
        <w:rPr>
          <w:rFonts w:cs="Arial"/>
          <w:color w:val="auto"/>
        </w:rPr>
      </w:pPr>
      <w:r w:rsidRPr="00195818">
        <w:rPr>
          <w:rFonts w:cs="Arial"/>
        </w:rPr>
        <w:t>To support the refinement of the NEP and NEC determinations</w:t>
      </w:r>
      <w:r>
        <w:rPr>
          <w:rFonts w:cs="Arial"/>
        </w:rPr>
        <w:t>,</w:t>
      </w:r>
      <w:r w:rsidRPr="00195818">
        <w:rPr>
          <w:rFonts w:cs="Arial"/>
        </w:rPr>
        <w:t xml:space="preserve"> and the development and refinement of the national activity</w:t>
      </w:r>
      <w:r>
        <w:rPr>
          <w:rFonts w:cs="Arial"/>
        </w:rPr>
        <w:t>-</w:t>
      </w:r>
      <w:r w:rsidRPr="00195818">
        <w:rPr>
          <w:rFonts w:cs="Arial"/>
        </w:rPr>
        <w:t xml:space="preserve">based funding (ABF) system for public hospital services, </w:t>
      </w:r>
      <w:r>
        <w:rPr>
          <w:rFonts w:cs="Arial"/>
        </w:rPr>
        <w:t>we held</w:t>
      </w:r>
      <w:r w:rsidRPr="00195818">
        <w:rPr>
          <w:rFonts w:cs="Arial"/>
        </w:rPr>
        <w:t xml:space="preserve"> </w:t>
      </w:r>
      <w:r>
        <w:rPr>
          <w:rFonts w:cs="Arial"/>
        </w:rPr>
        <w:t xml:space="preserve">public </w:t>
      </w:r>
      <w:r w:rsidRPr="00195818">
        <w:rPr>
          <w:rFonts w:cs="Arial"/>
        </w:rPr>
        <w:t>consultation</w:t>
      </w:r>
      <w:r>
        <w:rPr>
          <w:rFonts w:cs="Arial"/>
        </w:rPr>
        <w:t>s</w:t>
      </w:r>
      <w:r w:rsidRPr="00195818">
        <w:rPr>
          <w:rFonts w:cs="Arial"/>
        </w:rPr>
        <w:t xml:space="preserve"> </w:t>
      </w:r>
      <w:r>
        <w:rPr>
          <w:rFonts w:cs="Arial"/>
        </w:rPr>
        <w:t>to encourage feedback from</w:t>
      </w:r>
      <w:r w:rsidRPr="00195818">
        <w:rPr>
          <w:rFonts w:cs="Arial"/>
        </w:rPr>
        <w:t xml:space="preserve"> the healthcare </w:t>
      </w:r>
      <w:r>
        <w:rPr>
          <w:rFonts w:cs="Arial"/>
        </w:rPr>
        <w:t>sector</w:t>
      </w:r>
      <w:r w:rsidRPr="00195818">
        <w:rPr>
          <w:rFonts w:cs="Arial"/>
        </w:rPr>
        <w:t xml:space="preserve"> and </w:t>
      </w:r>
      <w:r>
        <w:rPr>
          <w:rFonts w:cs="Arial"/>
        </w:rPr>
        <w:t>the community</w:t>
      </w:r>
      <w:r w:rsidRPr="00195818">
        <w:rPr>
          <w:rFonts w:cs="Arial"/>
        </w:rPr>
        <w:t>. The outcomes of the public consultation</w:t>
      </w:r>
      <w:r>
        <w:rPr>
          <w:rFonts w:cs="Arial"/>
        </w:rPr>
        <w:t>s</w:t>
      </w:r>
      <w:r w:rsidRPr="00195818">
        <w:rPr>
          <w:rFonts w:cs="Arial"/>
        </w:rPr>
        <w:t xml:space="preserve"> informed the development of the </w:t>
      </w:r>
      <w:hyperlink r:id="rId44" w:history="1">
        <w:r w:rsidRPr="00325016">
          <w:rPr>
            <w:rStyle w:val="Hyperlink"/>
            <w:rFonts w:cs="Arial"/>
          </w:rPr>
          <w:t>Pricing Framework for Australian Public Hospital Services 2026–27</w:t>
        </w:r>
      </w:hyperlink>
      <w:r>
        <w:t>,</w:t>
      </w:r>
      <w:r w:rsidRPr="00E214FE">
        <w:rPr>
          <w:rFonts w:cs="Arial"/>
        </w:rPr>
        <w:t xml:space="preserve"> </w:t>
      </w:r>
      <w:r w:rsidRPr="00195818">
        <w:rPr>
          <w:rFonts w:cs="Arial"/>
        </w:rPr>
        <w:t xml:space="preserve">which was published on 4 December 2025. The </w:t>
      </w:r>
      <w:r>
        <w:rPr>
          <w:rFonts w:cs="Arial"/>
        </w:rPr>
        <w:t>p</w:t>
      </w:r>
      <w:r w:rsidRPr="00195818">
        <w:rPr>
          <w:rFonts w:cs="Arial"/>
        </w:rPr>
        <w:t xml:space="preserve">ricing </w:t>
      </w:r>
      <w:r>
        <w:rPr>
          <w:rFonts w:cs="Arial"/>
        </w:rPr>
        <w:t>f</w:t>
      </w:r>
      <w:r w:rsidRPr="00195818">
        <w:rPr>
          <w:rFonts w:cs="Arial"/>
        </w:rPr>
        <w:t>ramework includes IHACPA’s policy basis, principles and scope for</w:t>
      </w:r>
      <w:r>
        <w:rPr>
          <w:rFonts w:cs="Arial"/>
        </w:rPr>
        <w:t xml:space="preserve"> the</w:t>
      </w:r>
      <w:r w:rsidRPr="00195818">
        <w:rPr>
          <w:rFonts w:cs="Arial"/>
        </w:rPr>
        <w:t xml:space="preserve"> </w:t>
      </w:r>
      <w:hyperlink r:id="rId45" w:history="1">
        <w:r>
          <w:rPr>
            <w:rStyle w:val="Hyperlink"/>
            <w:rFonts w:cs="Arial"/>
          </w:rPr>
          <w:t>NEP Determination 2026–27</w:t>
        </w:r>
      </w:hyperlink>
      <w:r w:rsidRPr="00E214FE">
        <w:rPr>
          <w:rFonts w:cs="Arial"/>
        </w:rPr>
        <w:t xml:space="preserve"> </w:t>
      </w:r>
      <w:r>
        <w:rPr>
          <w:rFonts w:cs="Arial"/>
        </w:rPr>
        <w:t xml:space="preserve">(NEP26) </w:t>
      </w:r>
      <w:r w:rsidRPr="00195818">
        <w:rPr>
          <w:rFonts w:cs="Arial"/>
        </w:rPr>
        <w:t>and</w:t>
      </w:r>
      <w:r w:rsidRPr="00E214FE">
        <w:rPr>
          <w:rFonts w:cs="Arial"/>
        </w:rPr>
        <w:t xml:space="preserve"> </w:t>
      </w:r>
      <w:hyperlink r:id="rId46" w:history="1">
        <w:r w:rsidRPr="004D2851">
          <w:rPr>
            <w:rStyle w:val="Hyperlink"/>
            <w:rFonts w:cs="Arial"/>
          </w:rPr>
          <w:t>NEC Determination 2026–27</w:t>
        </w:r>
      </w:hyperlink>
      <w:r>
        <w:t xml:space="preserve"> (NEC26). </w:t>
      </w:r>
      <w:r>
        <w:rPr>
          <w:rFonts w:eastAsia="Arial" w:cs="Arial"/>
        </w:rPr>
        <w:t>O</w:t>
      </w:r>
      <w:r w:rsidRPr="00EB3F1E">
        <w:rPr>
          <w:rFonts w:eastAsia="Arial" w:cs="Arial"/>
        </w:rPr>
        <w:t>n</w:t>
      </w:r>
      <w:r w:rsidRPr="00EB3F1E">
        <w:rPr>
          <w:rFonts w:cs="Arial"/>
        </w:rPr>
        <w:t xml:space="preserve"> 11 March 2026</w:t>
      </w:r>
      <w:r>
        <w:rPr>
          <w:rFonts w:cs="Arial"/>
        </w:rPr>
        <w:t xml:space="preserve">, </w:t>
      </w:r>
      <w:r>
        <w:rPr>
          <w:rFonts w:eastAsia="Arial" w:cs="Arial"/>
        </w:rPr>
        <w:t>t</w:t>
      </w:r>
      <w:r w:rsidRPr="00EB3F1E">
        <w:rPr>
          <w:rFonts w:eastAsia="Arial" w:cs="Arial"/>
        </w:rPr>
        <w:t xml:space="preserve">he determinations were provided to all </w:t>
      </w:r>
      <w:r>
        <w:rPr>
          <w:rFonts w:eastAsia="Arial" w:cs="Arial"/>
        </w:rPr>
        <w:t>h</w:t>
      </w:r>
      <w:r w:rsidRPr="00EB3F1E">
        <w:rPr>
          <w:rFonts w:eastAsia="Arial" w:cs="Arial"/>
        </w:rPr>
        <w:t xml:space="preserve">ealth </w:t>
      </w:r>
      <w:r>
        <w:rPr>
          <w:rFonts w:eastAsia="Arial" w:cs="Arial"/>
        </w:rPr>
        <w:t>m</w:t>
      </w:r>
      <w:r w:rsidRPr="00EB3F1E">
        <w:rPr>
          <w:rFonts w:eastAsia="Arial" w:cs="Arial"/>
        </w:rPr>
        <w:t>inisters and published on our website</w:t>
      </w:r>
      <w:r w:rsidRPr="00EB3F1E">
        <w:rPr>
          <w:rFonts w:cs="Arial"/>
        </w:rPr>
        <w:t>.</w:t>
      </w:r>
    </w:p>
    <w:p w14:paraId="43A480ED" w14:textId="77777777" w:rsidR="00EB0D85" w:rsidRPr="0085397E" w:rsidRDefault="00EB0D85" w:rsidP="00EB0D85">
      <w:pPr>
        <w:rPr>
          <w:rFonts w:cs="Arial"/>
        </w:rPr>
      </w:pPr>
      <w:r>
        <w:rPr>
          <w:rFonts w:cs="Arial"/>
        </w:rPr>
        <w:t xml:space="preserve">Following 4 years of shadow pricing, community mental health transitioned to activity-based funding and has been priced using the Australian Mental Health Care Classification Version 1.1 since 1 July 2025. </w:t>
      </w:r>
    </w:p>
    <w:p w14:paraId="18F2CC68" w14:textId="77777777" w:rsidR="00EB0D85" w:rsidRPr="00195818" w:rsidRDefault="00EB0D85" w:rsidP="00EB0D85">
      <w:pPr>
        <w:rPr>
          <w:rFonts w:cs="Arial"/>
        </w:rPr>
      </w:pPr>
      <w:r w:rsidRPr="00195818">
        <w:rPr>
          <w:rFonts w:cs="Arial"/>
        </w:rPr>
        <w:t xml:space="preserve">The </w:t>
      </w:r>
      <w:r>
        <w:rPr>
          <w:rFonts w:cs="Arial"/>
        </w:rPr>
        <w:t>A</w:t>
      </w:r>
      <w:r w:rsidRPr="00195818">
        <w:rPr>
          <w:rFonts w:cs="Arial"/>
        </w:rPr>
        <w:t xml:space="preserve">ddendum to the National Health Reform Agreement 2026–31 (NHRA) specified a range of updates and changes to the calculation of </w:t>
      </w:r>
      <w:r>
        <w:rPr>
          <w:rFonts w:cs="Arial"/>
        </w:rPr>
        <w:t>Australian Government</w:t>
      </w:r>
      <w:r w:rsidRPr="00195818">
        <w:rPr>
          <w:rFonts w:cs="Arial"/>
        </w:rPr>
        <w:t xml:space="preserve"> funding for 2026–27 and beyond. </w:t>
      </w:r>
      <w:r>
        <w:rPr>
          <w:rFonts w:cs="Arial"/>
        </w:rPr>
        <w:t>We have</w:t>
      </w:r>
      <w:r w:rsidRPr="00195818">
        <w:rPr>
          <w:rFonts w:cs="Arial"/>
        </w:rPr>
        <w:t xml:space="preserve"> begun this process and will continue to align to the new NHRA as requisite reviews and consultations are completed. </w:t>
      </w:r>
    </w:p>
    <w:p w14:paraId="3598701F" w14:textId="77777777" w:rsidR="00EB0D85" w:rsidRPr="00BA62F6" w:rsidRDefault="00EB0D85" w:rsidP="00EB0D85">
      <w:pPr>
        <w:pStyle w:val="Heading2"/>
      </w:pPr>
      <w:bookmarkStart w:id="636" w:name="_Toc233021834"/>
      <w:bookmarkStart w:id="637" w:name="_Toc233022311"/>
      <w:bookmarkStart w:id="638" w:name="_Toc233023073"/>
      <w:bookmarkStart w:id="639" w:name="_Toc233023408"/>
      <w:bookmarkStart w:id="640" w:name="_Toc233023540"/>
      <w:bookmarkStart w:id="641" w:name="_Toc233028716"/>
      <w:bookmarkStart w:id="642" w:name="_Toc233028901"/>
      <w:bookmarkStart w:id="643" w:name="_Toc235786125"/>
      <w:bookmarkStart w:id="644" w:name="_Toc235787456"/>
      <w:bookmarkStart w:id="645" w:name="_Toc235791594"/>
      <w:bookmarkStart w:id="646" w:name="_Toc237872697"/>
      <w:r w:rsidRPr="00BA62F6">
        <w:t>Residential aged care</w:t>
      </w:r>
      <w:bookmarkEnd w:id="636"/>
      <w:bookmarkEnd w:id="637"/>
      <w:bookmarkEnd w:id="638"/>
      <w:bookmarkEnd w:id="639"/>
      <w:bookmarkEnd w:id="640"/>
      <w:bookmarkEnd w:id="641"/>
      <w:bookmarkEnd w:id="642"/>
      <w:bookmarkEnd w:id="643"/>
      <w:bookmarkEnd w:id="644"/>
      <w:bookmarkEnd w:id="645"/>
      <w:bookmarkEnd w:id="646"/>
      <w:r w:rsidRPr="00BA62F6">
        <w:t xml:space="preserve"> </w:t>
      </w:r>
    </w:p>
    <w:p w14:paraId="341233E6" w14:textId="77777777" w:rsidR="00EB0D85" w:rsidRDefault="00EB0D85" w:rsidP="00EB0D85">
      <w:r w:rsidRPr="00BA62F6">
        <w:t xml:space="preserve">IHACPA is responsible for </w:t>
      </w:r>
      <w:r>
        <w:t>providing</w:t>
      </w:r>
      <w:r w:rsidRPr="00BA62F6">
        <w:t xml:space="preserve"> residential aged care and residential respite care pricing and costing advice. This informs </w:t>
      </w:r>
      <w:r>
        <w:t>g</w:t>
      </w:r>
      <w:r w:rsidRPr="00BA62F6">
        <w:t xml:space="preserve">overnment decisions on the Australian National Aged </w:t>
      </w:r>
      <w:r w:rsidRPr="00ED39D1">
        <w:t>Care Classification (AN-ACC) funding model and, where requested, other related elements of residential aged care pricing and costing.</w:t>
      </w:r>
    </w:p>
    <w:p w14:paraId="395DC1D7" w14:textId="77777777" w:rsidR="00EB0D85" w:rsidRPr="00ED39D1" w:rsidRDefault="00EB0D85" w:rsidP="00EB0D85">
      <w:r>
        <w:t xml:space="preserve">In July 2025, we provided the </w:t>
      </w:r>
      <w:hyperlink r:id="rId47" w:history="1">
        <w:r w:rsidRPr="5D35AC81">
          <w:rPr>
            <w:rStyle w:val="Hyperlink"/>
          </w:rPr>
          <w:t>Residential Aged Care Pricing Advice 2025–26</w:t>
        </w:r>
      </w:hyperlink>
      <w:r w:rsidRPr="5D35AC81">
        <w:rPr>
          <w:rFonts w:eastAsia="Arial" w:cs="Arial"/>
        </w:rPr>
        <w:t xml:space="preserve"> to the Minister for Health and Ageing. This marked </w:t>
      </w:r>
      <w:r>
        <w:rPr>
          <w:rFonts w:eastAsia="Arial" w:cs="Arial"/>
        </w:rPr>
        <w:t>our</w:t>
      </w:r>
      <w:r w:rsidRPr="5D35AC81">
        <w:rPr>
          <w:rFonts w:eastAsia="Arial" w:cs="Arial"/>
        </w:rPr>
        <w:t xml:space="preserve"> third year of delivering pricing advice for residential aged care and residential respite care</w:t>
      </w:r>
      <w:r>
        <w:rPr>
          <w:rFonts w:eastAsia="Arial" w:cs="Arial"/>
        </w:rPr>
        <w:t>. The advice</w:t>
      </w:r>
      <w:r w:rsidRPr="5D35AC81">
        <w:rPr>
          <w:rFonts w:eastAsia="Arial" w:cs="Arial"/>
        </w:rPr>
        <w:t xml:space="preserve"> </w:t>
      </w:r>
      <w:r w:rsidRPr="004268F6">
        <w:rPr>
          <w:rFonts w:eastAsia="Arial" w:cs="Arial"/>
        </w:rPr>
        <w:t>was</w:t>
      </w:r>
      <w:r w:rsidRPr="00C04E58">
        <w:rPr>
          <w:rFonts w:eastAsia="Arial" w:cs="Arial"/>
        </w:rPr>
        <w:t xml:space="preserve"> </w:t>
      </w:r>
      <w:r w:rsidRPr="004268F6">
        <w:rPr>
          <w:rFonts w:eastAsia="Arial" w:cs="Arial"/>
        </w:rPr>
        <w:t xml:space="preserve">developed using </w:t>
      </w:r>
      <w:r w:rsidRPr="00C04E58">
        <w:rPr>
          <w:rFonts w:eastAsia="Arial" w:cs="Arial"/>
        </w:rPr>
        <w:t>cost data from the Residential Aged Care Cost Collection 2024</w:t>
      </w:r>
      <w:r>
        <w:rPr>
          <w:rFonts w:eastAsia="Arial" w:cs="Arial"/>
        </w:rPr>
        <w:t xml:space="preserve"> and</w:t>
      </w:r>
      <w:r w:rsidRPr="5D35AC81">
        <w:rPr>
          <w:rFonts w:eastAsia="Arial" w:cs="Arial"/>
        </w:rPr>
        <w:t xml:space="preserve"> considered input from aged care stakeholders through public consultation. The pricing advice included:</w:t>
      </w:r>
    </w:p>
    <w:p w14:paraId="5CE2334A" w14:textId="77777777" w:rsidR="00EB0D85" w:rsidRDefault="00EB0D85" w:rsidP="00EB0D85">
      <w:pPr>
        <w:pStyle w:val="ListParagraph"/>
        <w:numPr>
          <w:ilvl w:val="0"/>
          <w:numId w:val="17"/>
        </w:numPr>
        <w:rPr>
          <w:rFonts w:eastAsia="Arial" w:cs="Arial"/>
        </w:rPr>
      </w:pPr>
      <w:r w:rsidRPr="22DF2C8B">
        <w:rPr>
          <w:rFonts w:eastAsia="Arial" w:cs="Arial"/>
        </w:rPr>
        <w:lastRenderedPageBreak/>
        <w:t>the recommended AN-ACC price</w:t>
      </w:r>
    </w:p>
    <w:p w14:paraId="6CD68415" w14:textId="77777777" w:rsidR="00EB0D85" w:rsidRDefault="00EB0D85" w:rsidP="00EB0D85">
      <w:pPr>
        <w:pStyle w:val="ListParagraph"/>
        <w:numPr>
          <w:ilvl w:val="0"/>
          <w:numId w:val="17"/>
        </w:numPr>
        <w:rPr>
          <w:rFonts w:eastAsia="Arial" w:cs="Arial"/>
        </w:rPr>
      </w:pPr>
      <w:r w:rsidRPr="5D35AC81">
        <w:rPr>
          <w:rFonts w:eastAsia="Arial" w:cs="Arial"/>
        </w:rPr>
        <w:t>recommended adjustments to the AN-ACC funding model</w:t>
      </w:r>
      <w:r>
        <w:rPr>
          <w:rFonts w:eastAsia="Arial" w:cs="Arial"/>
        </w:rPr>
        <w:t>,</w:t>
      </w:r>
      <w:r w:rsidRPr="5D35AC81">
        <w:rPr>
          <w:rFonts w:eastAsia="Arial" w:cs="Arial"/>
        </w:rPr>
        <w:t xml:space="preserve"> including price weights for each AN-ACC class, respite class and base care tariff category </w:t>
      </w:r>
    </w:p>
    <w:p w14:paraId="7C961089" w14:textId="77777777" w:rsidR="00EB0D85" w:rsidRDefault="00EB0D85" w:rsidP="00EB0D85">
      <w:pPr>
        <w:pStyle w:val="ListParagraph"/>
        <w:numPr>
          <w:ilvl w:val="0"/>
          <w:numId w:val="17"/>
        </w:numPr>
        <w:rPr>
          <w:rFonts w:eastAsia="Arial" w:cs="Arial"/>
        </w:rPr>
      </w:pPr>
      <w:r w:rsidRPr="5D35AC81">
        <w:rPr>
          <w:rFonts w:eastAsia="Arial" w:cs="Arial"/>
        </w:rPr>
        <w:t xml:space="preserve">the estimated gap between the costs of delivering </w:t>
      </w:r>
      <w:r w:rsidRPr="00C04E58">
        <w:rPr>
          <w:rFonts w:eastAsia="Arial" w:cs="Arial"/>
        </w:rPr>
        <w:t>required hotel services</w:t>
      </w:r>
      <w:r w:rsidRPr="5D35AC81">
        <w:rPr>
          <w:rFonts w:eastAsia="Arial" w:cs="Arial"/>
        </w:rPr>
        <w:t xml:space="preserve"> and specific types of revenue received by residential aged care services.</w:t>
      </w:r>
    </w:p>
    <w:p w14:paraId="2405622A" w14:textId="77777777" w:rsidR="00EB0D85" w:rsidRDefault="00EB0D85" w:rsidP="00EB0D85">
      <w:pPr>
        <w:rPr>
          <w:rFonts w:eastAsia="Arial" w:cs="Arial"/>
        </w:rPr>
      </w:pPr>
      <w:r w:rsidRPr="5D35AC81">
        <w:rPr>
          <w:rFonts w:eastAsia="Arial" w:cs="Arial"/>
        </w:rPr>
        <w:t xml:space="preserve">In April 2026, </w:t>
      </w:r>
      <w:r>
        <w:rPr>
          <w:rFonts w:eastAsia="Arial" w:cs="Arial"/>
        </w:rPr>
        <w:t xml:space="preserve">we </w:t>
      </w:r>
      <w:r w:rsidRPr="5D35AC81">
        <w:rPr>
          <w:rFonts w:eastAsia="Arial" w:cs="Arial"/>
        </w:rPr>
        <w:t xml:space="preserve">published the </w:t>
      </w:r>
      <w:hyperlink r:id="rId48" w:history="1">
        <w:r w:rsidRPr="5D35AC81">
          <w:rPr>
            <w:rStyle w:val="Hyperlink"/>
          </w:rPr>
          <w:t>Pricing Framework for Australian Residential Aged Care Services 2026–27</w:t>
        </w:r>
      </w:hyperlink>
      <w:r w:rsidRPr="5D35AC81">
        <w:rPr>
          <w:rFonts w:eastAsia="Arial" w:cs="Arial"/>
        </w:rPr>
        <w:t xml:space="preserve">, which was developed based on stakeholder </w:t>
      </w:r>
      <w:r>
        <w:rPr>
          <w:rFonts w:eastAsia="Arial" w:cs="Arial"/>
        </w:rPr>
        <w:t>feedback</w:t>
      </w:r>
      <w:r w:rsidRPr="5D35AC81">
        <w:rPr>
          <w:rFonts w:eastAsia="Arial" w:cs="Arial"/>
        </w:rPr>
        <w:t xml:space="preserve"> to</w:t>
      </w:r>
      <w:r>
        <w:rPr>
          <w:rFonts w:eastAsia="Arial" w:cs="Arial"/>
        </w:rPr>
        <w:t xml:space="preserve"> our</w:t>
      </w:r>
      <w:r w:rsidRPr="5D35AC81">
        <w:rPr>
          <w:rFonts w:eastAsia="Arial" w:cs="Arial"/>
        </w:rPr>
        <w:t xml:space="preserve"> public consultation. This work will inform the development of the Residential Aged Care Pricing Advice 2026–27</w:t>
      </w:r>
      <w:r>
        <w:rPr>
          <w:rFonts w:eastAsia="Arial" w:cs="Arial"/>
        </w:rPr>
        <w:t>, to</w:t>
      </w:r>
      <w:r w:rsidRPr="004268F6">
        <w:rPr>
          <w:rFonts w:eastAsia="Arial" w:cs="Arial"/>
        </w:rPr>
        <w:t xml:space="preserve"> be</w:t>
      </w:r>
      <w:r w:rsidRPr="00C04E58">
        <w:rPr>
          <w:rFonts w:eastAsia="Arial" w:cs="Arial"/>
        </w:rPr>
        <w:t xml:space="preserve"> provided to the </w:t>
      </w:r>
      <w:r>
        <w:rPr>
          <w:rFonts w:eastAsia="Arial" w:cs="Arial"/>
        </w:rPr>
        <w:t>m</w:t>
      </w:r>
      <w:r w:rsidRPr="00C04E58">
        <w:rPr>
          <w:rFonts w:eastAsia="Arial" w:cs="Arial"/>
        </w:rPr>
        <w:t>inister in July 2026.</w:t>
      </w:r>
    </w:p>
    <w:p w14:paraId="7D93AB9D" w14:textId="77777777" w:rsidR="00EB0D85" w:rsidRDefault="00EB0D85" w:rsidP="00EB0D85">
      <w:pPr>
        <w:pStyle w:val="Heading3"/>
        <w:rPr>
          <w:rFonts w:eastAsia="Arial"/>
        </w:rPr>
      </w:pPr>
      <w:bookmarkStart w:id="647" w:name="_Toc233022312"/>
      <w:bookmarkStart w:id="648" w:name="_Toc233023074"/>
      <w:bookmarkStart w:id="649" w:name="_Toc233023409"/>
      <w:bookmarkStart w:id="650" w:name="_Toc233023541"/>
      <w:bookmarkStart w:id="651" w:name="_Toc233028717"/>
      <w:bookmarkStart w:id="652" w:name="_Toc233028902"/>
      <w:bookmarkStart w:id="653" w:name="_Toc235786126"/>
      <w:bookmarkStart w:id="654" w:name="_Toc235787457"/>
      <w:bookmarkStart w:id="655" w:name="_Toc235791595"/>
      <w:bookmarkStart w:id="656" w:name="_Toc237872698"/>
      <w:r>
        <w:rPr>
          <w:rFonts w:eastAsia="Arial"/>
        </w:rPr>
        <w:t>Everyday living services</w:t>
      </w:r>
      <w:bookmarkEnd w:id="647"/>
      <w:bookmarkEnd w:id="648"/>
      <w:bookmarkEnd w:id="649"/>
      <w:bookmarkEnd w:id="650"/>
      <w:bookmarkEnd w:id="651"/>
      <w:bookmarkEnd w:id="652"/>
      <w:bookmarkEnd w:id="653"/>
      <w:bookmarkEnd w:id="654"/>
      <w:bookmarkEnd w:id="655"/>
      <w:bookmarkEnd w:id="656"/>
      <w:r>
        <w:rPr>
          <w:rFonts w:eastAsia="Arial"/>
        </w:rPr>
        <w:t xml:space="preserve"> </w:t>
      </w:r>
    </w:p>
    <w:p w14:paraId="252B9561" w14:textId="77777777" w:rsidR="00EB0D85" w:rsidRPr="00195818" w:rsidRDefault="00EB0D85" w:rsidP="00EB0D85">
      <w:r w:rsidRPr="00195818">
        <w:t>Registered providers of residential aged care receive a hotelling supplement to support the delivery of everyday living services, as outlined in the Aged Care Rules 2025</w:t>
      </w:r>
      <w:r>
        <w:t>.</w:t>
      </w:r>
      <w:r w:rsidRPr="00195818">
        <w:t xml:space="preserve"> Government has requested </w:t>
      </w:r>
      <w:r>
        <w:t>our</w:t>
      </w:r>
      <w:r w:rsidRPr="00195818">
        <w:t xml:space="preserve"> advice on the cost differentials, including the impact of geographic location and the complexity of resident care needs by 1 July 2028. IHACPA will undertake analysis and advice through a multi-year program of work</w:t>
      </w:r>
      <w:r>
        <w:t>.</w:t>
      </w:r>
      <w:r w:rsidRPr="00195818">
        <w:t xml:space="preserve"> Government will make a policy decision as to whether required hotel services could be funded using a different approach. </w:t>
      </w:r>
    </w:p>
    <w:p w14:paraId="140E8115" w14:textId="77777777" w:rsidR="00EB0D85" w:rsidRDefault="00EB0D85" w:rsidP="00EB0D85">
      <w:pPr>
        <w:pStyle w:val="Heading3"/>
      </w:pPr>
      <w:bookmarkStart w:id="657" w:name="_Toc233022313"/>
      <w:bookmarkStart w:id="658" w:name="_Toc233023075"/>
      <w:bookmarkStart w:id="659" w:name="_Toc233023410"/>
      <w:bookmarkStart w:id="660" w:name="_Toc233023542"/>
      <w:bookmarkStart w:id="661" w:name="_Toc233028718"/>
      <w:bookmarkStart w:id="662" w:name="_Toc233028903"/>
      <w:bookmarkStart w:id="663" w:name="_Toc235786127"/>
      <w:bookmarkStart w:id="664" w:name="_Toc235787458"/>
      <w:bookmarkStart w:id="665" w:name="_Toc235791596"/>
      <w:bookmarkStart w:id="666" w:name="_Toc237872699"/>
      <w:r>
        <w:t>The Multi-Purpose Services Program and the National Aboriginal and Torres Strait Islander Flexible Aged Care Program</w:t>
      </w:r>
      <w:bookmarkEnd w:id="657"/>
      <w:bookmarkEnd w:id="658"/>
      <w:bookmarkEnd w:id="659"/>
      <w:bookmarkEnd w:id="660"/>
      <w:bookmarkEnd w:id="661"/>
      <w:bookmarkEnd w:id="662"/>
      <w:bookmarkEnd w:id="663"/>
      <w:bookmarkEnd w:id="664"/>
      <w:bookmarkEnd w:id="665"/>
      <w:bookmarkEnd w:id="666"/>
      <w:r>
        <w:t xml:space="preserve"> </w:t>
      </w:r>
    </w:p>
    <w:p w14:paraId="0B7ACA1D" w14:textId="77777777" w:rsidR="00EB0D85" w:rsidRPr="00195818" w:rsidRDefault="00EB0D85" w:rsidP="00EB0D85">
      <w:pPr>
        <w:spacing w:before="120" w:after="0"/>
        <w:ind w:right="176"/>
        <w:rPr>
          <w:rFonts w:cs="Arial"/>
        </w:rPr>
      </w:pPr>
      <w:r w:rsidRPr="00195818">
        <w:rPr>
          <w:rFonts w:cs="Arial"/>
        </w:rPr>
        <w:t xml:space="preserve">The Multi-Purpose Services Program (MPSP) provides integrated health and aged care services for rural and remote communities nationally, in areas that cannot support standalone aged care and health services. </w:t>
      </w:r>
    </w:p>
    <w:p w14:paraId="00A878F4" w14:textId="77777777" w:rsidR="00EB0D85" w:rsidRPr="00195818" w:rsidRDefault="00EB0D85" w:rsidP="00EB0D85">
      <w:pPr>
        <w:spacing w:before="120" w:after="0"/>
        <w:ind w:right="176"/>
        <w:rPr>
          <w:rFonts w:cs="Arial"/>
        </w:rPr>
      </w:pPr>
      <w:r w:rsidRPr="00195818">
        <w:rPr>
          <w:rFonts w:cs="Arial"/>
        </w:rPr>
        <w:t xml:space="preserve">The National Aboriginal and Torres Strait Islander Flexible Aged Care Program (NATSIFACP) provides aged care services to older Aboriginal and Torres Strait Islander peoples. These aged care services are mainly delivered in rural and remote areas nationally. </w:t>
      </w:r>
    </w:p>
    <w:p w14:paraId="5A34E7E1" w14:textId="77777777" w:rsidR="00EB0D85" w:rsidRDefault="00EB0D85" w:rsidP="00EB0D85">
      <w:pPr>
        <w:spacing w:before="120" w:after="0"/>
        <w:ind w:right="176"/>
        <w:rPr>
          <w:rFonts w:cs="Arial"/>
        </w:rPr>
      </w:pPr>
      <w:r>
        <w:rPr>
          <w:rFonts w:cs="Arial"/>
        </w:rPr>
        <w:t xml:space="preserve">The MPSP Funding Model Assessment – Final Report was released in June 2026, following the first and second reports delivered to the government and department in November 2025 and March 2026, respectively. The final report presents comprehensive qualitative and quantitative analysis, along with final recommendations on potential future funding arrangements for the MPSP and associated implementation considerations. </w:t>
      </w:r>
    </w:p>
    <w:p w14:paraId="3AB08845" w14:textId="77777777" w:rsidR="00EB0D85" w:rsidRDefault="00EB0D85" w:rsidP="00EB0D85">
      <w:pPr>
        <w:spacing w:before="120" w:after="0"/>
        <w:ind w:right="176"/>
        <w:rPr>
          <w:rFonts w:cs="Arial"/>
        </w:rPr>
      </w:pPr>
      <w:r>
        <w:rPr>
          <w:rFonts w:cs="Arial"/>
        </w:rPr>
        <w:t xml:space="preserve">Informed by our analysis and recommendations, the government will determine whether to implement any proposed funding changes for the MPSP, including consideration of interim funding model adjustments. Our advice will form part of the government's broader consideration under the MPSP Funding Model Review. </w:t>
      </w:r>
    </w:p>
    <w:p w14:paraId="216882BB" w14:textId="77777777" w:rsidR="00EB0D85" w:rsidRDefault="00EB0D85" w:rsidP="00EB0D85">
      <w:pPr>
        <w:spacing w:before="120" w:after="0"/>
        <w:ind w:right="176"/>
        <w:rPr>
          <w:rFonts w:cs="Arial"/>
        </w:rPr>
      </w:pPr>
      <w:r>
        <w:rPr>
          <w:rFonts w:cs="Arial"/>
        </w:rPr>
        <w:t xml:space="preserve">In April 2026, we delivered to the government the NATSIFACP Funding Model Assessment – First Report. This report included the horizon scan, findings from stakeholder engagement and consultation, scoping of existing data sources and initial recommendations to guide the progression of the funding model. The first report outlined recommendations and the scope of work required to progress the project to the next phase. </w:t>
      </w:r>
    </w:p>
    <w:p w14:paraId="416BF43C" w14:textId="77777777" w:rsidR="00EB0D85" w:rsidRDefault="00EB0D85" w:rsidP="00EB0D85">
      <w:pPr>
        <w:pStyle w:val="Heading3"/>
      </w:pPr>
      <w:bookmarkStart w:id="667" w:name="_Toc233022314"/>
      <w:bookmarkStart w:id="668" w:name="_Toc233023076"/>
      <w:bookmarkStart w:id="669" w:name="_Toc233023411"/>
      <w:bookmarkStart w:id="670" w:name="_Toc233023543"/>
      <w:bookmarkStart w:id="671" w:name="_Toc233028719"/>
      <w:bookmarkStart w:id="672" w:name="_Toc233028904"/>
      <w:bookmarkStart w:id="673" w:name="_Toc235786128"/>
      <w:bookmarkStart w:id="674" w:name="_Toc235787459"/>
      <w:bookmarkStart w:id="675" w:name="_Toc235791597"/>
      <w:bookmarkStart w:id="676" w:name="_Toc237872700"/>
      <w:r>
        <w:lastRenderedPageBreak/>
        <w:t>Refundable accommodation deposits</w:t>
      </w:r>
      <w:bookmarkEnd w:id="667"/>
      <w:bookmarkEnd w:id="668"/>
      <w:bookmarkEnd w:id="669"/>
      <w:bookmarkEnd w:id="670"/>
      <w:bookmarkEnd w:id="671"/>
      <w:bookmarkEnd w:id="672"/>
      <w:bookmarkEnd w:id="673"/>
      <w:bookmarkEnd w:id="674"/>
      <w:bookmarkEnd w:id="675"/>
      <w:bookmarkEnd w:id="676"/>
      <w:r>
        <w:t xml:space="preserve"> </w:t>
      </w:r>
    </w:p>
    <w:p w14:paraId="65857364" w14:textId="77777777" w:rsidR="00EB0D85" w:rsidRPr="007B6A37" w:rsidRDefault="00EB0D85" w:rsidP="00EB0D85">
      <w:pPr>
        <w:rPr>
          <w:rFonts w:cs="Arial"/>
        </w:rPr>
      </w:pPr>
      <w:r w:rsidRPr="007B6A37">
        <w:rPr>
          <w:rFonts w:cs="Arial"/>
        </w:rPr>
        <w:t xml:space="preserve">IHACPA is responsible for assessing applications from registered providers to charge accommodation payment amounts above the maximum amount determined by the minister. This amount is indexed annually in line with the Consumer Price Index (CPI) from 1 July each year. These responsibilities were established under the </w:t>
      </w:r>
      <w:r w:rsidRPr="007B6A37">
        <w:rPr>
          <w:rFonts w:cs="Arial"/>
          <w:i/>
          <w:iCs/>
        </w:rPr>
        <w:t>Aged Care Act 1997</w:t>
      </w:r>
      <w:r w:rsidRPr="007B6A37">
        <w:rPr>
          <w:rFonts w:cs="Arial"/>
        </w:rPr>
        <w:t xml:space="preserve"> until October 2025 and from 1 November 2025, are provided under the Aged Care Rules 2025. </w:t>
      </w:r>
    </w:p>
    <w:p w14:paraId="4BA8BC1D" w14:textId="77777777" w:rsidR="00EB0D85" w:rsidRPr="007B6A37" w:rsidRDefault="00EB0D85" w:rsidP="00EB0D85">
      <w:pPr>
        <w:rPr>
          <w:rFonts w:cs="Arial"/>
        </w:rPr>
      </w:pPr>
      <w:r w:rsidRPr="007B6A37">
        <w:rPr>
          <w:rFonts w:cs="Arial"/>
        </w:rPr>
        <w:t>All decisions made by IHACPA for refundable accommodation deposit (RAD) applications to charge accommodation payments above the threshold must be completed within legislated timeframes.</w:t>
      </w:r>
    </w:p>
    <w:p w14:paraId="234576E2" w14:textId="77777777" w:rsidR="00EB0D85" w:rsidRPr="007B6A37" w:rsidRDefault="00EB0D85" w:rsidP="00EB0D85">
      <w:pPr>
        <w:rPr>
          <w:rFonts w:cs="Arial"/>
        </w:rPr>
      </w:pPr>
      <w:r w:rsidRPr="007B6A37">
        <w:rPr>
          <w:rFonts w:cs="Arial"/>
        </w:rPr>
        <w:t xml:space="preserve">Our assessment of RADs and extra service fees in 2025–26 is outlined in section 4.9. </w:t>
      </w:r>
    </w:p>
    <w:p w14:paraId="3AEE877B" w14:textId="77777777" w:rsidR="00EB0D85" w:rsidRPr="00B12A97" w:rsidRDefault="00EB0D85" w:rsidP="00EB0D85">
      <w:pPr>
        <w:pStyle w:val="Heading2"/>
      </w:pPr>
      <w:bookmarkStart w:id="677" w:name="_Toc233021835"/>
      <w:bookmarkStart w:id="678" w:name="_Toc233022315"/>
      <w:bookmarkStart w:id="679" w:name="_Toc233023077"/>
      <w:bookmarkStart w:id="680" w:name="_Toc233023412"/>
      <w:bookmarkStart w:id="681" w:name="_Toc233023544"/>
      <w:bookmarkStart w:id="682" w:name="_Toc233028720"/>
      <w:bookmarkStart w:id="683" w:name="_Toc233028905"/>
      <w:bookmarkStart w:id="684" w:name="_Toc235786129"/>
      <w:bookmarkStart w:id="685" w:name="_Toc235787460"/>
      <w:bookmarkStart w:id="686" w:name="_Toc235791598"/>
      <w:bookmarkStart w:id="687" w:name="_Toc237872701"/>
      <w:r w:rsidRPr="00B12A97">
        <w:t>Support at Home aged care</w:t>
      </w:r>
      <w:bookmarkEnd w:id="677"/>
      <w:bookmarkEnd w:id="678"/>
      <w:bookmarkEnd w:id="679"/>
      <w:bookmarkEnd w:id="680"/>
      <w:bookmarkEnd w:id="681"/>
      <w:bookmarkEnd w:id="682"/>
      <w:bookmarkEnd w:id="683"/>
      <w:bookmarkEnd w:id="684"/>
      <w:bookmarkEnd w:id="685"/>
      <w:bookmarkEnd w:id="686"/>
      <w:bookmarkEnd w:id="687"/>
    </w:p>
    <w:p w14:paraId="6BD0492E" w14:textId="77777777" w:rsidR="00EB0D85" w:rsidRPr="00195818" w:rsidRDefault="00EB0D85" w:rsidP="00EB0D85">
      <w:pPr>
        <w:spacing w:before="120" w:after="0"/>
        <w:ind w:right="176"/>
        <w:rPr>
          <w:rFonts w:cs="Arial"/>
        </w:rPr>
      </w:pPr>
      <w:r w:rsidRPr="00195818">
        <w:rPr>
          <w:rFonts w:cs="Arial"/>
        </w:rPr>
        <w:t xml:space="preserve">The Support at Home program supports older people to remain at home for longer </w:t>
      </w:r>
      <w:r>
        <w:rPr>
          <w:rFonts w:cs="Arial"/>
        </w:rPr>
        <w:t>by</w:t>
      </w:r>
      <w:r w:rsidRPr="00195818">
        <w:rPr>
          <w:rFonts w:cs="Arial"/>
        </w:rPr>
        <w:t xml:space="preserve"> providing:</w:t>
      </w:r>
    </w:p>
    <w:p w14:paraId="30945F33" w14:textId="77777777" w:rsidR="00EB0D85" w:rsidRPr="00195818" w:rsidRDefault="00EB0D85" w:rsidP="00EB0D85">
      <w:pPr>
        <w:pStyle w:val="ListLevel1"/>
      </w:pPr>
      <w:r w:rsidRPr="00195818">
        <w:t>upfront supports to maintain independence, such as assistive technology and home modifications</w:t>
      </w:r>
    </w:p>
    <w:p w14:paraId="4714FA2C" w14:textId="77777777" w:rsidR="00EB0D85" w:rsidRPr="00195818" w:rsidRDefault="00EB0D85" w:rsidP="00EB0D85">
      <w:pPr>
        <w:pStyle w:val="ListLevel1"/>
      </w:pPr>
      <w:r w:rsidRPr="00195818">
        <w:t xml:space="preserve">new classification and budget levels to meet a person’s aged care needs </w:t>
      </w:r>
    </w:p>
    <w:p w14:paraId="0ACE513D" w14:textId="77777777" w:rsidR="00EB0D85" w:rsidRPr="00195818" w:rsidRDefault="00EB0D85" w:rsidP="00EB0D85">
      <w:pPr>
        <w:pStyle w:val="ListLevel1"/>
      </w:pPr>
      <w:r w:rsidRPr="00195818">
        <w:t xml:space="preserve">participant contributions based on an assessment of income and assets. </w:t>
      </w:r>
    </w:p>
    <w:p w14:paraId="280F502D" w14:textId="77777777" w:rsidR="00EB0D85" w:rsidRPr="00195818" w:rsidRDefault="00EB0D85" w:rsidP="00EB0D85">
      <w:r w:rsidRPr="00195818">
        <w:t>The Support at Home program commenced from 1 November 2025 and is being implemented in 2 stages. Existing aged care programs</w:t>
      </w:r>
      <w:r>
        <w:t>,</w:t>
      </w:r>
      <w:r w:rsidRPr="00195818">
        <w:t xml:space="preserve"> including the Home Care Packages Program and the Short-Term Restorative Care Programme have been included since 1 November 2025</w:t>
      </w:r>
      <w:r>
        <w:t>.</w:t>
      </w:r>
      <w:r w:rsidRPr="00195818">
        <w:t xml:space="preserve"> </w:t>
      </w:r>
      <w:r>
        <w:t>T</w:t>
      </w:r>
      <w:r w:rsidRPr="00195818">
        <w:t xml:space="preserve">he Commonwealth Home Support Programme will transition from no earlier than July 2027. </w:t>
      </w:r>
    </w:p>
    <w:p w14:paraId="6E839EF8" w14:textId="77777777" w:rsidR="00EB0D85" w:rsidRPr="00195818" w:rsidRDefault="00EB0D85" w:rsidP="00EB0D85">
      <w:r w:rsidRPr="00195818">
        <w:t xml:space="preserve">IHACPA is required to provide advice to the </w:t>
      </w:r>
      <w:r>
        <w:t>m</w:t>
      </w:r>
      <w:r w:rsidRPr="00195818">
        <w:t xml:space="preserve">inister on unit prices for services on the Support at Home service list. </w:t>
      </w:r>
    </w:p>
    <w:p w14:paraId="4A767B04" w14:textId="77777777" w:rsidR="00EB0D85" w:rsidRPr="00195818" w:rsidRDefault="00EB0D85" w:rsidP="00EB0D85">
      <w:pPr>
        <w:rPr>
          <w:rFonts w:eastAsia="Arial" w:cs="Arial"/>
        </w:rPr>
      </w:pPr>
      <w:r w:rsidRPr="00195818">
        <w:rPr>
          <w:rFonts w:eastAsia="Arial" w:cs="Arial"/>
        </w:rPr>
        <w:t xml:space="preserve">In March 2026, </w:t>
      </w:r>
      <w:r>
        <w:rPr>
          <w:rFonts w:eastAsia="Arial" w:cs="Arial"/>
        </w:rPr>
        <w:t>we</w:t>
      </w:r>
      <w:r w:rsidRPr="00195818">
        <w:rPr>
          <w:rFonts w:eastAsia="Arial" w:cs="Arial"/>
        </w:rPr>
        <w:t xml:space="preserve"> released the Consultation Paper on the Pricing Framework for Australian Support at Home Aged Care Services 2027–28. The consultation paper will inform the development of the principles, scope and methodology </w:t>
      </w:r>
      <w:r>
        <w:rPr>
          <w:rFonts w:eastAsia="Arial" w:cs="Arial"/>
        </w:rPr>
        <w:t>we</w:t>
      </w:r>
      <w:r w:rsidRPr="00195818">
        <w:rPr>
          <w:rFonts w:eastAsia="Arial" w:cs="Arial"/>
        </w:rPr>
        <w:t xml:space="preserve"> use in developing the Support at Home Pricing Advice 2027–28.</w:t>
      </w:r>
    </w:p>
    <w:p w14:paraId="3E5A2A16" w14:textId="77777777" w:rsidR="00EB0D85" w:rsidRPr="00195818" w:rsidRDefault="00EB0D85" w:rsidP="00EB0D85">
      <w:r w:rsidRPr="00195818">
        <w:t xml:space="preserve">In May 2026, </w:t>
      </w:r>
      <w:r>
        <w:t>we</w:t>
      </w:r>
      <w:r w:rsidRPr="00195818">
        <w:t xml:space="preserve"> published the Pricing Framework for Australian Support at Home Aged Care Services 2026–27 and the Support at Home Pricing Advice 2026–27.</w:t>
      </w:r>
    </w:p>
    <w:p w14:paraId="240D5B78" w14:textId="77777777" w:rsidR="00EB0D85" w:rsidRPr="00195818" w:rsidRDefault="00EB0D85" w:rsidP="00EB0D85">
      <w:r w:rsidRPr="00195818">
        <w:t xml:space="preserve">On 19 May 2026, </w:t>
      </w:r>
      <w:r>
        <w:t>g</w:t>
      </w:r>
      <w:r w:rsidRPr="00195818">
        <w:t>overnment announced a pause on introducing price caps to the Support at Home program. The recommended prices in IHACPA’s pricing advice do not represent a price cap, benchmark or guidance for aged care providers when setting their prices.</w:t>
      </w:r>
    </w:p>
    <w:p w14:paraId="2F7ADD64" w14:textId="77777777" w:rsidR="00EB0D85" w:rsidRPr="00E214FE" w:rsidRDefault="00EB0D85" w:rsidP="00EB0D85">
      <w:pPr>
        <w:pStyle w:val="Heading2"/>
      </w:pPr>
      <w:bookmarkStart w:id="688" w:name="_Toc233021836"/>
      <w:bookmarkStart w:id="689" w:name="_Toc233022316"/>
      <w:bookmarkStart w:id="690" w:name="_Toc233023078"/>
      <w:bookmarkStart w:id="691" w:name="_Toc233023413"/>
      <w:bookmarkStart w:id="692" w:name="_Toc233023545"/>
      <w:bookmarkStart w:id="693" w:name="_Toc233028721"/>
      <w:bookmarkStart w:id="694" w:name="_Toc233028906"/>
      <w:bookmarkStart w:id="695" w:name="_Toc235786130"/>
      <w:bookmarkStart w:id="696" w:name="_Toc235787461"/>
      <w:bookmarkStart w:id="697" w:name="_Toc235791599"/>
      <w:bookmarkStart w:id="698" w:name="_Toc237872702"/>
      <w:r w:rsidRPr="00E214FE">
        <w:t>Results</w:t>
      </w:r>
      <w:bookmarkEnd w:id="688"/>
      <w:bookmarkEnd w:id="689"/>
      <w:bookmarkEnd w:id="690"/>
      <w:bookmarkEnd w:id="691"/>
      <w:bookmarkEnd w:id="692"/>
      <w:bookmarkEnd w:id="693"/>
      <w:bookmarkEnd w:id="694"/>
      <w:bookmarkEnd w:id="695"/>
      <w:bookmarkEnd w:id="696"/>
      <w:bookmarkEnd w:id="697"/>
      <w:bookmarkEnd w:id="698"/>
    </w:p>
    <w:p w14:paraId="178C1428" w14:textId="77777777" w:rsidR="00EB0D85" w:rsidRPr="00195818" w:rsidRDefault="00EB0D85" w:rsidP="00EB0D85">
      <w:pPr>
        <w:rPr>
          <w:rFonts w:cs="Arial"/>
        </w:rPr>
      </w:pPr>
      <w:r w:rsidRPr="00195818">
        <w:rPr>
          <w:rFonts w:cs="Arial"/>
        </w:rPr>
        <w:t xml:space="preserve">The reporting of key activities in this annual report refers to the deliverables of </w:t>
      </w:r>
      <w:r>
        <w:rPr>
          <w:rFonts w:cs="Arial"/>
        </w:rPr>
        <w:t>s</w:t>
      </w:r>
      <w:r w:rsidRPr="00195818">
        <w:rPr>
          <w:rFonts w:cs="Arial"/>
        </w:rPr>
        <w:t>trategic </w:t>
      </w:r>
      <w:r>
        <w:rPr>
          <w:rFonts w:cs="Arial"/>
        </w:rPr>
        <w:t>o</w:t>
      </w:r>
      <w:r w:rsidRPr="00195818">
        <w:rPr>
          <w:rFonts w:cs="Arial"/>
        </w:rPr>
        <w:t xml:space="preserve">bjective </w:t>
      </w:r>
      <w:r>
        <w:rPr>
          <w:rFonts w:cs="Arial"/>
        </w:rPr>
        <w:t>o</w:t>
      </w:r>
      <w:r w:rsidRPr="00195818">
        <w:rPr>
          <w:rFonts w:cs="Arial"/>
        </w:rPr>
        <w:t>ne: Perform pricing functions in the IHACPA Work Program and Corporate Plan 2025–26 and Section 1.1 of the Portfolio Budget Statements</w:t>
      </w:r>
      <w:r>
        <w:rPr>
          <w:rFonts w:cs="Arial"/>
        </w:rPr>
        <w:t xml:space="preserve"> </w:t>
      </w:r>
      <w:r w:rsidRPr="00195818" w:rsidDel="001769FE">
        <w:t>202</w:t>
      </w:r>
      <w:r w:rsidRPr="00195818">
        <w:t>5</w:t>
      </w:r>
      <w:r w:rsidRPr="00195818" w:rsidDel="001769FE">
        <w:t>–2</w:t>
      </w:r>
      <w:r w:rsidRPr="00195818">
        <w:t>6</w:t>
      </w:r>
      <w:r w:rsidRPr="00195818">
        <w:rPr>
          <w:rFonts w:cs="Arial"/>
        </w:rPr>
        <w:t xml:space="preserve">. A summary of each deliverable and the analysis of our performance against the deliverables is outlined in </w:t>
      </w:r>
      <w:r w:rsidRPr="00195818">
        <w:rPr>
          <w:rFonts w:cs="Arial"/>
          <w:b/>
          <w:bCs/>
        </w:rPr>
        <w:t xml:space="preserve">Table </w:t>
      </w:r>
      <w:r>
        <w:rPr>
          <w:rFonts w:cs="Arial"/>
          <w:b/>
          <w:bCs/>
        </w:rPr>
        <w:t>8</w:t>
      </w:r>
      <w:r w:rsidRPr="00195818">
        <w:rPr>
          <w:rFonts w:cs="Arial"/>
        </w:rPr>
        <w:t>.</w:t>
      </w:r>
    </w:p>
    <w:p w14:paraId="73EDF94D" w14:textId="77777777" w:rsidR="00EB0D85" w:rsidRPr="00195818" w:rsidRDefault="00EB0D85" w:rsidP="00EB0D85">
      <w:pPr>
        <w:pStyle w:val="TableFigureheading"/>
        <w:rPr>
          <w:b/>
          <w:bCs/>
          <w:color w:val="15272F" w:themeColor="text1"/>
        </w:rPr>
      </w:pPr>
      <w:bookmarkStart w:id="699" w:name="_Toc233023546"/>
      <w:bookmarkStart w:id="700" w:name="_Toc233028722"/>
      <w:r w:rsidRPr="00195818">
        <w:rPr>
          <w:b/>
          <w:bCs/>
          <w:color w:val="15272F" w:themeColor="text1"/>
        </w:rPr>
        <w:lastRenderedPageBreak/>
        <w:t xml:space="preserve">Table </w:t>
      </w:r>
      <w:r>
        <w:rPr>
          <w:b/>
          <w:bCs/>
          <w:color w:val="15272F" w:themeColor="text1"/>
        </w:rPr>
        <w:t>8:</w:t>
      </w:r>
      <w:r w:rsidRPr="00195818">
        <w:rPr>
          <w:b/>
          <w:bCs/>
          <w:color w:val="15272F" w:themeColor="text1"/>
        </w:rPr>
        <w:t xml:space="preserve"> Summary of performance for </w:t>
      </w:r>
      <w:r>
        <w:rPr>
          <w:b/>
          <w:bCs/>
          <w:color w:val="15272F" w:themeColor="text1"/>
        </w:rPr>
        <w:t>s</w:t>
      </w:r>
      <w:r w:rsidRPr="00195818">
        <w:rPr>
          <w:b/>
          <w:bCs/>
          <w:color w:val="15272F" w:themeColor="text1"/>
        </w:rPr>
        <w:t xml:space="preserve">trategic </w:t>
      </w:r>
      <w:r>
        <w:rPr>
          <w:b/>
          <w:bCs/>
          <w:color w:val="15272F" w:themeColor="text1"/>
        </w:rPr>
        <w:t>o</w:t>
      </w:r>
      <w:r w:rsidRPr="00195818">
        <w:rPr>
          <w:b/>
          <w:bCs/>
          <w:color w:val="15272F" w:themeColor="text1"/>
        </w:rPr>
        <w:t xml:space="preserve">bjective </w:t>
      </w:r>
      <w:r>
        <w:rPr>
          <w:b/>
          <w:bCs/>
          <w:color w:val="15272F" w:themeColor="text1"/>
        </w:rPr>
        <w:t>o</w:t>
      </w:r>
      <w:r w:rsidRPr="00195818">
        <w:rPr>
          <w:b/>
          <w:bCs/>
          <w:color w:val="15272F" w:themeColor="text1"/>
        </w:rPr>
        <w:t>ne: Perform pricing functions in 2025–26</w:t>
      </w:r>
      <w:bookmarkEnd w:id="699"/>
      <w:bookmarkEnd w:id="700"/>
      <w:r w:rsidRPr="00195818">
        <w:rPr>
          <w:b/>
          <w:bCs/>
          <w:color w:val="15272F" w:themeColor="text1"/>
        </w:rPr>
        <w:t xml:space="preserve"> </w:t>
      </w:r>
    </w:p>
    <w:tbl>
      <w:tblPr>
        <w:tblStyle w:val="IHACPATable"/>
        <w:tblW w:w="5015" w:type="pct"/>
        <w:tblLook w:val="0400" w:firstRow="0" w:lastRow="0" w:firstColumn="0" w:lastColumn="0" w:noHBand="0" w:noVBand="1"/>
      </w:tblPr>
      <w:tblGrid>
        <w:gridCol w:w="3364"/>
        <w:gridCol w:w="1084"/>
        <w:gridCol w:w="967"/>
        <w:gridCol w:w="4366"/>
      </w:tblGrid>
      <w:tr w:rsidR="00EB0D85" w:rsidRPr="00FA0CF1" w14:paraId="20DA4D39" w14:textId="77777777" w:rsidTr="00ED2732">
        <w:trPr>
          <w:cnfStyle w:val="000000010000" w:firstRow="0" w:lastRow="0" w:firstColumn="0" w:lastColumn="0" w:oddVBand="0" w:evenVBand="0" w:oddHBand="0" w:evenHBand="1" w:firstRowFirstColumn="0" w:firstRowLastColumn="0" w:lastRowFirstColumn="0" w:lastRowLastColumn="0"/>
          <w:trHeight w:val="57"/>
          <w:tblHeader/>
        </w:trPr>
        <w:tc>
          <w:tcPr>
            <w:tcW w:w="1720" w:type="pct"/>
            <w:shd w:val="clear" w:color="auto" w:fill="15272F" w:themeFill="text1"/>
            <w:vAlign w:val="center"/>
          </w:tcPr>
          <w:p w14:paraId="0B81F6B6" w14:textId="77777777" w:rsidR="00EB0D85" w:rsidRPr="0004008B" w:rsidRDefault="00EB0D85" w:rsidP="00ED2732">
            <w:pPr>
              <w:pStyle w:val="TableParagraph"/>
              <w:framePr w:hSpace="0" w:wrap="auto" w:vAnchor="margin" w:hAnchor="text" w:yAlign="inline"/>
              <w:spacing w:before="80" w:after="80"/>
              <w:ind w:right="57"/>
              <w:jc w:val="left"/>
              <w:rPr>
                <w:b/>
                <w:bCs/>
                <w:sz w:val="16"/>
                <w:szCs w:val="16"/>
              </w:rPr>
            </w:pPr>
            <w:bookmarkStart w:id="701" w:name="_Toc148025817"/>
            <w:r w:rsidRPr="0004008B">
              <w:rPr>
                <w:b/>
                <w:bCs/>
                <w:sz w:val="16"/>
                <w:szCs w:val="16"/>
              </w:rPr>
              <w:t>Deliverables</w:t>
            </w:r>
            <w:bookmarkEnd w:id="701"/>
          </w:p>
        </w:tc>
        <w:tc>
          <w:tcPr>
            <w:tcW w:w="554" w:type="pct"/>
            <w:shd w:val="clear" w:color="auto" w:fill="15272F" w:themeFill="text1"/>
            <w:vAlign w:val="center"/>
          </w:tcPr>
          <w:p w14:paraId="13E261C9" w14:textId="77777777" w:rsidR="00EB0D85" w:rsidRPr="0004008B" w:rsidRDefault="00EB0D85" w:rsidP="00ED2732">
            <w:pPr>
              <w:pStyle w:val="TableParagraph"/>
              <w:framePr w:hSpace="0" w:wrap="auto" w:vAnchor="margin" w:hAnchor="text" w:yAlign="inline"/>
              <w:spacing w:before="80" w:after="80"/>
              <w:ind w:right="57"/>
              <w:jc w:val="left"/>
              <w:rPr>
                <w:rStyle w:val="WhiteColours"/>
                <w:b/>
                <w:bCs/>
                <w:color w:val="auto"/>
                <w:sz w:val="16"/>
                <w:szCs w:val="16"/>
              </w:rPr>
            </w:pPr>
            <w:r w:rsidRPr="0004008B">
              <w:rPr>
                <w:rStyle w:val="WhiteColours"/>
                <w:b/>
                <w:bCs/>
                <w:color w:val="auto"/>
                <w:sz w:val="16"/>
                <w:szCs w:val="16"/>
              </w:rPr>
              <w:t>Timeframe</w:t>
            </w:r>
          </w:p>
        </w:tc>
        <w:tc>
          <w:tcPr>
            <w:tcW w:w="494" w:type="pct"/>
            <w:shd w:val="clear" w:color="auto" w:fill="15272F" w:themeFill="text1"/>
            <w:vAlign w:val="center"/>
          </w:tcPr>
          <w:p w14:paraId="6ECE224D" w14:textId="77777777" w:rsidR="00EB0D85" w:rsidRPr="0004008B" w:rsidRDefault="00EB0D85" w:rsidP="00ED2732">
            <w:pPr>
              <w:pStyle w:val="TableParagraph"/>
              <w:framePr w:hSpace="0" w:wrap="auto" w:vAnchor="margin" w:hAnchor="text" w:yAlign="inline"/>
              <w:spacing w:before="80" w:after="80"/>
              <w:ind w:right="57"/>
              <w:jc w:val="left"/>
              <w:rPr>
                <w:rStyle w:val="WhiteColours"/>
                <w:b/>
                <w:bCs/>
                <w:color w:val="auto"/>
                <w:sz w:val="16"/>
                <w:szCs w:val="16"/>
              </w:rPr>
            </w:pPr>
            <w:r w:rsidRPr="0004008B">
              <w:rPr>
                <w:rStyle w:val="WhiteColours"/>
                <w:b/>
                <w:bCs/>
                <w:color w:val="auto"/>
                <w:sz w:val="16"/>
                <w:szCs w:val="16"/>
              </w:rPr>
              <w:t>Outcome</w:t>
            </w:r>
          </w:p>
        </w:tc>
        <w:tc>
          <w:tcPr>
            <w:tcW w:w="2232" w:type="pct"/>
            <w:shd w:val="clear" w:color="auto" w:fill="15272F" w:themeFill="text1"/>
            <w:vAlign w:val="center"/>
          </w:tcPr>
          <w:p w14:paraId="7506CC58" w14:textId="77777777" w:rsidR="00EB0D85" w:rsidRPr="0004008B" w:rsidRDefault="00EB0D85" w:rsidP="00ED2732">
            <w:pPr>
              <w:pStyle w:val="TableParagraph"/>
              <w:framePr w:hSpace="0" w:wrap="auto" w:vAnchor="margin" w:hAnchor="text" w:yAlign="inline"/>
              <w:spacing w:before="80" w:after="80"/>
              <w:ind w:left="57" w:right="57"/>
              <w:jc w:val="left"/>
              <w:rPr>
                <w:rStyle w:val="WhiteColours"/>
                <w:b/>
                <w:bCs/>
                <w:color w:val="auto"/>
                <w:sz w:val="16"/>
                <w:szCs w:val="16"/>
              </w:rPr>
            </w:pPr>
            <w:r w:rsidRPr="0004008B">
              <w:rPr>
                <w:rStyle w:val="WhiteColours"/>
                <w:b/>
                <w:bCs/>
                <w:color w:val="auto"/>
                <w:sz w:val="16"/>
                <w:szCs w:val="16"/>
              </w:rPr>
              <w:t>Analysis</w:t>
            </w:r>
          </w:p>
        </w:tc>
      </w:tr>
      <w:tr w:rsidR="00EB0D85" w:rsidRPr="00FA0CF1" w14:paraId="058549F4"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71D143EB" w14:textId="77777777" w:rsidR="00EB0D85" w:rsidRPr="0066244A" w:rsidRDefault="00EB0D85" w:rsidP="00ED2732">
            <w:pPr>
              <w:pStyle w:val="TableParagraph"/>
              <w:framePr w:hSpace="0" w:wrap="auto" w:vAnchor="margin" w:hAnchor="text" w:yAlign="inline"/>
              <w:numPr>
                <w:ilvl w:val="0"/>
                <w:numId w:val="16"/>
              </w:numPr>
              <w:spacing w:before="60" w:after="60"/>
              <w:ind w:left="226" w:right="28" w:hanging="198"/>
              <w:jc w:val="left"/>
              <w:rPr>
                <w:color w:val="15272F" w:themeColor="text1"/>
                <w:sz w:val="16"/>
                <w:szCs w:val="16"/>
              </w:rPr>
            </w:pPr>
            <w:r w:rsidRPr="0066244A">
              <w:rPr>
                <w:color w:val="15272F" w:themeColor="text1"/>
                <w:sz w:val="16"/>
                <w:szCs w:val="16"/>
              </w:rPr>
              <w:t>Complete the public consultation process for the Pricing Framework for Australian Public Hospital Services 2026–27.</w:t>
            </w:r>
          </w:p>
        </w:tc>
        <w:tc>
          <w:tcPr>
            <w:tcW w:w="554" w:type="pct"/>
            <w:vAlign w:val="center"/>
          </w:tcPr>
          <w:p w14:paraId="042781C4"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July 2025</w:t>
            </w:r>
          </w:p>
        </w:tc>
        <w:tc>
          <w:tcPr>
            <w:tcW w:w="494" w:type="pct"/>
            <w:vAlign w:val="center"/>
          </w:tcPr>
          <w:p w14:paraId="7AA9E530"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Delivered</w:t>
            </w:r>
          </w:p>
        </w:tc>
        <w:tc>
          <w:tcPr>
            <w:tcW w:w="2232" w:type="pct"/>
            <w:vAlign w:val="center"/>
          </w:tcPr>
          <w:p w14:paraId="62CA49FD" w14:textId="77777777" w:rsidR="00EB0D85" w:rsidRPr="0066244A" w:rsidRDefault="00EB0D85" w:rsidP="00ED2732">
            <w:pPr>
              <w:pStyle w:val="TableParagraph"/>
              <w:framePr w:hSpace="0" w:wrap="auto" w:vAnchor="margin" w:hAnchor="text" w:yAlign="inline"/>
              <w:spacing w:before="60" w:after="60"/>
              <w:ind w:left="57" w:right="57"/>
              <w:jc w:val="left"/>
              <w:rPr>
                <w:color w:val="15272F" w:themeColor="text1"/>
                <w:sz w:val="16"/>
                <w:szCs w:val="16"/>
              </w:rPr>
            </w:pPr>
            <w:r w:rsidRPr="0066244A">
              <w:rPr>
                <w:color w:val="15272F" w:themeColor="text1"/>
                <w:sz w:val="16"/>
                <w:szCs w:val="16"/>
              </w:rPr>
              <w:t xml:space="preserve">The Consultation Paper on the Pricing Framework for Australian Public Hospital Services 2026–27 was released for public consultation on 14 May 2025 </w:t>
            </w:r>
            <w:r>
              <w:rPr>
                <w:color w:val="15272F" w:themeColor="text1"/>
                <w:sz w:val="16"/>
                <w:szCs w:val="16"/>
              </w:rPr>
              <w:t>and closed</w:t>
            </w:r>
            <w:r w:rsidRPr="0066244A">
              <w:rPr>
                <w:color w:val="15272F" w:themeColor="text1"/>
                <w:sz w:val="16"/>
                <w:szCs w:val="16"/>
              </w:rPr>
              <w:t xml:space="preserve"> on 13 June 2025. </w:t>
            </w:r>
          </w:p>
        </w:tc>
      </w:tr>
      <w:tr w:rsidR="00EB0D85" w:rsidRPr="00FA0CF1" w14:paraId="14117D43"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720" w:type="pct"/>
            <w:vAlign w:val="center"/>
          </w:tcPr>
          <w:p w14:paraId="6572BD5A" w14:textId="77777777" w:rsidR="00EB0D85" w:rsidRPr="0066244A" w:rsidRDefault="00EB0D85" w:rsidP="00ED2732">
            <w:pPr>
              <w:pStyle w:val="TableParagraph"/>
              <w:framePr w:hSpace="0" w:wrap="auto" w:vAnchor="margin" w:hAnchor="text" w:yAlign="inline"/>
              <w:numPr>
                <w:ilvl w:val="0"/>
                <w:numId w:val="16"/>
              </w:numPr>
              <w:spacing w:before="60" w:after="60"/>
              <w:ind w:left="226" w:right="28" w:hanging="198"/>
              <w:jc w:val="left"/>
              <w:rPr>
                <w:color w:val="15272F" w:themeColor="text1"/>
                <w:sz w:val="16"/>
                <w:szCs w:val="16"/>
              </w:rPr>
            </w:pPr>
            <w:r w:rsidRPr="0066244A">
              <w:rPr>
                <w:color w:val="15272F" w:themeColor="text1"/>
                <w:sz w:val="16"/>
                <w:szCs w:val="16"/>
              </w:rPr>
              <w:t>Provide the draft Pricing Framework for Australian Public Hospital Services 2026–27 to health ministers for a 45-day comment period.</w:t>
            </w:r>
          </w:p>
        </w:tc>
        <w:tc>
          <w:tcPr>
            <w:tcW w:w="554" w:type="pct"/>
            <w:vAlign w:val="center"/>
          </w:tcPr>
          <w:p w14:paraId="7DD709DF"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z w:val="16"/>
                <w:szCs w:val="16"/>
              </w:rPr>
            </w:pPr>
            <w:r w:rsidRPr="0066244A">
              <w:rPr>
                <w:color w:val="15272F" w:themeColor="text1"/>
                <w:sz w:val="16"/>
                <w:szCs w:val="16"/>
              </w:rPr>
              <w:t>September 2025</w:t>
            </w:r>
          </w:p>
        </w:tc>
        <w:tc>
          <w:tcPr>
            <w:tcW w:w="494" w:type="pct"/>
            <w:vAlign w:val="center"/>
          </w:tcPr>
          <w:p w14:paraId="3DA2AA98"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Delivered</w:t>
            </w:r>
          </w:p>
        </w:tc>
        <w:tc>
          <w:tcPr>
            <w:tcW w:w="2232" w:type="pct"/>
            <w:vAlign w:val="center"/>
          </w:tcPr>
          <w:p w14:paraId="2477695B" w14:textId="77777777" w:rsidR="00EB0D85" w:rsidRPr="0066244A" w:rsidRDefault="00EB0D85" w:rsidP="00ED2732">
            <w:pPr>
              <w:pStyle w:val="TableParagraph"/>
              <w:framePr w:hSpace="0" w:wrap="auto" w:vAnchor="margin" w:hAnchor="text" w:yAlign="inline"/>
              <w:spacing w:before="60" w:after="60"/>
              <w:ind w:left="57" w:right="57"/>
              <w:jc w:val="left"/>
              <w:rPr>
                <w:color w:val="15272F" w:themeColor="text1"/>
                <w:sz w:val="16"/>
                <w:szCs w:val="16"/>
              </w:rPr>
            </w:pPr>
            <w:r w:rsidRPr="0066244A">
              <w:rPr>
                <w:color w:val="15272F" w:themeColor="text1"/>
                <w:sz w:val="16"/>
                <w:szCs w:val="16"/>
              </w:rPr>
              <w:t>The draft Pricing Framework for Australian Public Hospital Services 2026−27 was released to health ministers on 9 September 2025.</w:t>
            </w:r>
          </w:p>
        </w:tc>
      </w:tr>
      <w:tr w:rsidR="00EB0D85" w:rsidRPr="00FA0CF1" w14:paraId="0991F1D7"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7DFF2577" w14:textId="77777777" w:rsidR="00EB0D85" w:rsidRPr="0066244A" w:rsidRDefault="00EB0D85" w:rsidP="00ED2732">
            <w:pPr>
              <w:pStyle w:val="TableParagraph"/>
              <w:framePr w:hSpace="0" w:wrap="auto" w:vAnchor="margin" w:hAnchor="text" w:yAlign="inline"/>
              <w:numPr>
                <w:ilvl w:val="0"/>
                <w:numId w:val="16"/>
              </w:numPr>
              <w:spacing w:before="60" w:after="60"/>
              <w:ind w:left="226" w:right="28" w:hanging="198"/>
              <w:jc w:val="left"/>
              <w:rPr>
                <w:color w:val="15272F" w:themeColor="text1"/>
                <w:sz w:val="16"/>
                <w:szCs w:val="16"/>
              </w:rPr>
            </w:pPr>
            <w:r w:rsidRPr="0066244A">
              <w:rPr>
                <w:color w:val="15272F" w:themeColor="text1"/>
                <w:sz w:val="16"/>
                <w:szCs w:val="16"/>
              </w:rPr>
              <w:t>Publish the final Pricing Framework for Australian Public Hospital Services 2026–27 on the IHACPA website.</w:t>
            </w:r>
          </w:p>
        </w:tc>
        <w:tc>
          <w:tcPr>
            <w:tcW w:w="554" w:type="pct"/>
            <w:vAlign w:val="center"/>
          </w:tcPr>
          <w:p w14:paraId="404D33ED"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z w:val="16"/>
                <w:szCs w:val="16"/>
              </w:rPr>
            </w:pPr>
            <w:r w:rsidRPr="0066244A">
              <w:rPr>
                <w:color w:val="15272F" w:themeColor="text1"/>
                <w:sz w:val="16"/>
                <w:szCs w:val="16"/>
              </w:rPr>
              <w:t>December 2025</w:t>
            </w:r>
          </w:p>
        </w:tc>
        <w:tc>
          <w:tcPr>
            <w:tcW w:w="494" w:type="pct"/>
            <w:vAlign w:val="center"/>
          </w:tcPr>
          <w:p w14:paraId="6CCDE1F0"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z w:val="16"/>
                <w:szCs w:val="16"/>
              </w:rPr>
            </w:pPr>
            <w:r w:rsidRPr="0066244A">
              <w:rPr>
                <w:color w:val="15272F" w:themeColor="text1"/>
                <w:sz w:val="16"/>
                <w:szCs w:val="16"/>
              </w:rPr>
              <w:t>Delivered</w:t>
            </w:r>
          </w:p>
        </w:tc>
        <w:tc>
          <w:tcPr>
            <w:tcW w:w="2232" w:type="pct"/>
            <w:vAlign w:val="center"/>
          </w:tcPr>
          <w:p w14:paraId="3161A209" w14:textId="77777777" w:rsidR="00EB0D85" w:rsidRPr="0066244A" w:rsidRDefault="00EB0D85" w:rsidP="00ED2732">
            <w:pPr>
              <w:pStyle w:val="TableParagraph"/>
              <w:framePr w:hSpace="0" w:wrap="auto" w:vAnchor="margin" w:hAnchor="text" w:yAlign="inline"/>
              <w:spacing w:before="60" w:after="60"/>
              <w:ind w:left="57" w:right="57"/>
              <w:jc w:val="left"/>
              <w:rPr>
                <w:color w:val="15272F" w:themeColor="text1"/>
                <w:sz w:val="16"/>
                <w:szCs w:val="16"/>
              </w:rPr>
            </w:pPr>
            <w:r w:rsidRPr="0066244A">
              <w:rPr>
                <w:color w:val="15272F" w:themeColor="text1"/>
                <w:sz w:val="16"/>
                <w:szCs w:val="16"/>
              </w:rPr>
              <w:t>The final Pricing Framework for Australian Public Hospital Services 2025−26 was published on 3 December 2025.</w:t>
            </w:r>
          </w:p>
        </w:tc>
      </w:tr>
      <w:tr w:rsidR="00EB0D85" w:rsidRPr="00FA0CF1" w14:paraId="0ED385FC"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720" w:type="pct"/>
            <w:vAlign w:val="center"/>
          </w:tcPr>
          <w:p w14:paraId="3EF76BEB" w14:textId="77777777" w:rsidR="00EB0D85" w:rsidRPr="0066244A" w:rsidRDefault="00EB0D85" w:rsidP="00ED2732">
            <w:pPr>
              <w:pStyle w:val="TableParagraph"/>
              <w:framePr w:hSpace="0" w:wrap="auto" w:vAnchor="margin" w:hAnchor="text" w:yAlign="inline"/>
              <w:numPr>
                <w:ilvl w:val="0"/>
                <w:numId w:val="16"/>
              </w:numPr>
              <w:spacing w:before="60" w:after="60"/>
              <w:ind w:left="226" w:right="28" w:hanging="198"/>
              <w:jc w:val="left"/>
              <w:rPr>
                <w:color w:val="15272F" w:themeColor="text1"/>
                <w:sz w:val="16"/>
                <w:szCs w:val="16"/>
              </w:rPr>
            </w:pPr>
            <w:r w:rsidRPr="0066244A">
              <w:rPr>
                <w:color w:val="15272F" w:themeColor="text1"/>
                <w:sz w:val="16"/>
                <w:szCs w:val="16"/>
              </w:rPr>
              <w:t>Finalise decisions on the General List of In-Scope Public Hospital Services for additional or altered in-scope services for 2026−27.</w:t>
            </w:r>
          </w:p>
        </w:tc>
        <w:tc>
          <w:tcPr>
            <w:tcW w:w="554" w:type="pct"/>
            <w:vAlign w:val="center"/>
          </w:tcPr>
          <w:p w14:paraId="34F3F3A8"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z w:val="16"/>
                <w:szCs w:val="16"/>
              </w:rPr>
            </w:pPr>
            <w:r w:rsidRPr="0066244A">
              <w:rPr>
                <w:color w:val="15272F" w:themeColor="text1"/>
                <w:sz w:val="16"/>
                <w:szCs w:val="16"/>
              </w:rPr>
              <w:t>December 2025</w:t>
            </w:r>
          </w:p>
        </w:tc>
        <w:tc>
          <w:tcPr>
            <w:tcW w:w="494" w:type="pct"/>
            <w:vAlign w:val="center"/>
          </w:tcPr>
          <w:p w14:paraId="0DD75358"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z w:val="16"/>
                <w:szCs w:val="16"/>
              </w:rPr>
            </w:pPr>
            <w:r w:rsidRPr="0066244A">
              <w:rPr>
                <w:color w:val="15272F" w:themeColor="text1"/>
                <w:sz w:val="16"/>
                <w:szCs w:val="16"/>
              </w:rPr>
              <w:t>Delivered</w:t>
            </w:r>
          </w:p>
        </w:tc>
        <w:tc>
          <w:tcPr>
            <w:tcW w:w="2232" w:type="pct"/>
            <w:vAlign w:val="center"/>
          </w:tcPr>
          <w:p w14:paraId="18A50C3F" w14:textId="77777777" w:rsidR="00EB0D85" w:rsidRPr="0066244A" w:rsidRDefault="00EB0D85" w:rsidP="00ED2732">
            <w:pPr>
              <w:pStyle w:val="TableParagraph"/>
              <w:framePr w:hSpace="0" w:wrap="auto" w:vAnchor="margin" w:hAnchor="text" w:yAlign="inline"/>
              <w:spacing w:before="60" w:after="60"/>
              <w:ind w:left="57" w:right="57"/>
              <w:jc w:val="left"/>
              <w:rPr>
                <w:color w:val="15272F" w:themeColor="text1"/>
                <w:sz w:val="16"/>
                <w:szCs w:val="16"/>
              </w:rPr>
            </w:pPr>
            <w:r>
              <w:rPr>
                <w:color w:val="15272F" w:themeColor="text1"/>
                <w:sz w:val="16"/>
                <w:szCs w:val="16"/>
              </w:rPr>
              <w:t>We</w:t>
            </w:r>
            <w:r w:rsidRPr="0066244A">
              <w:rPr>
                <w:color w:val="15272F" w:themeColor="text1"/>
                <w:sz w:val="16"/>
                <w:szCs w:val="16"/>
              </w:rPr>
              <w:t xml:space="preserve"> assessed requests for in-scope public hospital services as per the annual General List of In-Scope Public Hospital Services process. The outcome was published in the draft </w:t>
            </w:r>
            <w:r>
              <w:rPr>
                <w:color w:val="15272F" w:themeColor="text1"/>
                <w:sz w:val="16"/>
                <w:szCs w:val="16"/>
              </w:rPr>
              <w:t>NEP</w:t>
            </w:r>
            <w:r w:rsidRPr="0066244A">
              <w:rPr>
                <w:color w:val="15272F" w:themeColor="text1"/>
                <w:sz w:val="16"/>
                <w:szCs w:val="16"/>
              </w:rPr>
              <w:t>26 and released to health ministers on 4 December 2025.</w:t>
            </w:r>
          </w:p>
        </w:tc>
      </w:tr>
      <w:tr w:rsidR="00EB0D85" w:rsidRPr="00353DFA" w14:paraId="7B99B13B"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63C7D7C1" w14:textId="77777777" w:rsidR="00EB0D85" w:rsidRPr="0066244A" w:rsidRDefault="00EB0D85" w:rsidP="00ED2732">
            <w:pPr>
              <w:pStyle w:val="TableParagraph"/>
              <w:framePr w:hSpace="0" w:wrap="auto" w:vAnchor="margin" w:hAnchor="text" w:yAlign="inline"/>
              <w:numPr>
                <w:ilvl w:val="0"/>
                <w:numId w:val="16"/>
              </w:numPr>
              <w:spacing w:before="60" w:after="60"/>
              <w:ind w:left="233" w:right="57" w:hanging="233"/>
              <w:jc w:val="left"/>
              <w:rPr>
                <w:color w:val="15272F" w:themeColor="text1"/>
                <w:sz w:val="16"/>
                <w:szCs w:val="16"/>
              </w:rPr>
            </w:pPr>
            <w:r w:rsidRPr="0066244A">
              <w:rPr>
                <w:color w:val="15272F" w:themeColor="text1"/>
                <w:sz w:val="16"/>
                <w:szCs w:val="16"/>
              </w:rPr>
              <w:t xml:space="preserve">Finalise decisions on legitimate and unavoidable cost variations to determine whether adjustments are required for the </w:t>
            </w:r>
            <w:r>
              <w:rPr>
                <w:color w:val="15272F" w:themeColor="text1"/>
                <w:sz w:val="16"/>
                <w:szCs w:val="16"/>
              </w:rPr>
              <w:t>NEP</w:t>
            </w:r>
            <w:r w:rsidRPr="0066244A">
              <w:rPr>
                <w:color w:val="15272F" w:themeColor="text1"/>
                <w:sz w:val="16"/>
                <w:szCs w:val="16"/>
              </w:rPr>
              <w:t>26.</w:t>
            </w:r>
          </w:p>
        </w:tc>
        <w:tc>
          <w:tcPr>
            <w:tcW w:w="554" w:type="pct"/>
            <w:vAlign w:val="center"/>
          </w:tcPr>
          <w:p w14:paraId="04AD04B2"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z w:val="16"/>
                <w:szCs w:val="16"/>
              </w:rPr>
            </w:pPr>
            <w:r w:rsidRPr="0066244A">
              <w:rPr>
                <w:color w:val="15272F" w:themeColor="text1"/>
                <w:sz w:val="16"/>
                <w:szCs w:val="16"/>
              </w:rPr>
              <w:t>December 2025</w:t>
            </w:r>
          </w:p>
        </w:tc>
        <w:tc>
          <w:tcPr>
            <w:tcW w:w="494" w:type="pct"/>
            <w:vAlign w:val="center"/>
          </w:tcPr>
          <w:p w14:paraId="7C99E49F"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z w:val="16"/>
                <w:szCs w:val="16"/>
              </w:rPr>
            </w:pPr>
            <w:r w:rsidRPr="0066244A">
              <w:rPr>
                <w:color w:val="15272F" w:themeColor="text1"/>
                <w:sz w:val="16"/>
                <w:szCs w:val="16"/>
              </w:rPr>
              <w:t>Delivered</w:t>
            </w:r>
          </w:p>
        </w:tc>
        <w:tc>
          <w:tcPr>
            <w:tcW w:w="2232" w:type="pct"/>
            <w:vAlign w:val="center"/>
          </w:tcPr>
          <w:p w14:paraId="36E49E4D" w14:textId="77777777" w:rsidR="00EB0D85" w:rsidRPr="0066244A" w:rsidRDefault="00EB0D85" w:rsidP="00ED2732">
            <w:pPr>
              <w:pStyle w:val="TableParagraph"/>
              <w:framePr w:hSpace="0" w:wrap="auto" w:vAnchor="margin" w:hAnchor="text" w:yAlign="inline"/>
              <w:spacing w:before="60" w:after="60"/>
              <w:ind w:left="57" w:right="57"/>
              <w:jc w:val="left"/>
              <w:rPr>
                <w:color w:val="15272F" w:themeColor="text1"/>
                <w:sz w:val="16"/>
                <w:szCs w:val="16"/>
              </w:rPr>
            </w:pPr>
            <w:r>
              <w:rPr>
                <w:color w:val="15272F" w:themeColor="text1"/>
                <w:sz w:val="16"/>
                <w:szCs w:val="16"/>
              </w:rPr>
              <w:t>We</w:t>
            </w:r>
            <w:r w:rsidRPr="0066244A">
              <w:rPr>
                <w:color w:val="15272F" w:themeColor="text1"/>
                <w:sz w:val="16"/>
                <w:szCs w:val="16"/>
              </w:rPr>
              <w:t xml:space="preserve"> assessed requests for adjustments to the national pricing model and the outcome was published in the draft </w:t>
            </w:r>
            <w:r>
              <w:rPr>
                <w:color w:val="15272F" w:themeColor="text1"/>
                <w:sz w:val="16"/>
                <w:szCs w:val="16"/>
              </w:rPr>
              <w:t>NEP</w:t>
            </w:r>
            <w:r w:rsidRPr="0066244A">
              <w:rPr>
                <w:color w:val="15272F" w:themeColor="text1"/>
                <w:sz w:val="16"/>
                <w:szCs w:val="16"/>
              </w:rPr>
              <w:t xml:space="preserve">26 and released to </w:t>
            </w:r>
            <w:r>
              <w:rPr>
                <w:color w:val="15272F" w:themeColor="text1"/>
                <w:sz w:val="16"/>
                <w:szCs w:val="16"/>
              </w:rPr>
              <w:t>h</w:t>
            </w:r>
            <w:r w:rsidRPr="0066244A">
              <w:rPr>
                <w:color w:val="15272F" w:themeColor="text1"/>
                <w:sz w:val="16"/>
                <w:szCs w:val="16"/>
              </w:rPr>
              <w:t xml:space="preserve">ealth </w:t>
            </w:r>
            <w:r>
              <w:rPr>
                <w:color w:val="15272F" w:themeColor="text1"/>
                <w:sz w:val="16"/>
                <w:szCs w:val="16"/>
              </w:rPr>
              <w:t>m</w:t>
            </w:r>
            <w:r w:rsidRPr="0066244A">
              <w:rPr>
                <w:color w:val="15272F" w:themeColor="text1"/>
                <w:sz w:val="16"/>
                <w:szCs w:val="16"/>
              </w:rPr>
              <w:t>inisters on 4 December 202</w:t>
            </w:r>
            <w:r>
              <w:rPr>
                <w:color w:val="15272F" w:themeColor="text1"/>
                <w:sz w:val="16"/>
                <w:szCs w:val="16"/>
              </w:rPr>
              <w:t>5</w:t>
            </w:r>
            <w:r w:rsidRPr="0066244A">
              <w:rPr>
                <w:color w:val="15272F" w:themeColor="text1"/>
                <w:sz w:val="16"/>
                <w:szCs w:val="16"/>
              </w:rPr>
              <w:t>.</w:t>
            </w:r>
          </w:p>
        </w:tc>
      </w:tr>
      <w:tr w:rsidR="00EB0D85" w:rsidRPr="00353DFA" w14:paraId="79E371A8"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720" w:type="pct"/>
            <w:vAlign w:val="center"/>
          </w:tcPr>
          <w:p w14:paraId="52312CA7" w14:textId="77777777" w:rsidR="00EB0D85" w:rsidRPr="0066244A" w:rsidRDefault="00EB0D85" w:rsidP="00ED2732">
            <w:pPr>
              <w:pStyle w:val="TableParagraph"/>
              <w:framePr w:hSpace="0" w:wrap="auto" w:vAnchor="margin" w:hAnchor="text" w:yAlign="inline"/>
              <w:numPr>
                <w:ilvl w:val="0"/>
                <w:numId w:val="16"/>
              </w:numPr>
              <w:spacing w:before="60" w:after="60"/>
              <w:ind w:left="198" w:right="28" w:hanging="198"/>
              <w:jc w:val="left"/>
              <w:rPr>
                <w:color w:val="15272F" w:themeColor="text1"/>
                <w:sz w:val="16"/>
                <w:szCs w:val="16"/>
              </w:rPr>
            </w:pPr>
            <w:r w:rsidRPr="0066244A">
              <w:rPr>
                <w:color w:val="15272F" w:themeColor="text1"/>
                <w:sz w:val="16"/>
                <w:szCs w:val="16"/>
              </w:rPr>
              <w:t xml:space="preserve">Provide the draft </w:t>
            </w:r>
            <w:r>
              <w:rPr>
                <w:color w:val="15272F" w:themeColor="text1"/>
                <w:sz w:val="16"/>
                <w:szCs w:val="16"/>
              </w:rPr>
              <w:t>NEP</w:t>
            </w:r>
            <w:r w:rsidRPr="0066244A">
              <w:rPr>
                <w:color w:val="15272F" w:themeColor="text1"/>
                <w:sz w:val="16"/>
                <w:szCs w:val="16"/>
              </w:rPr>
              <w:t>26</w:t>
            </w:r>
            <w:r>
              <w:rPr>
                <w:color w:val="15272F" w:themeColor="text1"/>
                <w:sz w:val="16"/>
                <w:szCs w:val="16"/>
              </w:rPr>
              <w:t xml:space="preserve"> and NEC26</w:t>
            </w:r>
            <w:r w:rsidRPr="0066244A">
              <w:rPr>
                <w:color w:val="15272F" w:themeColor="text1"/>
                <w:sz w:val="16"/>
                <w:szCs w:val="16"/>
              </w:rPr>
              <w:t xml:space="preserve"> to health ministers for a 45-day comment period.</w:t>
            </w:r>
          </w:p>
        </w:tc>
        <w:tc>
          <w:tcPr>
            <w:tcW w:w="554" w:type="pct"/>
            <w:vAlign w:val="center"/>
          </w:tcPr>
          <w:p w14:paraId="438AE533"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z w:val="16"/>
                <w:szCs w:val="16"/>
              </w:rPr>
            </w:pPr>
            <w:r w:rsidRPr="0066244A">
              <w:rPr>
                <w:color w:val="15272F" w:themeColor="text1"/>
                <w:sz w:val="16"/>
                <w:szCs w:val="16"/>
              </w:rPr>
              <w:t>December 2025</w:t>
            </w:r>
          </w:p>
        </w:tc>
        <w:tc>
          <w:tcPr>
            <w:tcW w:w="494" w:type="pct"/>
            <w:vAlign w:val="center"/>
          </w:tcPr>
          <w:p w14:paraId="4287A9E6"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z w:val="16"/>
                <w:szCs w:val="16"/>
              </w:rPr>
            </w:pPr>
            <w:r w:rsidRPr="0066244A">
              <w:rPr>
                <w:color w:val="15272F" w:themeColor="text1"/>
                <w:sz w:val="16"/>
                <w:szCs w:val="16"/>
              </w:rPr>
              <w:t>Delivered</w:t>
            </w:r>
          </w:p>
        </w:tc>
        <w:tc>
          <w:tcPr>
            <w:tcW w:w="2232" w:type="pct"/>
            <w:vAlign w:val="center"/>
          </w:tcPr>
          <w:p w14:paraId="698DA442" w14:textId="77777777" w:rsidR="00EB0D85" w:rsidRPr="0066244A" w:rsidRDefault="00EB0D85" w:rsidP="00ED2732">
            <w:pPr>
              <w:pStyle w:val="TableParagraph"/>
              <w:framePr w:hSpace="0" w:wrap="auto" w:vAnchor="margin" w:hAnchor="text" w:yAlign="inline"/>
              <w:spacing w:before="60" w:after="60"/>
              <w:ind w:left="57" w:right="57"/>
              <w:jc w:val="left"/>
              <w:rPr>
                <w:color w:val="15272F" w:themeColor="text1"/>
                <w:sz w:val="16"/>
                <w:szCs w:val="16"/>
              </w:rPr>
            </w:pPr>
            <w:r w:rsidRPr="0066244A">
              <w:rPr>
                <w:color w:val="15272F" w:themeColor="text1"/>
                <w:sz w:val="16"/>
                <w:szCs w:val="16"/>
              </w:rPr>
              <w:t xml:space="preserve">The draft </w:t>
            </w:r>
            <w:r>
              <w:rPr>
                <w:color w:val="15272F" w:themeColor="text1"/>
                <w:sz w:val="16"/>
                <w:szCs w:val="16"/>
              </w:rPr>
              <w:t>NEP</w:t>
            </w:r>
            <w:r w:rsidRPr="0066244A">
              <w:rPr>
                <w:color w:val="15272F" w:themeColor="text1"/>
                <w:sz w:val="16"/>
                <w:szCs w:val="16"/>
              </w:rPr>
              <w:t>26</w:t>
            </w:r>
            <w:r>
              <w:rPr>
                <w:color w:val="15272F" w:themeColor="text1"/>
                <w:sz w:val="16"/>
                <w:szCs w:val="16"/>
              </w:rPr>
              <w:t xml:space="preserve"> and NEC26</w:t>
            </w:r>
            <w:r w:rsidRPr="0066244A">
              <w:rPr>
                <w:color w:val="15272F" w:themeColor="text1"/>
                <w:sz w:val="16"/>
                <w:szCs w:val="16"/>
              </w:rPr>
              <w:t xml:space="preserve"> was provided to health ministers for comment under Section 211 of the </w:t>
            </w:r>
            <w:r w:rsidRPr="0066244A">
              <w:rPr>
                <w:i/>
                <w:iCs/>
                <w:color w:val="15272F" w:themeColor="text1"/>
                <w:sz w:val="16"/>
                <w:szCs w:val="16"/>
              </w:rPr>
              <w:t>National Health Reform Act 2011</w:t>
            </w:r>
            <w:r w:rsidRPr="0066244A">
              <w:rPr>
                <w:color w:val="15272F" w:themeColor="text1"/>
                <w:sz w:val="16"/>
                <w:szCs w:val="16"/>
              </w:rPr>
              <w:t xml:space="preserve"> on 28 November 2025.</w:t>
            </w:r>
          </w:p>
        </w:tc>
      </w:tr>
      <w:tr w:rsidR="00EB0D85" w:rsidRPr="00353DFA" w14:paraId="070392F0"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258C39A3" w14:textId="77777777" w:rsidR="00EB0D85" w:rsidRPr="0066244A" w:rsidRDefault="00EB0D85" w:rsidP="00ED2732">
            <w:pPr>
              <w:pStyle w:val="TableParagraph"/>
              <w:framePr w:hSpace="0" w:wrap="auto" w:vAnchor="margin" w:hAnchor="text" w:yAlign="inline"/>
              <w:numPr>
                <w:ilvl w:val="0"/>
                <w:numId w:val="16"/>
              </w:numPr>
              <w:spacing w:before="60" w:after="60"/>
              <w:ind w:left="230" w:right="28" w:hanging="230"/>
              <w:jc w:val="left"/>
              <w:rPr>
                <w:color w:val="15272F" w:themeColor="text1"/>
                <w:sz w:val="16"/>
                <w:szCs w:val="16"/>
              </w:rPr>
            </w:pPr>
            <w:r w:rsidRPr="0066244A">
              <w:rPr>
                <w:color w:val="15272F" w:themeColor="text1"/>
                <w:sz w:val="16"/>
                <w:szCs w:val="16"/>
              </w:rPr>
              <w:t xml:space="preserve">Publish the </w:t>
            </w:r>
            <w:r>
              <w:rPr>
                <w:color w:val="15272F" w:themeColor="text1"/>
                <w:sz w:val="16"/>
                <w:szCs w:val="16"/>
              </w:rPr>
              <w:t>NEP</w:t>
            </w:r>
            <w:r w:rsidRPr="0066244A">
              <w:rPr>
                <w:color w:val="15272F" w:themeColor="text1"/>
                <w:sz w:val="16"/>
                <w:szCs w:val="16"/>
              </w:rPr>
              <w:t>26</w:t>
            </w:r>
            <w:r>
              <w:rPr>
                <w:color w:val="15272F" w:themeColor="text1"/>
                <w:sz w:val="16"/>
                <w:szCs w:val="16"/>
              </w:rPr>
              <w:t xml:space="preserve"> and NEC26</w:t>
            </w:r>
            <w:r w:rsidRPr="0066244A">
              <w:rPr>
                <w:color w:val="15272F" w:themeColor="text1"/>
                <w:sz w:val="16"/>
                <w:szCs w:val="16"/>
              </w:rPr>
              <w:t xml:space="preserve"> on the IHACPA website.</w:t>
            </w:r>
          </w:p>
        </w:tc>
        <w:tc>
          <w:tcPr>
            <w:tcW w:w="554" w:type="pct"/>
            <w:vAlign w:val="center"/>
          </w:tcPr>
          <w:p w14:paraId="0F8BE295"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March 202</w:t>
            </w:r>
            <w:r>
              <w:rPr>
                <w:color w:val="15272F" w:themeColor="text1"/>
                <w:sz w:val="16"/>
                <w:szCs w:val="16"/>
              </w:rPr>
              <w:t>6</w:t>
            </w:r>
          </w:p>
        </w:tc>
        <w:tc>
          <w:tcPr>
            <w:tcW w:w="494" w:type="pct"/>
            <w:vAlign w:val="center"/>
          </w:tcPr>
          <w:p w14:paraId="048022BC"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Delivered</w:t>
            </w:r>
          </w:p>
        </w:tc>
        <w:tc>
          <w:tcPr>
            <w:tcW w:w="2232" w:type="pct"/>
            <w:vAlign w:val="center"/>
          </w:tcPr>
          <w:p w14:paraId="42C1270A" w14:textId="77777777" w:rsidR="00EB0D85" w:rsidRPr="0066244A" w:rsidRDefault="00EB0D85" w:rsidP="00ED2732">
            <w:pPr>
              <w:pStyle w:val="TableParagraph"/>
              <w:framePr w:hSpace="0" w:wrap="auto" w:vAnchor="margin" w:hAnchor="text" w:yAlign="inline"/>
              <w:spacing w:before="60" w:after="60"/>
              <w:ind w:left="57" w:right="57"/>
              <w:jc w:val="left"/>
              <w:rPr>
                <w:color w:val="15272F" w:themeColor="text1"/>
                <w:sz w:val="16"/>
                <w:szCs w:val="16"/>
              </w:rPr>
            </w:pPr>
            <w:r w:rsidRPr="0066244A">
              <w:rPr>
                <w:color w:val="15272F" w:themeColor="text1"/>
                <w:sz w:val="16"/>
                <w:szCs w:val="16"/>
              </w:rPr>
              <w:t xml:space="preserve">The </w:t>
            </w:r>
            <w:r w:rsidRPr="00933D2D">
              <w:rPr>
                <w:color w:val="15272F" w:themeColor="text1"/>
                <w:sz w:val="16"/>
                <w:szCs w:val="16"/>
              </w:rPr>
              <w:t>NEP26 and NEC26</w:t>
            </w:r>
            <w:r w:rsidRPr="0066244A">
              <w:rPr>
                <w:color w:val="15272F" w:themeColor="text1"/>
                <w:sz w:val="16"/>
                <w:szCs w:val="16"/>
              </w:rPr>
              <w:t xml:space="preserve"> was published on 11 March 2026. </w:t>
            </w:r>
          </w:p>
        </w:tc>
      </w:tr>
      <w:tr w:rsidR="00EB0D85" w:rsidRPr="00353DFA" w14:paraId="404F25DF"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720" w:type="pct"/>
            <w:vAlign w:val="center"/>
          </w:tcPr>
          <w:p w14:paraId="2F28AEAC" w14:textId="77777777" w:rsidR="00EB0D85" w:rsidRPr="0066244A" w:rsidRDefault="00EB0D85" w:rsidP="00ED2732">
            <w:pPr>
              <w:pStyle w:val="TableParagraph"/>
              <w:framePr w:hSpace="0" w:wrap="auto" w:vAnchor="margin" w:hAnchor="text" w:yAlign="inline"/>
              <w:numPr>
                <w:ilvl w:val="0"/>
                <w:numId w:val="16"/>
              </w:numPr>
              <w:spacing w:before="60" w:after="60"/>
              <w:ind w:left="230" w:right="28" w:hanging="230"/>
              <w:jc w:val="left"/>
              <w:rPr>
                <w:color w:val="15272F" w:themeColor="text1"/>
                <w:sz w:val="16"/>
                <w:szCs w:val="16"/>
              </w:rPr>
            </w:pPr>
            <w:r w:rsidRPr="0066244A">
              <w:rPr>
                <w:color w:val="15272F" w:themeColor="text1"/>
                <w:sz w:val="16"/>
                <w:szCs w:val="16"/>
              </w:rPr>
              <w:t>Incorporate safety and quality reforms into the pricing and funding of public hospital services.</w:t>
            </w:r>
          </w:p>
        </w:tc>
        <w:tc>
          <w:tcPr>
            <w:tcW w:w="554" w:type="pct"/>
            <w:vAlign w:val="center"/>
          </w:tcPr>
          <w:p w14:paraId="46C1B9C7"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Ongoing</w:t>
            </w:r>
          </w:p>
        </w:tc>
        <w:tc>
          <w:tcPr>
            <w:tcW w:w="494" w:type="pct"/>
            <w:vAlign w:val="center"/>
          </w:tcPr>
          <w:p w14:paraId="1100D11A"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rStyle w:val="Arialbody"/>
                <w:color w:val="15272F" w:themeColor="text1"/>
                <w:spacing w:val="-2"/>
                <w:sz w:val="16"/>
                <w:szCs w:val="16"/>
              </w:rPr>
              <w:t>Ongoing</w:t>
            </w:r>
          </w:p>
        </w:tc>
        <w:tc>
          <w:tcPr>
            <w:tcW w:w="2232" w:type="pct"/>
            <w:vAlign w:val="center"/>
          </w:tcPr>
          <w:p w14:paraId="676282B2"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Pr>
                <w:color w:val="15272F" w:themeColor="text1"/>
                <w:sz w:val="16"/>
                <w:szCs w:val="16"/>
              </w:rPr>
              <w:t>We</w:t>
            </w:r>
            <w:r w:rsidRPr="0066244A">
              <w:rPr>
                <w:color w:val="15272F" w:themeColor="text1"/>
                <w:sz w:val="16"/>
                <w:szCs w:val="16"/>
              </w:rPr>
              <w:t xml:space="preserve"> continue to incorporate approaches for sentinel events, hospital acquired complications and avoidable hospital readmissions into the pricing and funding of public hospital services.</w:t>
            </w:r>
          </w:p>
          <w:p w14:paraId="493CE5F8" w14:textId="77777777" w:rsidR="00EB0D85" w:rsidRPr="0066244A" w:rsidRDefault="00EB0D85" w:rsidP="00ED2732">
            <w:pPr>
              <w:pStyle w:val="TableParagraph"/>
              <w:framePr w:hSpace="0" w:wrap="auto" w:vAnchor="margin" w:hAnchor="text" w:yAlign="inline"/>
              <w:spacing w:before="60" w:after="60"/>
              <w:ind w:left="57" w:right="57"/>
              <w:jc w:val="left"/>
              <w:rPr>
                <w:color w:val="15272F" w:themeColor="text1"/>
                <w:sz w:val="16"/>
                <w:szCs w:val="16"/>
              </w:rPr>
            </w:pPr>
            <w:r w:rsidRPr="0066244A">
              <w:rPr>
                <w:color w:val="15272F" w:themeColor="text1"/>
                <w:sz w:val="16"/>
                <w:szCs w:val="16"/>
              </w:rPr>
              <w:t>During 2025–26, the safety and quality models for hospital acquired complications and avoidable hospital readmissions received technical updates in consultation with clinical and jurisdictional stakeholders</w:t>
            </w:r>
            <w:r>
              <w:rPr>
                <w:color w:val="15272F" w:themeColor="text1"/>
                <w:sz w:val="16"/>
                <w:szCs w:val="16"/>
              </w:rPr>
              <w:t>,</w:t>
            </w:r>
            <w:r w:rsidRPr="0066244A">
              <w:rPr>
                <w:color w:val="15272F" w:themeColor="text1"/>
                <w:sz w:val="16"/>
                <w:szCs w:val="16"/>
              </w:rPr>
              <w:t xml:space="preserve"> to ensure they remain based on the most contemporary classification data.</w:t>
            </w:r>
          </w:p>
        </w:tc>
      </w:tr>
      <w:tr w:rsidR="00EB0D85" w:rsidRPr="00353DFA" w14:paraId="62B6F212"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376CC07E" w14:textId="77777777" w:rsidR="00EB0D85" w:rsidRPr="0066244A" w:rsidRDefault="00EB0D85" w:rsidP="00ED2732">
            <w:pPr>
              <w:pStyle w:val="TableParagraph"/>
              <w:framePr w:hSpace="0" w:wrap="auto" w:vAnchor="margin" w:hAnchor="text" w:yAlign="inline"/>
              <w:numPr>
                <w:ilvl w:val="0"/>
                <w:numId w:val="16"/>
              </w:numPr>
              <w:spacing w:before="60" w:after="60"/>
              <w:ind w:left="230" w:right="28" w:hanging="230"/>
              <w:jc w:val="left"/>
              <w:rPr>
                <w:color w:val="15272F" w:themeColor="text1"/>
                <w:sz w:val="16"/>
                <w:szCs w:val="16"/>
              </w:rPr>
            </w:pPr>
            <w:r w:rsidRPr="0066244A">
              <w:rPr>
                <w:color w:val="15272F" w:themeColor="text1"/>
                <w:sz w:val="16"/>
                <w:szCs w:val="16"/>
              </w:rPr>
              <w:t xml:space="preserve">Provide confidential </w:t>
            </w:r>
            <w:r>
              <w:rPr>
                <w:color w:val="15272F" w:themeColor="text1"/>
                <w:sz w:val="16"/>
                <w:szCs w:val="16"/>
              </w:rPr>
              <w:t>NEP</w:t>
            </w:r>
            <w:r w:rsidRPr="0066244A">
              <w:rPr>
                <w:color w:val="15272F" w:themeColor="text1"/>
                <w:sz w:val="16"/>
                <w:szCs w:val="16"/>
              </w:rPr>
              <w:t xml:space="preserve"> forecast for future years to jurisdictions.</w:t>
            </w:r>
          </w:p>
        </w:tc>
        <w:tc>
          <w:tcPr>
            <w:tcW w:w="554" w:type="pct"/>
            <w:vAlign w:val="center"/>
          </w:tcPr>
          <w:p w14:paraId="62216B80"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Pr>
                <w:color w:val="15272F" w:themeColor="text1"/>
                <w:sz w:val="16"/>
                <w:szCs w:val="16"/>
              </w:rPr>
              <w:t>March 2026</w:t>
            </w:r>
          </w:p>
        </w:tc>
        <w:tc>
          <w:tcPr>
            <w:tcW w:w="494" w:type="pct"/>
            <w:vAlign w:val="center"/>
          </w:tcPr>
          <w:p w14:paraId="37260383"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Delivered</w:t>
            </w:r>
          </w:p>
        </w:tc>
        <w:tc>
          <w:tcPr>
            <w:tcW w:w="2232" w:type="pct"/>
            <w:vAlign w:val="center"/>
          </w:tcPr>
          <w:p w14:paraId="486195A7"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sidRPr="00BA4C69">
              <w:rPr>
                <w:color w:val="15272F" w:themeColor="text1"/>
                <w:sz w:val="16"/>
                <w:szCs w:val="16"/>
              </w:rPr>
              <w:t>The confidential NEP forecast was provided to the Prime Minister, premiers and chief ministers on</w:t>
            </w:r>
            <w:r w:rsidRPr="0066244A">
              <w:rPr>
                <w:color w:val="15272F" w:themeColor="text1"/>
                <w:sz w:val="16"/>
                <w:szCs w:val="16"/>
              </w:rPr>
              <w:t xml:space="preserve"> </w:t>
            </w:r>
            <w:r>
              <w:rPr>
                <w:color w:val="15272F" w:themeColor="text1"/>
                <w:sz w:val="16"/>
                <w:szCs w:val="16"/>
              </w:rPr>
              <w:t xml:space="preserve">27 November 2025. </w:t>
            </w:r>
          </w:p>
        </w:tc>
      </w:tr>
      <w:tr w:rsidR="00EB0D85" w:rsidRPr="00353DFA" w14:paraId="6BF5FBB4" w14:textId="77777777" w:rsidTr="00ED2732">
        <w:trPr>
          <w:cnfStyle w:val="000000010000" w:firstRow="0" w:lastRow="0" w:firstColumn="0" w:lastColumn="0" w:oddVBand="0" w:evenVBand="0" w:oddHBand="0" w:evenHBand="1" w:firstRowFirstColumn="0" w:firstRowLastColumn="0" w:lastRowFirstColumn="0" w:lastRowLastColumn="0"/>
          <w:cantSplit/>
          <w:trHeight w:val="113"/>
        </w:trPr>
        <w:tc>
          <w:tcPr>
            <w:tcW w:w="1720" w:type="pct"/>
            <w:vAlign w:val="center"/>
          </w:tcPr>
          <w:p w14:paraId="1F71848B" w14:textId="77777777" w:rsidR="00EB0D85" w:rsidRPr="0066244A" w:rsidRDefault="00EB0D85" w:rsidP="00ED2732">
            <w:pPr>
              <w:pStyle w:val="TableParagraph"/>
              <w:framePr w:hSpace="0" w:wrap="auto" w:vAnchor="margin" w:hAnchor="text" w:yAlign="inline"/>
              <w:numPr>
                <w:ilvl w:val="0"/>
                <w:numId w:val="16"/>
              </w:numPr>
              <w:spacing w:before="60" w:after="60"/>
              <w:ind w:left="230" w:right="28" w:hanging="230"/>
              <w:jc w:val="left"/>
              <w:rPr>
                <w:color w:val="15272F" w:themeColor="text1"/>
                <w:sz w:val="16"/>
                <w:szCs w:val="16"/>
              </w:rPr>
            </w:pPr>
            <w:r w:rsidRPr="0066244A">
              <w:rPr>
                <w:color w:val="15272F" w:themeColor="text1"/>
                <w:sz w:val="16"/>
                <w:szCs w:val="16"/>
              </w:rPr>
              <w:t>Publish the Supplementary Block Funding Advice to the Administrator of the National Health Funding Pool for 2025–26.</w:t>
            </w:r>
          </w:p>
        </w:tc>
        <w:tc>
          <w:tcPr>
            <w:tcW w:w="554" w:type="pct"/>
            <w:vAlign w:val="center"/>
          </w:tcPr>
          <w:p w14:paraId="60F68077"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June 2026</w:t>
            </w:r>
          </w:p>
        </w:tc>
        <w:tc>
          <w:tcPr>
            <w:tcW w:w="494" w:type="pct"/>
            <w:vAlign w:val="center"/>
          </w:tcPr>
          <w:p w14:paraId="6BAB495E"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Delivered</w:t>
            </w:r>
          </w:p>
        </w:tc>
        <w:tc>
          <w:tcPr>
            <w:tcW w:w="2232" w:type="pct"/>
            <w:vAlign w:val="center"/>
          </w:tcPr>
          <w:p w14:paraId="252A89D2"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sidRPr="00BA4C69">
              <w:rPr>
                <w:rStyle w:val="Arialbody"/>
                <w:color w:val="15272F" w:themeColor="text1"/>
                <w:spacing w:val="-2"/>
                <w:sz w:val="16"/>
                <w:szCs w:val="16"/>
              </w:rPr>
              <w:t>The Supplementary Block Funding Advice was provided to the Administrator of the National Heath Funding Pool 2025–26 and was published on 1</w:t>
            </w:r>
            <w:r>
              <w:rPr>
                <w:rStyle w:val="Arialbody"/>
                <w:color w:val="15272F" w:themeColor="text1"/>
                <w:spacing w:val="-2"/>
                <w:sz w:val="16"/>
                <w:szCs w:val="16"/>
              </w:rPr>
              <w:t>5</w:t>
            </w:r>
            <w:r w:rsidRPr="00BA4C69">
              <w:rPr>
                <w:rStyle w:val="Arialbody"/>
                <w:color w:val="15272F" w:themeColor="text1"/>
                <w:spacing w:val="-2"/>
                <w:sz w:val="16"/>
                <w:szCs w:val="16"/>
              </w:rPr>
              <w:t xml:space="preserve"> June 2026.</w:t>
            </w:r>
            <w:r>
              <w:rPr>
                <w:rStyle w:val="Arialbody"/>
                <w:color w:val="15272F" w:themeColor="text1"/>
                <w:spacing w:val="-2"/>
                <w:sz w:val="16"/>
                <w:szCs w:val="16"/>
              </w:rPr>
              <w:t xml:space="preserve"> </w:t>
            </w:r>
          </w:p>
        </w:tc>
      </w:tr>
      <w:tr w:rsidR="00EB0D85" w:rsidRPr="00353DFA" w14:paraId="2065F2CD"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56C60DFE"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Continue to investigate options for refining the intensive care unit adjustment.</w:t>
            </w:r>
          </w:p>
        </w:tc>
        <w:tc>
          <w:tcPr>
            <w:tcW w:w="554" w:type="pct"/>
            <w:vAlign w:val="center"/>
          </w:tcPr>
          <w:p w14:paraId="0713AECE"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March 2026</w:t>
            </w:r>
          </w:p>
        </w:tc>
        <w:tc>
          <w:tcPr>
            <w:tcW w:w="494" w:type="pct"/>
            <w:vAlign w:val="center"/>
          </w:tcPr>
          <w:p w14:paraId="1925CD09"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Ongoing</w:t>
            </w:r>
          </w:p>
        </w:tc>
        <w:tc>
          <w:tcPr>
            <w:tcW w:w="2232" w:type="pct"/>
            <w:vAlign w:val="center"/>
          </w:tcPr>
          <w:p w14:paraId="5A378E96"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sidRPr="0066244A">
              <w:rPr>
                <w:rStyle w:val="Arialbody"/>
                <w:color w:val="15272F" w:themeColor="text1"/>
                <w:spacing w:val="-2"/>
                <w:sz w:val="16"/>
                <w:szCs w:val="16"/>
              </w:rPr>
              <w:t xml:space="preserve">IHACPA will prioritise the investigation of options for refining the intensive care unit adjustment based on feedback received during the consultation process. </w:t>
            </w:r>
          </w:p>
        </w:tc>
      </w:tr>
      <w:tr w:rsidR="00EB0D85" w:rsidRPr="00353DFA" w14:paraId="0728526D"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720" w:type="pct"/>
            <w:vAlign w:val="center"/>
          </w:tcPr>
          <w:p w14:paraId="022061F1"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Continue to investigate alternative methodologies to calculate the Indigenous adjustment.</w:t>
            </w:r>
          </w:p>
        </w:tc>
        <w:tc>
          <w:tcPr>
            <w:tcW w:w="554" w:type="pct"/>
            <w:vAlign w:val="center"/>
          </w:tcPr>
          <w:p w14:paraId="2F5A0842"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Ongoing</w:t>
            </w:r>
          </w:p>
        </w:tc>
        <w:tc>
          <w:tcPr>
            <w:tcW w:w="494" w:type="pct"/>
            <w:vAlign w:val="center"/>
          </w:tcPr>
          <w:p w14:paraId="2BFB9E2D"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Ongoing</w:t>
            </w:r>
          </w:p>
        </w:tc>
        <w:tc>
          <w:tcPr>
            <w:tcW w:w="2232" w:type="pct"/>
            <w:vAlign w:val="center"/>
          </w:tcPr>
          <w:p w14:paraId="6EEFF8CA"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sidRPr="0066244A">
              <w:rPr>
                <w:rStyle w:val="Arialbody"/>
                <w:color w:val="15272F" w:themeColor="text1"/>
                <w:spacing w:val="-2"/>
                <w:sz w:val="16"/>
                <w:szCs w:val="16"/>
              </w:rPr>
              <w:t>IHACPA will prioritise the investigation of options for refining the Indigenous adjustment based on feedback received during the consultation process.</w:t>
            </w:r>
          </w:p>
        </w:tc>
      </w:tr>
      <w:tr w:rsidR="00EB0D85" w:rsidRPr="00353DFA" w14:paraId="3E257E8D" w14:textId="77777777" w:rsidTr="00ED2732">
        <w:trPr>
          <w:cnfStyle w:val="000000100000" w:firstRow="0" w:lastRow="0" w:firstColumn="0" w:lastColumn="0" w:oddVBand="0" w:evenVBand="0" w:oddHBand="1" w:evenHBand="0" w:firstRowFirstColumn="0" w:firstRowLastColumn="0" w:lastRowFirstColumn="0" w:lastRowLastColumn="0"/>
          <w:cantSplit/>
          <w:trHeight w:val="113"/>
        </w:trPr>
        <w:tc>
          <w:tcPr>
            <w:tcW w:w="1720" w:type="pct"/>
            <w:vAlign w:val="center"/>
          </w:tcPr>
          <w:p w14:paraId="30EEC896"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Consider the implications of the review of the funding methodology for unqualified newborns.</w:t>
            </w:r>
          </w:p>
        </w:tc>
        <w:tc>
          <w:tcPr>
            <w:tcW w:w="554" w:type="pct"/>
            <w:vAlign w:val="center"/>
          </w:tcPr>
          <w:p w14:paraId="5391E3AE"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December 2025</w:t>
            </w:r>
          </w:p>
        </w:tc>
        <w:tc>
          <w:tcPr>
            <w:tcW w:w="494" w:type="pct"/>
            <w:vAlign w:val="center"/>
          </w:tcPr>
          <w:p w14:paraId="1ED8651A"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Ongoing</w:t>
            </w:r>
          </w:p>
        </w:tc>
        <w:tc>
          <w:tcPr>
            <w:tcW w:w="2232" w:type="pct"/>
            <w:vAlign w:val="center"/>
          </w:tcPr>
          <w:p w14:paraId="6EAB5695"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sidRPr="0066244A">
              <w:rPr>
                <w:color w:val="15272F" w:themeColor="text1"/>
                <w:sz w:val="16"/>
                <w:szCs w:val="16"/>
              </w:rPr>
              <w:t>Preliminary analysis has not indicated a clear evidence base to change the funding methodology for unqualified newborns in the short term. IHACPA is undertaking further analysis to identify any policy basis and data requirements to support any longer-term changes and will continue to consult with its advisory committees on this work.</w:t>
            </w:r>
          </w:p>
        </w:tc>
      </w:tr>
      <w:tr w:rsidR="00EB0D85" w:rsidRPr="00353DFA" w14:paraId="658F91A2"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720" w:type="pct"/>
            <w:vAlign w:val="center"/>
          </w:tcPr>
          <w:p w14:paraId="3F74BAC5"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lastRenderedPageBreak/>
              <w:t>Review the appropriateness of price harmonisation of admitted and non</w:t>
            </w:r>
            <w:r w:rsidRPr="0066244A">
              <w:rPr>
                <w:color w:val="15272F" w:themeColor="text1"/>
                <w:sz w:val="16"/>
                <w:szCs w:val="16"/>
              </w:rPr>
              <w:noBreakHyphen/>
              <w:t>admitted chemotherapy and dialysis.</w:t>
            </w:r>
          </w:p>
        </w:tc>
        <w:tc>
          <w:tcPr>
            <w:tcW w:w="554" w:type="pct"/>
            <w:vAlign w:val="center"/>
          </w:tcPr>
          <w:p w14:paraId="7C2DDF58"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July 2025</w:t>
            </w:r>
          </w:p>
        </w:tc>
        <w:tc>
          <w:tcPr>
            <w:tcW w:w="494" w:type="pct"/>
            <w:vAlign w:val="center"/>
          </w:tcPr>
          <w:p w14:paraId="06DE33A0"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Ongoing</w:t>
            </w:r>
          </w:p>
        </w:tc>
        <w:tc>
          <w:tcPr>
            <w:tcW w:w="2232" w:type="pct"/>
            <w:vAlign w:val="center"/>
          </w:tcPr>
          <w:p w14:paraId="156F2FF5"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sidRPr="00141953">
              <w:rPr>
                <w:color w:val="15272F" w:themeColor="text1"/>
                <w:sz w:val="16"/>
                <w:szCs w:val="16"/>
              </w:rPr>
              <w:t>We are continuing work to investigate approaches for price harmonisation between admitted and non-admitted care as part of NEP27</w:t>
            </w:r>
            <w:r>
              <w:rPr>
                <w:color w:val="15272F" w:themeColor="text1"/>
                <w:sz w:val="16"/>
                <w:szCs w:val="16"/>
              </w:rPr>
              <w:t xml:space="preserve">. </w:t>
            </w:r>
          </w:p>
        </w:tc>
      </w:tr>
      <w:tr w:rsidR="00EB0D85" w:rsidRPr="00353DFA" w14:paraId="5B67C1B5"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4FD2E691"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B7543F">
              <w:rPr>
                <w:color w:val="15272F" w:themeColor="text1"/>
                <w:sz w:val="16"/>
                <w:szCs w:val="16"/>
              </w:rPr>
              <w:t>Publish the final Pricing Framework for Australian Residential Aged Care Services 2025–26 on the IHACPA website</w:t>
            </w:r>
            <w:r>
              <w:rPr>
                <w:color w:val="15272F" w:themeColor="text1"/>
                <w:sz w:val="16"/>
                <w:szCs w:val="16"/>
              </w:rPr>
              <w:t>.</w:t>
            </w:r>
          </w:p>
        </w:tc>
        <w:tc>
          <w:tcPr>
            <w:tcW w:w="554" w:type="pct"/>
            <w:vAlign w:val="center"/>
          </w:tcPr>
          <w:p w14:paraId="68E42609"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Pr>
                <w:color w:val="15272F" w:themeColor="text1"/>
                <w:sz w:val="16"/>
                <w:szCs w:val="16"/>
              </w:rPr>
              <w:t xml:space="preserve">By </w:t>
            </w:r>
            <w:r w:rsidRPr="0066244A">
              <w:rPr>
                <w:color w:val="15272F" w:themeColor="text1"/>
                <w:sz w:val="16"/>
                <w:szCs w:val="16"/>
              </w:rPr>
              <w:t>July 2025</w:t>
            </w:r>
          </w:p>
        </w:tc>
        <w:tc>
          <w:tcPr>
            <w:tcW w:w="494" w:type="pct"/>
            <w:vAlign w:val="center"/>
          </w:tcPr>
          <w:p w14:paraId="13940D8D"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 xml:space="preserve">Delivered </w:t>
            </w:r>
          </w:p>
        </w:tc>
        <w:tc>
          <w:tcPr>
            <w:tcW w:w="2232" w:type="pct"/>
            <w:vAlign w:val="center"/>
          </w:tcPr>
          <w:p w14:paraId="31D88B60" w14:textId="4A03229E" w:rsidR="00EB0D85" w:rsidRPr="0066244A" w:rsidRDefault="00EB0D85" w:rsidP="00ED2732">
            <w:pPr>
              <w:pStyle w:val="TableParagraph"/>
              <w:framePr w:wrap="around"/>
              <w:spacing w:before="60" w:after="60"/>
              <w:ind w:left="57" w:right="57"/>
              <w:jc w:val="left"/>
              <w:rPr>
                <w:color w:val="15272F" w:themeColor="text1"/>
                <w:sz w:val="16"/>
                <w:szCs w:val="16"/>
              </w:rPr>
            </w:pPr>
            <w:r w:rsidRPr="0066244A">
              <w:rPr>
                <w:color w:val="15272F" w:themeColor="text1"/>
                <w:sz w:val="16"/>
                <w:szCs w:val="16"/>
              </w:rPr>
              <w:t xml:space="preserve">The Residential Aged Care Pricing </w:t>
            </w:r>
            <w:r w:rsidR="00C45336">
              <w:rPr>
                <w:color w:val="15272F" w:themeColor="text1"/>
                <w:sz w:val="16"/>
                <w:szCs w:val="16"/>
              </w:rPr>
              <w:t xml:space="preserve">Advice </w:t>
            </w:r>
            <w:r w:rsidRPr="0066244A">
              <w:rPr>
                <w:color w:val="15272F" w:themeColor="text1"/>
                <w:sz w:val="16"/>
                <w:szCs w:val="16"/>
              </w:rPr>
              <w:t xml:space="preserve">2025–26 was provided to the </w:t>
            </w:r>
            <w:r>
              <w:rPr>
                <w:color w:val="15272F" w:themeColor="text1"/>
                <w:sz w:val="16"/>
                <w:szCs w:val="16"/>
              </w:rPr>
              <w:t>m</w:t>
            </w:r>
            <w:r w:rsidRPr="0066244A">
              <w:rPr>
                <w:color w:val="15272F" w:themeColor="text1"/>
                <w:sz w:val="16"/>
                <w:szCs w:val="16"/>
              </w:rPr>
              <w:t xml:space="preserve">inister and the department on 8 July 2025.   </w:t>
            </w:r>
          </w:p>
        </w:tc>
      </w:tr>
      <w:tr w:rsidR="00EB0D85" w:rsidRPr="00353DFA" w14:paraId="57960A03"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720" w:type="pct"/>
            <w:vAlign w:val="center"/>
          </w:tcPr>
          <w:p w14:paraId="367F22CF"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 xml:space="preserve">Complete the public consultation process for the Pricing Framework for Australian Residential Aged Care Services 2026–27. </w:t>
            </w:r>
          </w:p>
        </w:tc>
        <w:tc>
          <w:tcPr>
            <w:tcW w:w="554" w:type="pct"/>
            <w:vAlign w:val="center"/>
          </w:tcPr>
          <w:p w14:paraId="466721CF"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Pr>
                <w:color w:val="15272F" w:themeColor="text1"/>
                <w:sz w:val="16"/>
                <w:szCs w:val="16"/>
              </w:rPr>
              <w:t xml:space="preserve">September </w:t>
            </w:r>
            <w:r w:rsidRPr="0066244A">
              <w:rPr>
                <w:color w:val="15272F" w:themeColor="text1"/>
                <w:sz w:val="16"/>
                <w:szCs w:val="16"/>
              </w:rPr>
              <w:t>2025</w:t>
            </w:r>
          </w:p>
        </w:tc>
        <w:tc>
          <w:tcPr>
            <w:tcW w:w="494" w:type="pct"/>
            <w:vAlign w:val="center"/>
          </w:tcPr>
          <w:p w14:paraId="7D88EE64"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 xml:space="preserve">Delivered </w:t>
            </w:r>
          </w:p>
        </w:tc>
        <w:tc>
          <w:tcPr>
            <w:tcW w:w="2232" w:type="pct"/>
            <w:vAlign w:val="center"/>
          </w:tcPr>
          <w:p w14:paraId="092E7DA0"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sidRPr="0066244A">
              <w:rPr>
                <w:color w:val="15272F" w:themeColor="text1"/>
                <w:sz w:val="16"/>
                <w:szCs w:val="16"/>
              </w:rPr>
              <w:t xml:space="preserve">The Consultation Paper </w:t>
            </w:r>
            <w:r w:rsidRPr="0066244A">
              <w:rPr>
                <w:rFonts w:eastAsia="Arial"/>
                <w:color w:val="15272F" w:themeColor="text1"/>
                <w:sz w:val="16"/>
                <w:szCs w:val="16"/>
              </w:rPr>
              <w:t xml:space="preserve">on the Pricing Framework for Australian Residential Aged Care Services 2026–27 was released for public consultation on 10 July 2025 </w:t>
            </w:r>
            <w:r>
              <w:rPr>
                <w:rFonts w:eastAsia="Arial"/>
                <w:color w:val="15272F" w:themeColor="text1"/>
                <w:sz w:val="16"/>
                <w:szCs w:val="16"/>
              </w:rPr>
              <w:t>and</w:t>
            </w:r>
            <w:r w:rsidRPr="0066244A">
              <w:rPr>
                <w:rFonts w:eastAsia="Arial"/>
                <w:color w:val="15272F" w:themeColor="text1"/>
                <w:sz w:val="16"/>
                <w:szCs w:val="16"/>
              </w:rPr>
              <w:t xml:space="preserve"> clos</w:t>
            </w:r>
            <w:r>
              <w:rPr>
                <w:rFonts w:eastAsia="Arial"/>
                <w:color w:val="15272F" w:themeColor="text1"/>
                <w:sz w:val="16"/>
                <w:szCs w:val="16"/>
              </w:rPr>
              <w:t>ed</w:t>
            </w:r>
            <w:r w:rsidRPr="0066244A">
              <w:rPr>
                <w:rFonts w:eastAsia="Arial"/>
                <w:color w:val="15272F" w:themeColor="text1"/>
                <w:sz w:val="16"/>
                <w:szCs w:val="16"/>
              </w:rPr>
              <w:t xml:space="preserve"> on 22 August 2025.</w:t>
            </w:r>
          </w:p>
        </w:tc>
      </w:tr>
      <w:tr w:rsidR="00EB0D85" w:rsidRPr="00353DFA" w14:paraId="1F78115F"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320AF958"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 xml:space="preserve">Publish the final Pricing Framework for Australian Residential Aged Care Services 2026–27 on the IHACPA website. </w:t>
            </w:r>
          </w:p>
        </w:tc>
        <w:tc>
          <w:tcPr>
            <w:tcW w:w="554" w:type="pct"/>
            <w:vAlign w:val="center"/>
          </w:tcPr>
          <w:p w14:paraId="6A0C8027"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Pr>
                <w:color w:val="15272F" w:themeColor="text1"/>
                <w:sz w:val="16"/>
                <w:szCs w:val="16"/>
              </w:rPr>
              <w:t>By July</w:t>
            </w:r>
            <w:r w:rsidRPr="0066244A">
              <w:rPr>
                <w:color w:val="15272F" w:themeColor="text1"/>
                <w:sz w:val="16"/>
                <w:szCs w:val="16"/>
              </w:rPr>
              <w:t xml:space="preserve"> 2026</w:t>
            </w:r>
          </w:p>
        </w:tc>
        <w:tc>
          <w:tcPr>
            <w:tcW w:w="494" w:type="pct"/>
            <w:vAlign w:val="center"/>
          </w:tcPr>
          <w:p w14:paraId="7C9D5A8A"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Delivered</w:t>
            </w:r>
          </w:p>
        </w:tc>
        <w:tc>
          <w:tcPr>
            <w:tcW w:w="2232" w:type="pct"/>
            <w:vAlign w:val="center"/>
          </w:tcPr>
          <w:p w14:paraId="3BA7626F"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sidRPr="0066244A">
              <w:rPr>
                <w:color w:val="15272F" w:themeColor="text1"/>
                <w:sz w:val="16"/>
                <w:szCs w:val="16"/>
              </w:rPr>
              <w:t xml:space="preserve">The Pricing Framework for Australian Residential Aged Care Services 2026–27 was published on 13 April 2026.  </w:t>
            </w:r>
          </w:p>
        </w:tc>
      </w:tr>
      <w:tr w:rsidR="00EB0D85" w:rsidRPr="00FA0CF1" w14:paraId="50CA97E0"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720" w:type="pct"/>
            <w:vAlign w:val="center"/>
          </w:tcPr>
          <w:p w14:paraId="5C3F2335"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 xml:space="preserve">Undertake a feasibility study and provide advice to </w:t>
            </w:r>
            <w:r>
              <w:rPr>
                <w:color w:val="15272F" w:themeColor="text1"/>
                <w:sz w:val="16"/>
                <w:szCs w:val="16"/>
              </w:rPr>
              <w:t>g</w:t>
            </w:r>
            <w:r w:rsidRPr="0066244A">
              <w:rPr>
                <w:color w:val="15272F" w:themeColor="text1"/>
                <w:sz w:val="16"/>
                <w:szCs w:val="16"/>
              </w:rPr>
              <w:t>overnment decisions on funding for everyday living services</w:t>
            </w:r>
            <w:r>
              <w:rPr>
                <w:color w:val="15272F" w:themeColor="text1"/>
                <w:sz w:val="16"/>
                <w:szCs w:val="16"/>
              </w:rPr>
              <w:t>,</w:t>
            </w:r>
            <w:r w:rsidRPr="0066244A">
              <w:rPr>
                <w:color w:val="15272F" w:themeColor="text1"/>
                <w:sz w:val="16"/>
                <w:szCs w:val="16"/>
              </w:rPr>
              <w:t xml:space="preserve"> previously known as hotel services. </w:t>
            </w:r>
          </w:p>
        </w:tc>
        <w:tc>
          <w:tcPr>
            <w:tcW w:w="554" w:type="pct"/>
            <w:vAlign w:val="center"/>
          </w:tcPr>
          <w:p w14:paraId="7D367CD8"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Ongoing</w:t>
            </w:r>
          </w:p>
        </w:tc>
        <w:tc>
          <w:tcPr>
            <w:tcW w:w="494" w:type="pct"/>
            <w:vAlign w:val="center"/>
          </w:tcPr>
          <w:p w14:paraId="2E606D72"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Ongoing</w:t>
            </w:r>
          </w:p>
        </w:tc>
        <w:tc>
          <w:tcPr>
            <w:tcW w:w="2232" w:type="pct"/>
            <w:vAlign w:val="center"/>
          </w:tcPr>
          <w:p w14:paraId="4453755F" w14:textId="73181DE7" w:rsidR="00EB0D85" w:rsidRPr="0066244A" w:rsidRDefault="00EB0D85" w:rsidP="00ED2732">
            <w:pPr>
              <w:pStyle w:val="TableParagraph"/>
              <w:framePr w:wrap="around"/>
              <w:spacing w:before="60" w:after="60"/>
              <w:ind w:left="57" w:right="57"/>
              <w:jc w:val="left"/>
              <w:rPr>
                <w:color w:val="15272F" w:themeColor="text1"/>
                <w:sz w:val="16"/>
                <w:szCs w:val="16"/>
              </w:rPr>
            </w:pPr>
            <w:r w:rsidRPr="0066244A">
              <w:rPr>
                <w:color w:val="15272F" w:themeColor="text1"/>
                <w:sz w:val="16"/>
                <w:szCs w:val="16"/>
              </w:rPr>
              <w:t xml:space="preserve">Government is seeking </w:t>
            </w:r>
            <w:r>
              <w:rPr>
                <w:color w:val="15272F" w:themeColor="text1"/>
                <w:sz w:val="16"/>
                <w:szCs w:val="16"/>
              </w:rPr>
              <w:t xml:space="preserve">our </w:t>
            </w:r>
            <w:r w:rsidRPr="0066244A">
              <w:rPr>
                <w:color w:val="15272F" w:themeColor="text1"/>
                <w:sz w:val="16"/>
                <w:szCs w:val="16"/>
              </w:rPr>
              <w:t>advice on the cost differentials to provide everyday living services, considering the impact of geographic location and the complexity of resident care needs.</w:t>
            </w:r>
            <w:r w:rsidR="005D4F1A">
              <w:rPr>
                <w:color w:val="15272F" w:themeColor="text1"/>
                <w:sz w:val="16"/>
                <w:szCs w:val="16"/>
              </w:rPr>
              <w:t xml:space="preserve"> </w:t>
            </w:r>
            <w:r w:rsidRPr="0066244A">
              <w:rPr>
                <w:color w:val="15272F" w:themeColor="text1"/>
                <w:sz w:val="16"/>
                <w:szCs w:val="16"/>
              </w:rPr>
              <w:t xml:space="preserve">Government will make a policy decision using </w:t>
            </w:r>
            <w:r>
              <w:rPr>
                <w:color w:val="15272F" w:themeColor="text1"/>
                <w:sz w:val="16"/>
                <w:szCs w:val="16"/>
              </w:rPr>
              <w:t>our</w:t>
            </w:r>
            <w:r w:rsidRPr="0066244A">
              <w:rPr>
                <w:color w:val="15272F" w:themeColor="text1"/>
                <w:sz w:val="16"/>
                <w:szCs w:val="16"/>
              </w:rPr>
              <w:t xml:space="preserve"> analysis and advice.</w:t>
            </w:r>
          </w:p>
        </w:tc>
      </w:tr>
      <w:tr w:rsidR="00EB0D85" w:rsidRPr="00FA0CF1" w14:paraId="2407FFAC"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07314877"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 xml:space="preserve">Undertake an assessment and provide advice to inform </w:t>
            </w:r>
            <w:r>
              <w:rPr>
                <w:color w:val="15272F" w:themeColor="text1"/>
                <w:sz w:val="16"/>
                <w:szCs w:val="16"/>
              </w:rPr>
              <w:t>g</w:t>
            </w:r>
            <w:r w:rsidRPr="0066244A">
              <w:rPr>
                <w:color w:val="15272F" w:themeColor="text1"/>
                <w:sz w:val="16"/>
                <w:szCs w:val="16"/>
              </w:rPr>
              <w:t xml:space="preserve">overnment decisions on the funding model for MPSP.  </w:t>
            </w:r>
          </w:p>
        </w:tc>
        <w:tc>
          <w:tcPr>
            <w:tcW w:w="554" w:type="pct"/>
            <w:vAlign w:val="center"/>
          </w:tcPr>
          <w:p w14:paraId="08B5B9C7"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June 2026</w:t>
            </w:r>
          </w:p>
        </w:tc>
        <w:tc>
          <w:tcPr>
            <w:tcW w:w="494" w:type="pct"/>
            <w:vAlign w:val="center"/>
          </w:tcPr>
          <w:p w14:paraId="3EA4B1C7"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 xml:space="preserve">Delivered </w:t>
            </w:r>
          </w:p>
        </w:tc>
        <w:tc>
          <w:tcPr>
            <w:tcW w:w="2232" w:type="pct"/>
            <w:vAlign w:val="center"/>
          </w:tcPr>
          <w:p w14:paraId="4F44F8C2"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sidRPr="0066244A">
              <w:rPr>
                <w:color w:val="15272F" w:themeColor="text1"/>
                <w:sz w:val="16"/>
                <w:szCs w:val="16"/>
              </w:rPr>
              <w:t>The MPSP</w:t>
            </w:r>
            <w:r w:rsidRPr="0066244A" w:rsidDel="006102BE">
              <w:rPr>
                <w:color w:val="15272F" w:themeColor="text1"/>
                <w:sz w:val="16"/>
                <w:szCs w:val="16"/>
              </w:rPr>
              <w:t xml:space="preserve"> </w:t>
            </w:r>
            <w:r w:rsidRPr="0066244A">
              <w:rPr>
                <w:color w:val="15272F" w:themeColor="text1"/>
                <w:sz w:val="16"/>
                <w:szCs w:val="16"/>
              </w:rPr>
              <w:t xml:space="preserve">Funding Model Assessment – Final Report was provided to the </w:t>
            </w:r>
            <w:r>
              <w:rPr>
                <w:color w:val="15272F" w:themeColor="text1"/>
                <w:sz w:val="16"/>
                <w:szCs w:val="16"/>
              </w:rPr>
              <w:t>m</w:t>
            </w:r>
            <w:r w:rsidRPr="0066244A">
              <w:rPr>
                <w:color w:val="15272F" w:themeColor="text1"/>
                <w:sz w:val="16"/>
                <w:szCs w:val="16"/>
              </w:rPr>
              <w:t>inister on 15 May 2026.</w:t>
            </w:r>
          </w:p>
        </w:tc>
      </w:tr>
      <w:tr w:rsidR="00EB0D85" w:rsidRPr="00FA0CF1" w14:paraId="133D3BCC"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720" w:type="pct"/>
            <w:vAlign w:val="center"/>
          </w:tcPr>
          <w:p w14:paraId="61E8311D"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9D517A">
              <w:rPr>
                <w:color w:val="15272F" w:themeColor="text1"/>
                <w:sz w:val="16"/>
                <w:szCs w:val="16"/>
              </w:rPr>
              <w:t xml:space="preserve">Undertake an assessment and provide advice to inform </w:t>
            </w:r>
            <w:r>
              <w:rPr>
                <w:color w:val="15272F" w:themeColor="text1"/>
                <w:sz w:val="16"/>
                <w:szCs w:val="16"/>
              </w:rPr>
              <w:t>government</w:t>
            </w:r>
            <w:r w:rsidRPr="009D517A">
              <w:rPr>
                <w:color w:val="15272F" w:themeColor="text1"/>
                <w:sz w:val="16"/>
                <w:szCs w:val="16"/>
              </w:rPr>
              <w:t xml:space="preserve"> decisions on the funding model NATSIFACP.</w:t>
            </w:r>
          </w:p>
        </w:tc>
        <w:tc>
          <w:tcPr>
            <w:tcW w:w="554" w:type="pct"/>
            <w:vAlign w:val="center"/>
          </w:tcPr>
          <w:p w14:paraId="23B11841"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Pr>
                <w:color w:val="15272F" w:themeColor="text1"/>
                <w:sz w:val="16"/>
                <w:szCs w:val="16"/>
              </w:rPr>
              <w:t>Ongoing</w:t>
            </w:r>
          </w:p>
        </w:tc>
        <w:tc>
          <w:tcPr>
            <w:tcW w:w="494" w:type="pct"/>
            <w:vAlign w:val="center"/>
          </w:tcPr>
          <w:p w14:paraId="5BFC2C9C" w14:textId="77777777" w:rsidR="00EB0D85" w:rsidRPr="009D517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9D517A">
              <w:rPr>
                <w:color w:val="15272F" w:themeColor="text1"/>
                <w:sz w:val="16"/>
                <w:szCs w:val="16"/>
              </w:rPr>
              <w:t>Ongoing</w:t>
            </w:r>
          </w:p>
        </w:tc>
        <w:tc>
          <w:tcPr>
            <w:tcW w:w="2232" w:type="pct"/>
            <w:vAlign w:val="center"/>
          </w:tcPr>
          <w:p w14:paraId="744842F2"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sidRPr="00C91164">
              <w:rPr>
                <w:color w:val="15272F" w:themeColor="text1"/>
                <w:sz w:val="16"/>
                <w:szCs w:val="16"/>
              </w:rPr>
              <w:t xml:space="preserve">The </w:t>
            </w:r>
            <w:r>
              <w:rPr>
                <w:color w:val="15272F" w:themeColor="text1"/>
                <w:sz w:val="16"/>
                <w:szCs w:val="16"/>
              </w:rPr>
              <w:t>government</w:t>
            </w:r>
            <w:r w:rsidRPr="00C91164">
              <w:rPr>
                <w:color w:val="15272F" w:themeColor="text1"/>
                <w:sz w:val="16"/>
                <w:szCs w:val="16"/>
              </w:rPr>
              <w:t xml:space="preserve"> requested </w:t>
            </w:r>
            <w:r>
              <w:rPr>
                <w:color w:val="15272F" w:themeColor="text1"/>
                <w:sz w:val="16"/>
                <w:szCs w:val="16"/>
              </w:rPr>
              <w:t xml:space="preserve">we </w:t>
            </w:r>
            <w:r w:rsidRPr="00C91164">
              <w:rPr>
                <w:color w:val="15272F" w:themeColor="text1"/>
                <w:sz w:val="16"/>
                <w:szCs w:val="16"/>
              </w:rPr>
              <w:t xml:space="preserve">undertake a funding model assessment for the NATSIFAC program through a multi-year program of work. </w:t>
            </w:r>
            <w:r>
              <w:rPr>
                <w:color w:val="15272F" w:themeColor="text1"/>
                <w:sz w:val="16"/>
                <w:szCs w:val="16"/>
              </w:rPr>
              <w:t xml:space="preserve">This is being done </w:t>
            </w:r>
            <w:r w:rsidRPr="00C91164">
              <w:rPr>
                <w:color w:val="15272F" w:themeColor="text1"/>
                <w:sz w:val="16"/>
                <w:szCs w:val="16"/>
              </w:rPr>
              <w:t xml:space="preserve">in collaboration with the </w:t>
            </w:r>
            <w:r>
              <w:rPr>
                <w:color w:val="15272F" w:themeColor="text1"/>
                <w:sz w:val="16"/>
                <w:szCs w:val="16"/>
              </w:rPr>
              <w:t>department</w:t>
            </w:r>
            <w:r w:rsidRPr="00C91164">
              <w:rPr>
                <w:color w:val="15272F" w:themeColor="text1"/>
                <w:sz w:val="16"/>
                <w:szCs w:val="16"/>
              </w:rPr>
              <w:t xml:space="preserve"> and include</w:t>
            </w:r>
            <w:r>
              <w:rPr>
                <w:color w:val="15272F" w:themeColor="text1"/>
                <w:sz w:val="16"/>
                <w:szCs w:val="16"/>
              </w:rPr>
              <w:t>s</w:t>
            </w:r>
            <w:r w:rsidRPr="00C91164">
              <w:rPr>
                <w:color w:val="15272F" w:themeColor="text1"/>
                <w:sz w:val="16"/>
                <w:szCs w:val="16"/>
              </w:rPr>
              <w:t xml:space="preserve"> consultation with providers, and detailed qualitative and quantitative analysis.</w:t>
            </w:r>
          </w:p>
        </w:tc>
      </w:tr>
      <w:tr w:rsidR="00EB0D85" w:rsidRPr="00FA0CF1" w14:paraId="38AE64AE"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2F2BBA95"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 xml:space="preserve">Complete the public consultation process for the pricing approach for the Support at Home service list 2026–27. </w:t>
            </w:r>
          </w:p>
        </w:tc>
        <w:tc>
          <w:tcPr>
            <w:tcW w:w="554" w:type="pct"/>
            <w:vAlign w:val="center"/>
          </w:tcPr>
          <w:p w14:paraId="3BA1A5D2"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August 2025</w:t>
            </w:r>
          </w:p>
        </w:tc>
        <w:tc>
          <w:tcPr>
            <w:tcW w:w="494" w:type="pct"/>
            <w:vAlign w:val="center"/>
          </w:tcPr>
          <w:p w14:paraId="43632BE7"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 xml:space="preserve">Delivered </w:t>
            </w:r>
          </w:p>
        </w:tc>
        <w:tc>
          <w:tcPr>
            <w:tcW w:w="2232" w:type="pct"/>
            <w:vAlign w:val="center"/>
          </w:tcPr>
          <w:p w14:paraId="4E9802C0" w14:textId="77777777" w:rsidR="00EB0D85" w:rsidRPr="0066244A" w:rsidRDefault="00EB0D85" w:rsidP="00ED2732">
            <w:pPr>
              <w:pStyle w:val="TableParagraph"/>
              <w:framePr w:wrap="around"/>
              <w:spacing w:before="60" w:after="60"/>
              <w:ind w:left="57" w:right="57"/>
              <w:jc w:val="left"/>
              <w:rPr>
                <w:color w:val="15272F" w:themeColor="text1"/>
              </w:rPr>
            </w:pPr>
            <w:r w:rsidRPr="0066244A">
              <w:rPr>
                <w:color w:val="15272F" w:themeColor="text1"/>
                <w:sz w:val="16"/>
                <w:szCs w:val="16"/>
              </w:rPr>
              <w:t xml:space="preserve">The Consultation Paper on the Pricing Framework for Australian Support at Home Aged Care Services 2026–27 was released for public consultation on 11 June 2025 </w:t>
            </w:r>
            <w:r>
              <w:rPr>
                <w:color w:val="15272F" w:themeColor="text1"/>
                <w:sz w:val="16"/>
                <w:szCs w:val="16"/>
              </w:rPr>
              <w:t>and closed</w:t>
            </w:r>
            <w:r w:rsidRPr="0066244A">
              <w:rPr>
                <w:color w:val="15272F" w:themeColor="text1"/>
                <w:sz w:val="16"/>
                <w:szCs w:val="16"/>
              </w:rPr>
              <w:t xml:space="preserve"> on 18 July 2025.   </w:t>
            </w:r>
          </w:p>
        </w:tc>
      </w:tr>
      <w:tr w:rsidR="00EB0D85" w:rsidRPr="00FA0CF1" w14:paraId="77507806"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720" w:type="pct"/>
            <w:vAlign w:val="center"/>
          </w:tcPr>
          <w:p w14:paraId="15593464"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Publish the final Pricing Framework for the Australian Support at Home Aged Care Services 2026–27 on the IHACPA website.</w:t>
            </w:r>
          </w:p>
        </w:tc>
        <w:tc>
          <w:tcPr>
            <w:tcW w:w="554" w:type="pct"/>
            <w:vAlign w:val="center"/>
          </w:tcPr>
          <w:p w14:paraId="1A3B9741"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By July 2026</w:t>
            </w:r>
          </w:p>
        </w:tc>
        <w:tc>
          <w:tcPr>
            <w:tcW w:w="494" w:type="pct"/>
            <w:vAlign w:val="center"/>
          </w:tcPr>
          <w:p w14:paraId="7B26518E"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rStyle w:val="Arialbody"/>
                <w:color w:val="15272F" w:themeColor="text1"/>
                <w:spacing w:val="-2"/>
                <w:sz w:val="16"/>
                <w:szCs w:val="16"/>
              </w:rPr>
              <w:t>Delivered</w:t>
            </w:r>
          </w:p>
        </w:tc>
        <w:tc>
          <w:tcPr>
            <w:tcW w:w="2232" w:type="pct"/>
            <w:vAlign w:val="center"/>
          </w:tcPr>
          <w:p w14:paraId="0813B697" w14:textId="77777777" w:rsidR="00EB0D85" w:rsidRPr="0066244A" w:rsidRDefault="00EB0D85" w:rsidP="00ED2732">
            <w:pPr>
              <w:pStyle w:val="TableParagraph"/>
              <w:framePr w:wrap="around"/>
              <w:spacing w:before="60" w:after="60"/>
              <w:ind w:left="57" w:right="57"/>
              <w:jc w:val="left"/>
              <w:rPr>
                <w:color w:val="15272F" w:themeColor="text1"/>
                <w:sz w:val="16"/>
                <w:szCs w:val="16"/>
              </w:rPr>
            </w:pPr>
            <w:r w:rsidRPr="0066244A">
              <w:rPr>
                <w:color w:val="15272F" w:themeColor="text1"/>
                <w:sz w:val="16"/>
                <w:szCs w:val="16"/>
              </w:rPr>
              <w:t>The Support at Home Pricing Advice 2026–27 was published on 28 May 2026.</w:t>
            </w:r>
          </w:p>
        </w:tc>
      </w:tr>
      <w:tr w:rsidR="00EB0D85" w:rsidRPr="00FA0CF1" w14:paraId="3686B6FE"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65196EB8"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Provide pricing advice to inform Australian Government decisions on the Support at Home service list for 2026–27.</w:t>
            </w:r>
          </w:p>
        </w:tc>
        <w:tc>
          <w:tcPr>
            <w:tcW w:w="554" w:type="pct"/>
            <w:vAlign w:val="center"/>
          </w:tcPr>
          <w:p w14:paraId="1BB98274"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By July 2026</w:t>
            </w:r>
          </w:p>
        </w:tc>
        <w:tc>
          <w:tcPr>
            <w:tcW w:w="494" w:type="pct"/>
            <w:vAlign w:val="center"/>
          </w:tcPr>
          <w:p w14:paraId="36CE6E6A" w14:textId="77777777" w:rsidR="00EB0D85" w:rsidRPr="0066244A" w:rsidRDefault="00EB0D85" w:rsidP="00ED2732">
            <w:pPr>
              <w:pStyle w:val="TableParagraph"/>
              <w:framePr w:hSpace="0" w:wrap="auto" w:vAnchor="margin" w:hAnchor="text" w:yAlign="inline"/>
              <w:spacing w:before="60" w:after="60"/>
              <w:ind w:right="57"/>
              <w:jc w:val="left"/>
              <w:rPr>
                <w:rStyle w:val="Arialbody"/>
                <w:color w:val="15272F" w:themeColor="text1"/>
                <w:spacing w:val="-2"/>
                <w:sz w:val="16"/>
                <w:szCs w:val="16"/>
              </w:rPr>
            </w:pPr>
            <w:r w:rsidRPr="0066244A">
              <w:rPr>
                <w:color w:val="15272F" w:themeColor="text1"/>
                <w:sz w:val="16"/>
                <w:szCs w:val="16"/>
              </w:rPr>
              <w:t>Delivered</w:t>
            </w:r>
          </w:p>
        </w:tc>
        <w:tc>
          <w:tcPr>
            <w:tcW w:w="2232" w:type="pct"/>
            <w:vAlign w:val="center"/>
          </w:tcPr>
          <w:p w14:paraId="286E9CEB" w14:textId="77777777" w:rsidR="00EB0D85" w:rsidRPr="0066244A" w:rsidRDefault="00EB0D85" w:rsidP="00ED2732">
            <w:pPr>
              <w:pStyle w:val="TableParagraph"/>
              <w:framePr w:wrap="around"/>
              <w:spacing w:before="60" w:after="60"/>
              <w:jc w:val="left"/>
              <w:rPr>
                <w:color w:val="15272F" w:themeColor="text1"/>
                <w:sz w:val="16"/>
                <w:szCs w:val="16"/>
              </w:rPr>
            </w:pPr>
            <w:r w:rsidRPr="0066244A">
              <w:rPr>
                <w:color w:val="15272F" w:themeColor="text1"/>
                <w:sz w:val="16"/>
                <w:szCs w:val="16"/>
              </w:rPr>
              <w:t xml:space="preserve">The Support at Home Pricing Advice 2026–27 was provided to the </w:t>
            </w:r>
            <w:r>
              <w:rPr>
                <w:color w:val="15272F" w:themeColor="text1"/>
                <w:sz w:val="16"/>
                <w:szCs w:val="16"/>
              </w:rPr>
              <w:t>m</w:t>
            </w:r>
            <w:r w:rsidRPr="0066244A">
              <w:rPr>
                <w:color w:val="15272F" w:themeColor="text1"/>
                <w:sz w:val="16"/>
                <w:szCs w:val="16"/>
              </w:rPr>
              <w:t>inister and the department on 27 November 2025.</w:t>
            </w:r>
          </w:p>
        </w:tc>
      </w:tr>
      <w:tr w:rsidR="00EB0D85" w:rsidRPr="00FA0CF1" w14:paraId="229916C4"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720" w:type="pct"/>
            <w:vAlign w:val="center"/>
          </w:tcPr>
          <w:p w14:paraId="6926FD05"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 xml:space="preserve">Assess applications to charge accommodation payment amounts above the </w:t>
            </w:r>
            <w:r>
              <w:rPr>
                <w:color w:val="15272F" w:themeColor="text1"/>
                <w:sz w:val="16"/>
                <w:szCs w:val="16"/>
              </w:rPr>
              <w:t>m</w:t>
            </w:r>
            <w:r w:rsidRPr="0066244A">
              <w:rPr>
                <w:color w:val="15272F" w:themeColor="text1"/>
                <w:sz w:val="16"/>
                <w:szCs w:val="16"/>
              </w:rPr>
              <w:t xml:space="preserve">inister’s maximum. </w:t>
            </w:r>
          </w:p>
        </w:tc>
        <w:tc>
          <w:tcPr>
            <w:tcW w:w="554" w:type="pct"/>
            <w:vAlign w:val="center"/>
          </w:tcPr>
          <w:p w14:paraId="17C5A55A"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Ongoing</w:t>
            </w:r>
          </w:p>
        </w:tc>
        <w:tc>
          <w:tcPr>
            <w:tcW w:w="494" w:type="pct"/>
            <w:vAlign w:val="center"/>
          </w:tcPr>
          <w:p w14:paraId="14651CD4"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Ongoing</w:t>
            </w:r>
          </w:p>
        </w:tc>
        <w:tc>
          <w:tcPr>
            <w:tcW w:w="2232" w:type="pct"/>
            <w:vAlign w:val="center"/>
          </w:tcPr>
          <w:p w14:paraId="060FAE29" w14:textId="77777777" w:rsidR="00EB0D85" w:rsidRPr="0066244A" w:rsidRDefault="00EB0D85" w:rsidP="00ED2732">
            <w:pPr>
              <w:pStyle w:val="TableParagraph"/>
              <w:framePr w:wrap="around"/>
              <w:spacing w:before="60" w:after="60"/>
              <w:jc w:val="left"/>
              <w:rPr>
                <w:color w:val="15272F" w:themeColor="text1"/>
                <w:sz w:val="16"/>
                <w:szCs w:val="16"/>
              </w:rPr>
            </w:pPr>
            <w:r>
              <w:rPr>
                <w:color w:val="15272F" w:themeColor="text1"/>
                <w:sz w:val="16"/>
                <w:szCs w:val="16"/>
              </w:rPr>
              <w:t>We</w:t>
            </w:r>
            <w:r w:rsidRPr="0066244A">
              <w:rPr>
                <w:color w:val="15272F" w:themeColor="text1"/>
                <w:sz w:val="16"/>
                <w:szCs w:val="16"/>
              </w:rPr>
              <w:t xml:space="preserve"> continue to assess applications to charge accommodation payment amounts above </w:t>
            </w:r>
            <w:r>
              <w:rPr>
                <w:color w:val="15272F" w:themeColor="text1"/>
                <w:sz w:val="16"/>
                <w:szCs w:val="16"/>
              </w:rPr>
              <w:t xml:space="preserve">the amounts prescribed under the Aged Care Rules 2025. </w:t>
            </w:r>
          </w:p>
        </w:tc>
      </w:tr>
      <w:tr w:rsidR="00EB0D85" w:rsidRPr="00FA0CF1" w14:paraId="5BEB4C79"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720" w:type="pct"/>
            <w:vAlign w:val="center"/>
          </w:tcPr>
          <w:p w14:paraId="660B15B2" w14:textId="77777777" w:rsidR="00EB0D85" w:rsidRPr="0066244A" w:rsidRDefault="00EB0D85" w:rsidP="00ED2732">
            <w:pPr>
              <w:pStyle w:val="TableParagraph"/>
              <w:framePr w:hSpace="0" w:wrap="auto" w:vAnchor="margin" w:hAnchor="text" w:yAlign="inline"/>
              <w:numPr>
                <w:ilvl w:val="0"/>
                <w:numId w:val="16"/>
              </w:numPr>
              <w:spacing w:before="60" w:after="60"/>
              <w:ind w:left="230" w:right="57" w:hanging="230"/>
              <w:jc w:val="left"/>
              <w:rPr>
                <w:color w:val="15272F" w:themeColor="text1"/>
                <w:sz w:val="16"/>
                <w:szCs w:val="16"/>
              </w:rPr>
            </w:pPr>
            <w:r w:rsidRPr="0066244A">
              <w:rPr>
                <w:color w:val="15272F" w:themeColor="text1"/>
                <w:sz w:val="16"/>
                <w:szCs w:val="16"/>
              </w:rPr>
              <w:t xml:space="preserve">Provide advice, as requested, to the </w:t>
            </w:r>
            <w:r>
              <w:rPr>
                <w:color w:val="15272F" w:themeColor="text1"/>
                <w:sz w:val="16"/>
                <w:szCs w:val="16"/>
              </w:rPr>
              <w:t>d</w:t>
            </w:r>
            <w:r w:rsidRPr="0066244A">
              <w:rPr>
                <w:color w:val="15272F" w:themeColor="text1"/>
                <w:sz w:val="16"/>
                <w:szCs w:val="16"/>
              </w:rPr>
              <w:t>epartment to support the Prescribed List reforms.</w:t>
            </w:r>
          </w:p>
        </w:tc>
        <w:tc>
          <w:tcPr>
            <w:tcW w:w="554" w:type="pct"/>
            <w:vAlign w:val="center"/>
          </w:tcPr>
          <w:p w14:paraId="524C4C38"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Ongoing</w:t>
            </w:r>
          </w:p>
        </w:tc>
        <w:tc>
          <w:tcPr>
            <w:tcW w:w="494" w:type="pct"/>
            <w:vAlign w:val="center"/>
          </w:tcPr>
          <w:p w14:paraId="5414D22A" w14:textId="77777777" w:rsidR="00EB0D85" w:rsidRPr="0066244A" w:rsidRDefault="00EB0D85" w:rsidP="00ED2732">
            <w:pPr>
              <w:pStyle w:val="TableParagraph"/>
              <w:framePr w:hSpace="0" w:wrap="auto" w:vAnchor="margin" w:hAnchor="text" w:yAlign="inline"/>
              <w:spacing w:before="60" w:after="60"/>
              <w:ind w:right="57"/>
              <w:jc w:val="left"/>
              <w:rPr>
                <w:color w:val="15272F" w:themeColor="text1"/>
                <w:sz w:val="16"/>
                <w:szCs w:val="16"/>
              </w:rPr>
            </w:pPr>
            <w:r w:rsidRPr="0066244A">
              <w:rPr>
                <w:color w:val="15272F" w:themeColor="text1"/>
                <w:sz w:val="16"/>
                <w:szCs w:val="16"/>
              </w:rPr>
              <w:t>Ongoing</w:t>
            </w:r>
          </w:p>
        </w:tc>
        <w:tc>
          <w:tcPr>
            <w:tcW w:w="2232" w:type="pct"/>
            <w:vAlign w:val="center"/>
          </w:tcPr>
          <w:p w14:paraId="3DCF7C96" w14:textId="77777777" w:rsidR="00EB0D85" w:rsidRPr="0066244A" w:rsidRDefault="00EB0D85" w:rsidP="00ED2732">
            <w:pPr>
              <w:pStyle w:val="TableParagraph"/>
              <w:framePr w:wrap="around"/>
              <w:spacing w:before="60" w:after="60"/>
              <w:jc w:val="left"/>
              <w:rPr>
                <w:color w:val="15272F" w:themeColor="text1"/>
                <w:sz w:val="16"/>
                <w:szCs w:val="16"/>
              </w:rPr>
            </w:pPr>
            <w:r>
              <w:rPr>
                <w:color w:val="15272F" w:themeColor="text1"/>
                <w:sz w:val="16"/>
                <w:szCs w:val="16"/>
              </w:rPr>
              <w:t>We</w:t>
            </w:r>
            <w:r w:rsidRPr="0066244A">
              <w:rPr>
                <w:color w:val="15272F" w:themeColor="text1"/>
                <w:sz w:val="16"/>
                <w:szCs w:val="16"/>
              </w:rPr>
              <w:t xml:space="preserve"> continue to work with the </w:t>
            </w:r>
            <w:r>
              <w:rPr>
                <w:color w:val="15272F" w:themeColor="text1"/>
                <w:sz w:val="16"/>
                <w:szCs w:val="16"/>
              </w:rPr>
              <w:t>d</w:t>
            </w:r>
            <w:r w:rsidRPr="0066244A">
              <w:rPr>
                <w:color w:val="15272F" w:themeColor="text1"/>
                <w:sz w:val="16"/>
                <w:szCs w:val="16"/>
              </w:rPr>
              <w:t>epartment and key stakeholders to support further reforms to the list.</w:t>
            </w:r>
          </w:p>
        </w:tc>
      </w:tr>
    </w:tbl>
    <w:p w14:paraId="6CE1B0D2" w14:textId="77777777" w:rsidR="00EB0D85" w:rsidRPr="00132DAE" w:rsidRDefault="00EB0D85" w:rsidP="00EB0D85">
      <w:pPr>
        <w:pStyle w:val="Heading1"/>
      </w:pPr>
      <w:bookmarkStart w:id="702" w:name="_Toc235787462"/>
      <w:bookmarkStart w:id="703" w:name="_Toc235791600"/>
      <w:bookmarkStart w:id="704" w:name="_Toc237872703"/>
      <w:r w:rsidRPr="00BA0ED9">
        <w:lastRenderedPageBreak/>
        <w:t>4.4</w:t>
      </w:r>
      <w:r w:rsidRPr="00BA0ED9">
        <w:tab/>
        <w:t xml:space="preserve">Strategic </w:t>
      </w:r>
      <w:r>
        <w:t>o</w:t>
      </w:r>
      <w:r w:rsidRPr="00BA0ED9">
        <w:t xml:space="preserve">bjective </w:t>
      </w:r>
      <w:r>
        <w:t>t</w:t>
      </w:r>
      <w:r w:rsidRPr="00BA0ED9">
        <w:t>wo: Refine and develop hospital and aged care classification systems</w:t>
      </w:r>
      <w:bookmarkEnd w:id="702"/>
      <w:bookmarkEnd w:id="703"/>
      <w:bookmarkEnd w:id="704"/>
      <w:r w:rsidRPr="00BA0ED9">
        <w:t xml:space="preserve"> </w:t>
      </w:r>
    </w:p>
    <w:p w14:paraId="29495397" w14:textId="77777777" w:rsidR="00EB0D85" w:rsidRPr="00DF2C48" w:rsidRDefault="00EB0D85" w:rsidP="00EB0D85">
      <w:pPr>
        <w:pStyle w:val="Heading2"/>
      </w:pPr>
      <w:bookmarkStart w:id="705" w:name="_Toc233021838"/>
      <w:bookmarkStart w:id="706" w:name="_Toc233022318"/>
      <w:bookmarkStart w:id="707" w:name="_Toc233023080"/>
      <w:bookmarkStart w:id="708" w:name="_Toc233023415"/>
      <w:bookmarkStart w:id="709" w:name="_Toc233023548"/>
      <w:bookmarkStart w:id="710" w:name="_Toc233028724"/>
      <w:bookmarkStart w:id="711" w:name="_Toc233028908"/>
      <w:bookmarkStart w:id="712" w:name="_Toc235786132"/>
      <w:bookmarkStart w:id="713" w:name="_Toc235787463"/>
      <w:bookmarkStart w:id="714" w:name="_Toc235791601"/>
      <w:bookmarkStart w:id="715" w:name="_Toc237872704"/>
      <w:r w:rsidRPr="00DF2C48">
        <w:t>Public hospital services</w:t>
      </w:r>
      <w:bookmarkEnd w:id="705"/>
      <w:bookmarkEnd w:id="706"/>
      <w:bookmarkEnd w:id="707"/>
      <w:bookmarkEnd w:id="708"/>
      <w:bookmarkEnd w:id="709"/>
      <w:bookmarkEnd w:id="710"/>
      <w:bookmarkEnd w:id="711"/>
      <w:bookmarkEnd w:id="712"/>
      <w:bookmarkEnd w:id="713"/>
      <w:bookmarkEnd w:id="714"/>
      <w:bookmarkEnd w:id="715"/>
    </w:p>
    <w:p w14:paraId="7D187F86" w14:textId="77777777" w:rsidR="00EB0D85" w:rsidRPr="002F6260" w:rsidRDefault="00EB0D85" w:rsidP="00EB0D85">
      <w:r w:rsidRPr="002F6260">
        <w:t>Classifications provide a nationally consistent method for grouping patients, treatments and associated costs. They support the management, measurement and funding of high-quality and efficient health care services.</w:t>
      </w:r>
    </w:p>
    <w:p w14:paraId="2FE1364F" w14:textId="77777777" w:rsidR="00EB0D85" w:rsidRPr="002F6260" w:rsidRDefault="00EB0D85" w:rsidP="00EB0D85">
      <w:r w:rsidRPr="002F6260">
        <w:t>IHACPA develops the national classification systems for admitted acute care, admitted subacute and non-acute care, emergency care, non-admitted patient care, mental health care, and teaching and training services. These classifications are reviewed regularly and updated periodically</w:t>
      </w:r>
      <w:r>
        <w:t>.</w:t>
      </w:r>
      <w:r w:rsidRPr="002F6260">
        <w:t xml:space="preserve"> </w:t>
      </w:r>
      <w:r>
        <w:t>This</w:t>
      </w:r>
      <w:r w:rsidRPr="002F6260">
        <w:t xml:space="preserve"> ensure</w:t>
      </w:r>
      <w:r>
        <w:t>s</w:t>
      </w:r>
      <w:r w:rsidRPr="002F6260">
        <w:t xml:space="preserve"> episodes of care are grouped into clinically coherent categories with similar costs. Refinement is informed by robust statistical analysis and consultation with clinical, technical and other key stakeholders.</w:t>
      </w:r>
    </w:p>
    <w:p w14:paraId="6DED4DA3" w14:textId="77777777" w:rsidR="00EB0D85" w:rsidRPr="002F6260" w:rsidRDefault="00EB0D85" w:rsidP="00EB0D85">
      <w:pPr>
        <w:keepNext/>
        <w:keepLines/>
        <w:spacing w:before="120" w:after="240"/>
        <w:outlineLvl w:val="2"/>
        <w:rPr>
          <w:rFonts w:eastAsiaTheme="majorEastAsia" w:cstheme="majorBidi"/>
          <w:b/>
          <w:color w:val="008550"/>
          <w:sz w:val="28"/>
          <w:szCs w:val="28"/>
        </w:rPr>
      </w:pPr>
      <w:bookmarkStart w:id="716" w:name="_Toc233022319"/>
      <w:bookmarkStart w:id="717" w:name="_Toc233023081"/>
      <w:bookmarkStart w:id="718" w:name="_Toc233023549"/>
      <w:bookmarkStart w:id="719" w:name="_Toc233028725"/>
      <w:bookmarkStart w:id="720" w:name="_Toc233028909"/>
      <w:bookmarkStart w:id="721" w:name="_Toc235786133"/>
      <w:bookmarkStart w:id="722" w:name="_Toc235787464"/>
      <w:bookmarkStart w:id="723" w:name="_Toc235791602"/>
      <w:bookmarkStart w:id="724" w:name="_Toc237872705"/>
      <w:r w:rsidRPr="002F6260">
        <w:rPr>
          <w:rFonts w:eastAsiaTheme="majorEastAsia" w:cstheme="majorBidi"/>
          <w:b/>
          <w:color w:val="008550"/>
          <w:sz w:val="28"/>
          <w:szCs w:val="28"/>
        </w:rPr>
        <w:t>Admitted acute care</w:t>
      </w:r>
      <w:bookmarkEnd w:id="716"/>
      <w:bookmarkEnd w:id="717"/>
      <w:bookmarkEnd w:id="718"/>
      <w:bookmarkEnd w:id="719"/>
      <w:bookmarkEnd w:id="720"/>
      <w:bookmarkEnd w:id="721"/>
      <w:bookmarkEnd w:id="722"/>
      <w:bookmarkEnd w:id="723"/>
      <w:bookmarkEnd w:id="724"/>
    </w:p>
    <w:p w14:paraId="43C8575B" w14:textId="77777777" w:rsidR="00EB0D85" w:rsidRPr="002F6260" w:rsidRDefault="00EB0D85" w:rsidP="00EB0D85">
      <w:r w:rsidRPr="002F6260">
        <w:t xml:space="preserve">The AR-DRG classification is used to price admitted acute patient services. AR-DRGs are underpinned by the classifications and standards used to collect admitted care activity data: </w:t>
      </w:r>
    </w:p>
    <w:p w14:paraId="77CC22AF" w14:textId="77777777" w:rsidR="00EB0D85" w:rsidRPr="002F6260" w:rsidRDefault="00EB0D85" w:rsidP="00EB0D85">
      <w:pPr>
        <w:pStyle w:val="ListLevel1"/>
      </w:pPr>
      <w:r w:rsidRPr="002F6260">
        <w:t xml:space="preserve">International Statistical Classification of Diseases and Related Health Problems, Tenth Revision, Australian Modification (ICD-10-AM) </w:t>
      </w:r>
    </w:p>
    <w:p w14:paraId="6D5B919A" w14:textId="77777777" w:rsidR="00EB0D85" w:rsidRPr="002F6260" w:rsidRDefault="00EB0D85" w:rsidP="00EB0D85">
      <w:pPr>
        <w:pStyle w:val="ListLevel1"/>
      </w:pPr>
      <w:r w:rsidRPr="002F6260">
        <w:t xml:space="preserve">Australian Classification of Health Interventions (ACHI) </w:t>
      </w:r>
    </w:p>
    <w:p w14:paraId="6CEDAEDD" w14:textId="77777777" w:rsidR="00EB0D85" w:rsidRDefault="00EB0D85" w:rsidP="00EB0D85">
      <w:pPr>
        <w:pStyle w:val="ListLevel1"/>
      </w:pPr>
      <w:r w:rsidRPr="002F6260">
        <w:t xml:space="preserve">Australian Coding Standards (ACS). </w:t>
      </w:r>
    </w:p>
    <w:p w14:paraId="755A401B" w14:textId="77777777" w:rsidR="00EB0D85" w:rsidRPr="002F6260" w:rsidRDefault="00EB0D85" w:rsidP="00EB0D85">
      <w:r w:rsidRPr="002F6260">
        <w:t>These are collectively known as ICD-10-AM/ACHI/ACS.</w:t>
      </w:r>
    </w:p>
    <w:p w14:paraId="225A3456" w14:textId="77777777" w:rsidR="00EB0D85" w:rsidRPr="002F6260" w:rsidRDefault="00EB0D85" w:rsidP="00EB0D85">
      <w:r w:rsidRPr="002F6260">
        <w:t xml:space="preserve">In April 2025, </w:t>
      </w:r>
      <w:r>
        <w:t>we</w:t>
      </w:r>
      <w:r w:rsidRPr="002F6260">
        <w:t xml:space="preserve"> released ICD-10-AM/ACHI/ACS Thirteenth Edition, which was implemented on 1 July 2025 following a 3-year refinement and development process. Key changes included:</w:t>
      </w:r>
    </w:p>
    <w:p w14:paraId="799689B3" w14:textId="77777777" w:rsidR="00EB0D85" w:rsidRPr="002F6260" w:rsidRDefault="00EB0D85" w:rsidP="00EB0D85">
      <w:pPr>
        <w:pStyle w:val="ListLevel1"/>
      </w:pPr>
      <w:r w:rsidRPr="002F6260">
        <w:t>implementation of cluster coding using a diagnosis cluster identifier to indicate the relationship between codes</w:t>
      </w:r>
    </w:p>
    <w:p w14:paraId="1F2D9CA7" w14:textId="77777777" w:rsidR="00EB0D85" w:rsidRPr="002F6260" w:rsidRDefault="00EB0D85" w:rsidP="00EB0D85">
      <w:pPr>
        <w:pStyle w:val="ListLevel1"/>
      </w:pPr>
      <w:r w:rsidRPr="002F6260">
        <w:t xml:space="preserve">a major review of the ACS to streamline the standards, reduce ambiguity and apply a standardised format </w:t>
      </w:r>
    </w:p>
    <w:p w14:paraId="33DF79A0" w14:textId="77777777" w:rsidR="00EB0D85" w:rsidRPr="002F6260" w:rsidRDefault="00EB0D85" w:rsidP="00EB0D85">
      <w:pPr>
        <w:pStyle w:val="ListLevel1"/>
      </w:pPr>
      <w:r w:rsidRPr="002F6260">
        <w:t>review of procedural complications</w:t>
      </w:r>
    </w:p>
    <w:p w14:paraId="1F49C97E" w14:textId="77777777" w:rsidR="00EB0D85" w:rsidRPr="002F6260" w:rsidRDefault="00EB0D85" w:rsidP="00EB0D85">
      <w:pPr>
        <w:pStyle w:val="ListLevel1"/>
      </w:pPr>
      <w:r w:rsidRPr="002F6260">
        <w:lastRenderedPageBreak/>
        <w:t>addition of codes for new or missing concepts, including use of vaping devices and voluntary assisted dying</w:t>
      </w:r>
    </w:p>
    <w:p w14:paraId="6CC39C7F" w14:textId="77777777" w:rsidR="00EB0D85" w:rsidRPr="002F6260" w:rsidRDefault="00EB0D85" w:rsidP="00EB0D85">
      <w:pPr>
        <w:pStyle w:val="ListLevel1"/>
      </w:pPr>
      <w:r w:rsidRPr="002F6260">
        <w:t>further refinements to the classification of social factors</w:t>
      </w:r>
    </w:p>
    <w:p w14:paraId="2757970B" w14:textId="77777777" w:rsidR="00EB0D85" w:rsidRPr="002F6260" w:rsidRDefault="00EB0D85" w:rsidP="00EB0D85">
      <w:pPr>
        <w:pStyle w:val="ListLevel1"/>
      </w:pPr>
      <w:r w:rsidRPr="002F6260">
        <w:t>revised classifications for organ donation, procurement and transplantation.</w:t>
      </w:r>
    </w:p>
    <w:p w14:paraId="664A51D7" w14:textId="77777777" w:rsidR="00EB0D85" w:rsidRPr="006C5534" w:rsidRDefault="00EB0D85" w:rsidP="00EB0D85">
      <w:r w:rsidRPr="006C5534">
        <w:t xml:space="preserve">In July 2025, </w:t>
      </w:r>
      <w:r>
        <w:t>we</w:t>
      </w:r>
      <w:r w:rsidRPr="006C5534">
        <w:t xml:space="preserve"> released AR-DRG Version 12.0. The new version includes guiding principles to support consistent grouping of intervention-based episodes of care, a major review of Adjacent Diagnosis Related Group</w:t>
      </w:r>
      <w:r>
        <w:t>s</w:t>
      </w:r>
      <w:r w:rsidRPr="006C5534">
        <w:t xml:space="preserve"> (ADRG) within Major Diagnostic Category 14 </w:t>
      </w:r>
      <w:r w:rsidRPr="006C5534">
        <w:rPr>
          <w:i/>
          <w:iCs/>
        </w:rPr>
        <w:t>Pregnancy, Childbirth and the Puerperium</w:t>
      </w:r>
      <w:r w:rsidRPr="006C5534">
        <w:t xml:space="preserve"> and a new ADRG for posthumous organ procurement. </w:t>
      </w:r>
    </w:p>
    <w:p w14:paraId="4C32A4EF" w14:textId="77777777" w:rsidR="00EB0D85" w:rsidRPr="002F6260" w:rsidRDefault="00EB0D85" w:rsidP="00EB0D85">
      <w:pPr>
        <w:keepNext/>
        <w:keepLines/>
        <w:spacing w:before="120" w:after="240"/>
        <w:outlineLvl w:val="2"/>
        <w:rPr>
          <w:rFonts w:eastAsiaTheme="majorEastAsia" w:cstheme="majorBidi"/>
          <w:b/>
          <w:color w:val="008550"/>
          <w:sz w:val="28"/>
          <w:szCs w:val="28"/>
        </w:rPr>
      </w:pPr>
      <w:bookmarkStart w:id="725" w:name="_Toc233022320"/>
      <w:bookmarkStart w:id="726" w:name="_Toc233023082"/>
      <w:bookmarkStart w:id="727" w:name="_Toc233023550"/>
      <w:bookmarkStart w:id="728" w:name="_Toc233028726"/>
      <w:bookmarkStart w:id="729" w:name="_Toc233028910"/>
      <w:bookmarkStart w:id="730" w:name="_Toc235786134"/>
      <w:bookmarkStart w:id="731" w:name="_Toc235787465"/>
      <w:bookmarkStart w:id="732" w:name="_Toc235791603"/>
      <w:bookmarkStart w:id="733" w:name="_Toc237872706"/>
      <w:r w:rsidRPr="002F6260">
        <w:rPr>
          <w:rFonts w:eastAsiaTheme="majorEastAsia" w:cstheme="majorBidi"/>
          <w:b/>
          <w:color w:val="008550"/>
          <w:sz w:val="28"/>
          <w:szCs w:val="28"/>
        </w:rPr>
        <w:t>Emergency care</w:t>
      </w:r>
      <w:bookmarkEnd w:id="725"/>
      <w:bookmarkEnd w:id="726"/>
      <w:bookmarkEnd w:id="727"/>
      <w:bookmarkEnd w:id="728"/>
      <w:bookmarkEnd w:id="729"/>
      <w:bookmarkEnd w:id="730"/>
      <w:bookmarkEnd w:id="731"/>
      <w:bookmarkEnd w:id="732"/>
      <w:bookmarkEnd w:id="733"/>
      <w:r w:rsidRPr="002F6260">
        <w:rPr>
          <w:rFonts w:eastAsiaTheme="majorEastAsia" w:cstheme="majorBidi"/>
          <w:b/>
          <w:color w:val="008550"/>
          <w:sz w:val="28"/>
          <w:szCs w:val="28"/>
        </w:rPr>
        <w:t xml:space="preserve"> </w:t>
      </w:r>
    </w:p>
    <w:p w14:paraId="4DEE3A04" w14:textId="77777777" w:rsidR="00EB0D85" w:rsidRPr="002F6260" w:rsidRDefault="00EB0D85" w:rsidP="00EB0D85">
      <w:pPr>
        <w:spacing w:before="120" w:after="120"/>
        <w:contextualSpacing/>
        <w:rPr>
          <w:rFonts w:cs="Arial"/>
        </w:rPr>
      </w:pPr>
      <w:r w:rsidRPr="002F6260">
        <w:rPr>
          <w:rFonts w:cs="Arial"/>
        </w:rPr>
        <w:t xml:space="preserve">The Australian Emergency Care Classification (AECC) Version 1.1 was released in August 2024 and was used to price emergency department activities from 1 July 2025. </w:t>
      </w:r>
      <w:r>
        <w:rPr>
          <w:rFonts w:cs="Arial"/>
        </w:rPr>
        <w:t>We</w:t>
      </w:r>
      <w:r w:rsidRPr="002F6260">
        <w:rPr>
          <w:rFonts w:cs="Arial"/>
        </w:rPr>
        <w:t xml:space="preserve"> developed the AECC Version 1.1 through detailed statistical analysis of national public hospital activity and cost data. It included a recalibration of the complexity model based on the most recent activity and cost data. </w:t>
      </w:r>
      <w:r>
        <w:rPr>
          <w:rFonts w:cs="Arial"/>
        </w:rPr>
        <w:t>We</w:t>
      </w:r>
      <w:r w:rsidRPr="002F6260">
        <w:rPr>
          <w:rFonts w:cs="Arial"/>
        </w:rPr>
        <w:t xml:space="preserve"> commenced development of the AECC Version 2.0 in 2025. This work includes a review of paediatric patients presenting in emergency care and standard refinements, such as:</w:t>
      </w:r>
    </w:p>
    <w:p w14:paraId="47349973" w14:textId="77777777" w:rsidR="00EB0D85" w:rsidRPr="002F6260" w:rsidRDefault="00EB0D85" w:rsidP="00EB0D85">
      <w:pPr>
        <w:pStyle w:val="ListLevel1"/>
      </w:pPr>
      <w:r w:rsidRPr="002F6260">
        <w:t>recalibration of the complexity model using recent cost and activity data</w:t>
      </w:r>
    </w:p>
    <w:p w14:paraId="47EF9D21" w14:textId="77777777" w:rsidR="00EB0D85" w:rsidRPr="002F6260" w:rsidRDefault="00EB0D85" w:rsidP="00EB0D85">
      <w:pPr>
        <w:pStyle w:val="ListLevel1"/>
      </w:pPr>
      <w:r w:rsidRPr="002F6260">
        <w:t xml:space="preserve">incorporation of new editions of ICD-10-AM and </w:t>
      </w:r>
      <w:r w:rsidRPr="004A2510">
        <w:t>EPD</w:t>
      </w:r>
      <w:r w:rsidRPr="002F6260">
        <w:t xml:space="preserve"> Short List</w:t>
      </w:r>
    </w:p>
    <w:p w14:paraId="4E6BD859" w14:textId="77777777" w:rsidR="00EB0D85" w:rsidRPr="002F6260" w:rsidRDefault="00EB0D85" w:rsidP="00EB0D85">
      <w:pPr>
        <w:pStyle w:val="ListLevel1"/>
      </w:pPr>
      <w:r w:rsidRPr="002F6260">
        <w:t>review and refinement of the Emergency Care Diagnosis Groups that are used for assigning the AECC end classes.</w:t>
      </w:r>
    </w:p>
    <w:p w14:paraId="1A57B49D" w14:textId="77777777" w:rsidR="00EB0D85" w:rsidRPr="002F6260" w:rsidRDefault="00EB0D85" w:rsidP="00EB0D85">
      <w:pPr>
        <w:keepNext/>
        <w:keepLines/>
        <w:spacing w:before="120" w:after="240"/>
        <w:outlineLvl w:val="2"/>
        <w:rPr>
          <w:rFonts w:eastAsiaTheme="majorEastAsia" w:cstheme="majorBidi"/>
          <w:b/>
          <w:color w:val="008550"/>
          <w:sz w:val="28"/>
          <w:szCs w:val="28"/>
        </w:rPr>
      </w:pPr>
      <w:bookmarkStart w:id="734" w:name="_Toc233022321"/>
      <w:bookmarkStart w:id="735" w:name="_Toc233023083"/>
      <w:bookmarkStart w:id="736" w:name="_Toc233023551"/>
      <w:bookmarkStart w:id="737" w:name="_Toc233028727"/>
      <w:bookmarkStart w:id="738" w:name="_Toc233028911"/>
      <w:bookmarkStart w:id="739" w:name="_Toc235786135"/>
      <w:bookmarkStart w:id="740" w:name="_Toc235787466"/>
      <w:bookmarkStart w:id="741" w:name="_Toc235791604"/>
      <w:bookmarkStart w:id="742" w:name="_Toc237872707"/>
      <w:r w:rsidRPr="002F6260">
        <w:rPr>
          <w:rFonts w:eastAsiaTheme="majorEastAsia" w:cstheme="majorBidi"/>
          <w:b/>
          <w:color w:val="008550"/>
          <w:sz w:val="28"/>
          <w:szCs w:val="28"/>
        </w:rPr>
        <w:t>Subacute and non-acute care</w:t>
      </w:r>
      <w:bookmarkEnd w:id="734"/>
      <w:bookmarkEnd w:id="735"/>
      <w:bookmarkEnd w:id="736"/>
      <w:bookmarkEnd w:id="737"/>
      <w:bookmarkEnd w:id="738"/>
      <w:bookmarkEnd w:id="739"/>
      <w:bookmarkEnd w:id="740"/>
      <w:bookmarkEnd w:id="741"/>
      <w:bookmarkEnd w:id="742"/>
      <w:r w:rsidRPr="002F6260">
        <w:rPr>
          <w:rFonts w:eastAsiaTheme="majorEastAsia" w:cstheme="majorBidi"/>
          <w:b/>
          <w:color w:val="008550"/>
          <w:sz w:val="28"/>
          <w:szCs w:val="28"/>
        </w:rPr>
        <w:t xml:space="preserve"> </w:t>
      </w:r>
    </w:p>
    <w:p w14:paraId="31B89C30" w14:textId="77777777" w:rsidR="00EB0D85" w:rsidRPr="002F6260" w:rsidRDefault="00EB0D85" w:rsidP="00EB0D85">
      <w:r w:rsidRPr="002F6260">
        <w:t xml:space="preserve">The Australian National Subacute and Non-Acute Patient Classification (AN-SNAP) Version 5.0 was released in December 2021 and has been used to price subacute and non-acute services since 1 July 2024. </w:t>
      </w:r>
      <w:r>
        <w:t>We are</w:t>
      </w:r>
      <w:r w:rsidRPr="002F6260">
        <w:t xml:space="preserve"> investigating several areas for refinement, including </w:t>
      </w:r>
      <w:r>
        <w:t xml:space="preserve">a review of the Frailty Related Index of Comorbidities </w:t>
      </w:r>
      <w:r w:rsidRPr="002F6260">
        <w:t xml:space="preserve">and patients </w:t>
      </w:r>
      <w:r>
        <w:t>impacted by delayed discharge of an older person</w:t>
      </w:r>
      <w:r w:rsidRPr="002F6260">
        <w:t xml:space="preserve">. This work will be progressed through the Subacute Care Working Group. </w:t>
      </w:r>
    </w:p>
    <w:p w14:paraId="124CBD46" w14:textId="77777777" w:rsidR="00EB0D85" w:rsidRPr="002F6260" w:rsidRDefault="00EB0D85" w:rsidP="00EB0D85">
      <w:pPr>
        <w:keepNext/>
        <w:keepLines/>
        <w:spacing w:before="120" w:after="240"/>
        <w:outlineLvl w:val="2"/>
        <w:rPr>
          <w:rFonts w:eastAsiaTheme="majorEastAsia" w:cstheme="majorBidi"/>
          <w:b/>
          <w:color w:val="008550"/>
          <w:sz w:val="28"/>
          <w:szCs w:val="28"/>
        </w:rPr>
      </w:pPr>
      <w:bookmarkStart w:id="743" w:name="_Toc233022322"/>
      <w:bookmarkStart w:id="744" w:name="_Toc233023084"/>
      <w:bookmarkStart w:id="745" w:name="_Toc233023552"/>
      <w:bookmarkStart w:id="746" w:name="_Toc233028728"/>
      <w:bookmarkStart w:id="747" w:name="_Toc233028912"/>
      <w:bookmarkStart w:id="748" w:name="_Toc235786136"/>
      <w:bookmarkStart w:id="749" w:name="_Toc235787467"/>
      <w:bookmarkStart w:id="750" w:name="_Toc235791605"/>
      <w:bookmarkStart w:id="751" w:name="_Toc237872708"/>
      <w:r w:rsidRPr="002F6260">
        <w:rPr>
          <w:rFonts w:eastAsiaTheme="majorEastAsia" w:cstheme="majorBidi"/>
          <w:b/>
          <w:color w:val="008550"/>
          <w:sz w:val="28"/>
          <w:szCs w:val="28"/>
        </w:rPr>
        <w:t>Non-admitted care</w:t>
      </w:r>
      <w:bookmarkEnd w:id="743"/>
      <w:bookmarkEnd w:id="744"/>
      <w:bookmarkEnd w:id="745"/>
      <w:bookmarkEnd w:id="746"/>
      <w:bookmarkEnd w:id="747"/>
      <w:bookmarkEnd w:id="748"/>
      <w:bookmarkEnd w:id="749"/>
      <w:bookmarkEnd w:id="750"/>
      <w:bookmarkEnd w:id="751"/>
    </w:p>
    <w:p w14:paraId="2505E61F" w14:textId="77777777" w:rsidR="00EB0D85" w:rsidRDefault="00EB0D85" w:rsidP="00EB0D85">
      <w:r w:rsidRPr="002F6260">
        <w:t xml:space="preserve">The Tier 2 Non-Admitted Services Classification (Tier 2) is the existing classification system used to price non-admitted patient services. From July 2025, Tier 2 Version 9.1 was implemented and used to price non-admitted care. </w:t>
      </w:r>
    </w:p>
    <w:p w14:paraId="6E59F5DF" w14:textId="77777777" w:rsidR="00EB0D85" w:rsidRPr="002F6260" w:rsidRDefault="00EB0D85" w:rsidP="00EB0D85">
      <w:r>
        <w:t>We</w:t>
      </w:r>
      <w:r w:rsidRPr="002F6260">
        <w:t xml:space="preserve"> commenced the Australian Non-Admitted Patient Classification Project (ANAPP) in 2023</w:t>
      </w:r>
      <w:r>
        <w:t xml:space="preserve">. The ANAPP </w:t>
      </w:r>
      <w:r w:rsidRPr="00BD506F">
        <w:t>is a key initiative led by IHACPA to replace the Tier 2 Classification</w:t>
      </w:r>
      <w:r>
        <w:t xml:space="preserve">. </w:t>
      </w:r>
      <w:r w:rsidRPr="002966E4">
        <w:t xml:space="preserve">The ANAPP is comprised of </w:t>
      </w:r>
      <w:r>
        <w:t>4</w:t>
      </w:r>
      <w:r w:rsidRPr="002966E4">
        <w:t xml:space="preserve"> stages</w:t>
      </w:r>
      <w:r>
        <w:t>.</w:t>
      </w:r>
      <w:r w:rsidRPr="002F6260">
        <w:t xml:space="preserve"> With the first stage of the project now complete, </w:t>
      </w:r>
      <w:r>
        <w:t xml:space="preserve">we </w:t>
      </w:r>
      <w:r w:rsidRPr="002F6260">
        <w:t>commenced the Stage 2 Pilot</w:t>
      </w:r>
      <w:r>
        <w:t xml:space="preserve"> in late 2023. The pilot</w:t>
      </w:r>
      <w:r w:rsidRPr="002F6260">
        <w:t xml:space="preserve"> will utilise existing clinical</w:t>
      </w:r>
      <w:r>
        <w:t>, operational and cost</w:t>
      </w:r>
      <w:r w:rsidRPr="002F6260">
        <w:t xml:space="preserve"> data</w:t>
      </w:r>
      <w:r>
        <w:t xml:space="preserve"> obtained from participating hospital electronic medical record systems</w:t>
      </w:r>
      <w:r w:rsidRPr="002F6260">
        <w:t xml:space="preserve"> and other relevant information systems to </w:t>
      </w:r>
      <w:r>
        <w:t xml:space="preserve">develop a comprehensive activity and costed dataset to inform a new non-admitted classification. </w:t>
      </w:r>
    </w:p>
    <w:p w14:paraId="0C3A5836" w14:textId="77777777" w:rsidR="00EB0D85" w:rsidRPr="002F6260" w:rsidRDefault="00EB0D85" w:rsidP="00EB0D85">
      <w:pPr>
        <w:keepNext/>
        <w:keepLines/>
        <w:spacing w:before="120" w:after="240"/>
        <w:outlineLvl w:val="2"/>
        <w:rPr>
          <w:rFonts w:eastAsiaTheme="majorEastAsia" w:cstheme="majorBidi"/>
          <w:b/>
          <w:color w:val="008550"/>
          <w:sz w:val="28"/>
          <w:szCs w:val="28"/>
        </w:rPr>
      </w:pPr>
      <w:bookmarkStart w:id="752" w:name="_Toc233022323"/>
      <w:bookmarkStart w:id="753" w:name="_Toc233023085"/>
      <w:bookmarkStart w:id="754" w:name="_Toc233023553"/>
      <w:bookmarkStart w:id="755" w:name="_Toc233028729"/>
      <w:bookmarkStart w:id="756" w:name="_Toc233028913"/>
      <w:bookmarkStart w:id="757" w:name="_Toc235786137"/>
      <w:bookmarkStart w:id="758" w:name="_Toc235787468"/>
      <w:bookmarkStart w:id="759" w:name="_Toc235791606"/>
      <w:bookmarkStart w:id="760" w:name="_Toc237872709"/>
      <w:r w:rsidRPr="002F6260">
        <w:rPr>
          <w:rFonts w:eastAsiaTheme="majorEastAsia" w:cstheme="majorBidi"/>
          <w:b/>
          <w:color w:val="008550"/>
          <w:sz w:val="28"/>
          <w:szCs w:val="28"/>
        </w:rPr>
        <w:t>Mental health care</w:t>
      </w:r>
      <w:bookmarkEnd w:id="752"/>
      <w:bookmarkEnd w:id="753"/>
      <w:bookmarkEnd w:id="754"/>
      <w:bookmarkEnd w:id="755"/>
      <w:bookmarkEnd w:id="756"/>
      <w:bookmarkEnd w:id="757"/>
      <w:bookmarkEnd w:id="758"/>
      <w:bookmarkEnd w:id="759"/>
      <w:bookmarkEnd w:id="760"/>
    </w:p>
    <w:p w14:paraId="3556CE2F" w14:textId="77777777" w:rsidR="00EB0D85" w:rsidRPr="002F6260" w:rsidRDefault="00EB0D85" w:rsidP="00EB0D85">
      <w:r>
        <w:t>We</w:t>
      </w:r>
      <w:r w:rsidRPr="002F6260">
        <w:t xml:space="preserve"> released the Australian Mental Health Care Classification (AMHCC) Version 1.1 in December 2023</w:t>
      </w:r>
      <w:r>
        <w:t>, which</w:t>
      </w:r>
      <w:r w:rsidRPr="002F6260">
        <w:t xml:space="preserve"> has been used to price admitted and community mental health care since 1 July 2025. </w:t>
      </w:r>
      <w:r w:rsidRPr="002F6260">
        <w:lastRenderedPageBreak/>
        <w:t xml:space="preserve">In 2024, </w:t>
      </w:r>
      <w:r>
        <w:t>we</w:t>
      </w:r>
      <w:r w:rsidRPr="002F6260">
        <w:t xml:space="preserve"> commenced development of AMHCC Version 2.0</w:t>
      </w:r>
      <w:r>
        <w:t xml:space="preserve"> </w:t>
      </w:r>
      <w:r w:rsidRPr="002F6260" w:rsidDel="0091060D">
        <w:t>and</w:t>
      </w:r>
      <w:r w:rsidRPr="002F6260">
        <w:t xml:space="preserve"> </w:t>
      </w:r>
      <w:r>
        <w:t>are</w:t>
      </w:r>
      <w:r w:rsidRPr="002F6260">
        <w:t xml:space="preserve"> investigating areas for refinement</w:t>
      </w:r>
      <w:r>
        <w:t>.</w:t>
      </w:r>
      <w:r w:rsidRPr="002F6260">
        <w:t xml:space="preserve"> </w:t>
      </w:r>
      <w:r>
        <w:t>These include</w:t>
      </w:r>
      <w:r w:rsidRPr="002F6260">
        <w:t xml:space="preserve"> the treatment of age within the classification, reviewing consumer characteristics of same-day treatments and the application of mental health legal status across settings</w:t>
      </w:r>
      <w:r>
        <w:t>.</w:t>
      </w:r>
      <w:r w:rsidRPr="002F6260">
        <w:t xml:space="preserve"> </w:t>
      </w:r>
      <w:r>
        <w:t xml:space="preserve">We are completing these investigations </w:t>
      </w:r>
      <w:r w:rsidRPr="002F6260">
        <w:t>in consultation with jurisdictions, clinical and consumer representatives and other stakeholders.</w:t>
      </w:r>
    </w:p>
    <w:p w14:paraId="5E30AE40" w14:textId="77777777" w:rsidR="00EB0D85" w:rsidRPr="002F6260" w:rsidRDefault="00EB0D85" w:rsidP="00EB0D85">
      <w:pPr>
        <w:keepNext/>
        <w:keepLines/>
        <w:spacing w:before="120" w:after="240"/>
        <w:outlineLvl w:val="2"/>
        <w:rPr>
          <w:rFonts w:eastAsiaTheme="majorEastAsia" w:cstheme="majorBidi"/>
          <w:b/>
          <w:color w:val="008550"/>
          <w:sz w:val="28"/>
          <w:szCs w:val="28"/>
        </w:rPr>
      </w:pPr>
      <w:bookmarkStart w:id="761" w:name="_Toc233022324"/>
      <w:bookmarkStart w:id="762" w:name="_Toc233023086"/>
      <w:bookmarkStart w:id="763" w:name="_Toc233023554"/>
      <w:bookmarkStart w:id="764" w:name="_Toc233028730"/>
      <w:bookmarkStart w:id="765" w:name="_Toc233028914"/>
      <w:bookmarkStart w:id="766" w:name="_Toc235786138"/>
      <w:bookmarkStart w:id="767" w:name="_Toc235787469"/>
      <w:bookmarkStart w:id="768" w:name="_Toc235791607"/>
      <w:bookmarkStart w:id="769" w:name="_Toc237872710"/>
      <w:r w:rsidRPr="002F6260">
        <w:rPr>
          <w:rFonts w:eastAsiaTheme="majorEastAsia" w:cstheme="majorBidi"/>
          <w:b/>
          <w:color w:val="008550"/>
          <w:sz w:val="28"/>
          <w:szCs w:val="28"/>
        </w:rPr>
        <w:t xml:space="preserve">Teaching and </w:t>
      </w:r>
      <w:bookmarkEnd w:id="761"/>
      <w:bookmarkEnd w:id="762"/>
      <w:bookmarkEnd w:id="763"/>
      <w:bookmarkEnd w:id="764"/>
      <w:bookmarkEnd w:id="765"/>
      <w:r>
        <w:rPr>
          <w:rFonts w:eastAsiaTheme="majorEastAsia" w:cstheme="majorBidi"/>
          <w:b/>
          <w:color w:val="008550"/>
          <w:sz w:val="28"/>
          <w:szCs w:val="28"/>
        </w:rPr>
        <w:t>t</w:t>
      </w:r>
      <w:r w:rsidRPr="002F6260">
        <w:rPr>
          <w:rFonts w:eastAsiaTheme="majorEastAsia" w:cstheme="majorBidi"/>
          <w:b/>
          <w:color w:val="008550"/>
          <w:sz w:val="28"/>
          <w:szCs w:val="28"/>
        </w:rPr>
        <w:t>raining</w:t>
      </w:r>
      <w:bookmarkEnd w:id="766"/>
      <w:bookmarkEnd w:id="767"/>
      <w:bookmarkEnd w:id="768"/>
      <w:bookmarkEnd w:id="769"/>
      <w:r w:rsidRPr="002F6260">
        <w:rPr>
          <w:rFonts w:eastAsiaTheme="majorEastAsia" w:cstheme="majorBidi"/>
          <w:b/>
          <w:color w:val="008550"/>
          <w:sz w:val="28"/>
          <w:szCs w:val="28"/>
        </w:rPr>
        <w:t xml:space="preserve"> </w:t>
      </w:r>
    </w:p>
    <w:p w14:paraId="0C99AA8A" w14:textId="77777777" w:rsidR="00EB0D85" w:rsidRPr="002F6260" w:rsidRDefault="00EB0D85" w:rsidP="00EB0D85">
      <w:r w:rsidRPr="002F6260">
        <w:t>The Australian Teaching and Training Classification (ATTC) Version 1.0 was released in July 2018</w:t>
      </w:r>
      <w:r>
        <w:t>. It</w:t>
      </w:r>
      <w:r w:rsidRPr="002F6260">
        <w:t xml:space="preserve"> aims to provide a nationally consistent approach to how teaching and training activities are classified, counted and costed. In 2025–26, </w:t>
      </w:r>
      <w:r>
        <w:t>we</w:t>
      </w:r>
      <w:r w:rsidRPr="002F6260">
        <w:t xml:space="preserve"> worked with jurisdictions to gain a clearer understanding of the composition of existing block-funded amounts for teaching and training, and how this is distributed across the states and territories</w:t>
      </w:r>
      <w:r>
        <w:t>.</w:t>
      </w:r>
      <w:r w:rsidRPr="002F6260">
        <w:t xml:space="preserve"> </w:t>
      </w:r>
      <w:r>
        <w:t xml:space="preserve">This occurred </w:t>
      </w:r>
      <w:r w:rsidRPr="002F6260">
        <w:t xml:space="preserve">while improvements to the reporting of activity and cost data continue to be made to support implementation. </w:t>
      </w:r>
    </w:p>
    <w:p w14:paraId="7E302913" w14:textId="77777777" w:rsidR="00EB0D85" w:rsidRPr="002F6260" w:rsidRDefault="00EB0D85" w:rsidP="00EB0D85">
      <w:pPr>
        <w:keepNext/>
        <w:keepLines/>
        <w:spacing w:before="120" w:after="240"/>
        <w:outlineLvl w:val="2"/>
        <w:rPr>
          <w:rFonts w:eastAsiaTheme="majorEastAsia" w:cstheme="majorBidi"/>
          <w:b/>
          <w:color w:val="008550"/>
          <w:sz w:val="28"/>
          <w:szCs w:val="28"/>
        </w:rPr>
      </w:pPr>
      <w:bookmarkStart w:id="770" w:name="_Toc233022325"/>
      <w:bookmarkStart w:id="771" w:name="_Toc233023087"/>
      <w:bookmarkStart w:id="772" w:name="_Toc233023555"/>
      <w:bookmarkStart w:id="773" w:name="_Toc233028731"/>
      <w:bookmarkStart w:id="774" w:name="_Toc233028915"/>
      <w:bookmarkStart w:id="775" w:name="_Toc235786139"/>
      <w:bookmarkStart w:id="776" w:name="_Toc235787470"/>
      <w:bookmarkStart w:id="777" w:name="_Toc235791608"/>
      <w:bookmarkStart w:id="778" w:name="_Toc237872711"/>
      <w:r w:rsidRPr="002F6260">
        <w:rPr>
          <w:rFonts w:eastAsiaTheme="majorEastAsia" w:cstheme="majorBidi"/>
          <w:b/>
          <w:color w:val="008550"/>
          <w:sz w:val="28"/>
          <w:szCs w:val="28"/>
        </w:rPr>
        <w:t>ICD</w:t>
      </w:r>
      <w:r w:rsidRPr="002F6260">
        <w:rPr>
          <w:rFonts w:eastAsiaTheme="majorEastAsia" w:cstheme="majorBidi"/>
          <w:b/>
          <w:color w:val="008550"/>
          <w:sz w:val="28"/>
          <w:szCs w:val="28"/>
        </w:rPr>
        <w:noBreakHyphen/>
        <w:t>11 Implementation</w:t>
      </w:r>
      <w:bookmarkEnd w:id="770"/>
      <w:bookmarkEnd w:id="771"/>
      <w:bookmarkEnd w:id="772"/>
      <w:bookmarkEnd w:id="773"/>
      <w:bookmarkEnd w:id="774"/>
      <w:bookmarkEnd w:id="775"/>
      <w:bookmarkEnd w:id="776"/>
      <w:bookmarkEnd w:id="777"/>
      <w:bookmarkEnd w:id="778"/>
    </w:p>
    <w:p w14:paraId="18A4BFE8" w14:textId="77777777" w:rsidR="00EB0D85" w:rsidRPr="002F6260" w:rsidRDefault="00EB0D85" w:rsidP="00EB0D85">
      <w:r w:rsidRPr="002F6260">
        <w:t xml:space="preserve">In 2025–26, </w:t>
      </w:r>
      <w:r>
        <w:t>we</w:t>
      </w:r>
      <w:r w:rsidRPr="002F6260">
        <w:t xml:space="preserve"> progressed work to support Australia’s potential transition to the International Classification of Diseases, Eleventh Revision (ICD</w:t>
      </w:r>
      <w:r w:rsidRPr="002F6260">
        <w:noBreakHyphen/>
        <w:t>11). This work was guided by IHACPA’s framework for a decision to implement ICD</w:t>
      </w:r>
      <w:r w:rsidRPr="002F6260">
        <w:noBreakHyphen/>
        <w:t>11</w:t>
      </w:r>
      <w:r>
        <w:t>. The framework</w:t>
      </w:r>
      <w:r w:rsidRPr="002F6260">
        <w:t xml:space="preserve"> considers ICD</w:t>
      </w:r>
      <w:r w:rsidRPr="002F6260">
        <w:noBreakHyphen/>
        <w:t>11 maturity, classification architecture, stakeholder engagement, governance and how ICD</w:t>
      </w:r>
      <w:r w:rsidRPr="002F6260">
        <w:noBreakHyphen/>
        <w:t xml:space="preserve">11 could be used across </w:t>
      </w:r>
      <w:r>
        <w:t>our</w:t>
      </w:r>
      <w:r w:rsidRPr="002F6260">
        <w:t xml:space="preserve"> broader classification suite.</w:t>
      </w:r>
    </w:p>
    <w:p w14:paraId="0362E075" w14:textId="77777777" w:rsidR="00EB0D85" w:rsidRPr="002F6260" w:rsidRDefault="00EB0D85" w:rsidP="00EB0D85">
      <w:r w:rsidRPr="002F6260">
        <w:t>A central focus was the continued development and refinement of the case</w:t>
      </w:r>
      <w:r>
        <w:t xml:space="preserve"> for replacement of ICD-10-AM with ICD-11</w:t>
      </w:r>
      <w:r w:rsidRPr="002F6260">
        <w:t>, including cost-benefit analysis and assessment of system, workforce and implementation impacts. Structured, targeted consultation with jurisdictions and key stakeholders helped to test key assumptions</w:t>
      </w:r>
      <w:r>
        <w:t>,</w:t>
      </w:r>
      <w:r w:rsidRPr="002F6260">
        <w:t xml:space="preserve"> ensur</w:t>
      </w:r>
      <w:r>
        <w:t>ing</w:t>
      </w:r>
      <w:r w:rsidRPr="002F6260">
        <w:t xml:space="preserve"> that risks, dependencies and potential benefits are clearly articulated and </w:t>
      </w:r>
      <w:r w:rsidRPr="00152A5D">
        <w:t>evidence based</w:t>
      </w:r>
      <w:r w:rsidRPr="002F6260">
        <w:t>.</w:t>
      </w:r>
    </w:p>
    <w:p w14:paraId="03498C53" w14:textId="77777777" w:rsidR="00EB0D85" w:rsidRPr="002F6260" w:rsidRDefault="00EB0D85" w:rsidP="00EB0D85">
      <w:r w:rsidRPr="002F6260">
        <w:t xml:space="preserve">Broader stakeholder engagement included the release of </w:t>
      </w:r>
      <w:r w:rsidRPr="002411F1">
        <w:t>The Future of IHACPA Classifications</w:t>
      </w:r>
      <w:r w:rsidRPr="002F6260">
        <w:t xml:space="preserve"> consultation paper in October 2025. The paper sought feedback on </w:t>
      </w:r>
      <w:r>
        <w:t>our</w:t>
      </w:r>
      <w:r w:rsidRPr="002F6260">
        <w:t xml:space="preserve"> ICD</w:t>
      </w:r>
      <w:r w:rsidRPr="002F6260">
        <w:noBreakHyphen/>
        <w:t>11 framework and broader classification modernisation priorities</w:t>
      </w:r>
      <w:r>
        <w:t>. This</w:t>
      </w:r>
      <w:r w:rsidRPr="002F6260">
        <w:t xml:space="preserve"> includ</w:t>
      </w:r>
      <w:r>
        <w:t>es</w:t>
      </w:r>
      <w:r w:rsidRPr="002F6260">
        <w:t xml:space="preserve"> the future role of ICD</w:t>
      </w:r>
      <w:r w:rsidRPr="002F6260">
        <w:noBreakHyphen/>
        <w:t>10</w:t>
      </w:r>
      <w:r w:rsidRPr="002F6260">
        <w:noBreakHyphen/>
        <w:t>AM, ICD</w:t>
      </w:r>
      <w:r w:rsidRPr="002F6260">
        <w:noBreakHyphen/>
        <w:t>11 readiness and maturity, cluster coding, national classification needs, and the potential implications for AR</w:t>
      </w:r>
      <w:r w:rsidRPr="002F6260">
        <w:noBreakHyphen/>
        <w:t>DRGs, activity-based funding classifications</w:t>
      </w:r>
      <w:r>
        <w:t>,</w:t>
      </w:r>
      <w:r w:rsidRPr="002F6260">
        <w:t xml:space="preserve"> and IHACPA’s wider classification suite.</w:t>
      </w:r>
    </w:p>
    <w:p w14:paraId="3798F8E3" w14:textId="77777777" w:rsidR="00EB0D85" w:rsidRPr="002F6260" w:rsidRDefault="00EB0D85" w:rsidP="00EB0D85">
      <w:r>
        <w:t>At the same time</w:t>
      </w:r>
      <w:r w:rsidRPr="002F6260">
        <w:t xml:space="preserve">, </w:t>
      </w:r>
      <w:r>
        <w:t>we</w:t>
      </w:r>
      <w:r w:rsidRPr="002F6260">
        <w:t xml:space="preserve"> advanced work on classification architecture and digital readiness through the Classification Modernisation </w:t>
      </w:r>
      <w:r>
        <w:t>P</w:t>
      </w:r>
      <w:r w:rsidRPr="002F6260">
        <w:t xml:space="preserve">roject. In December 2025, work on this project commenced by developing a </w:t>
      </w:r>
      <w:r>
        <w:t>s</w:t>
      </w:r>
      <w:r w:rsidRPr="002F6260">
        <w:t xml:space="preserve">ummary of </w:t>
      </w:r>
      <w:r>
        <w:t>r</w:t>
      </w:r>
      <w:r w:rsidRPr="002F6260">
        <w:t>equirements to inform future system capability, reduce reliance on manual processes, support digital classification outputs, and identify functionality required for an ICD</w:t>
      </w:r>
      <w:r w:rsidRPr="002F6260">
        <w:noBreakHyphen/>
        <w:t>11-compatible platform.</w:t>
      </w:r>
    </w:p>
    <w:p w14:paraId="0290E0CE" w14:textId="77777777" w:rsidR="00EB0D85" w:rsidRPr="002F6260" w:rsidRDefault="00EB0D85" w:rsidP="00EB0D85">
      <w:pPr>
        <w:rPr>
          <w:sz w:val="20"/>
          <w:lang w:eastAsia="en-AU"/>
        </w:rPr>
      </w:pPr>
      <w:r w:rsidRPr="002F6260">
        <w:t>Together, these activities are providing the evidence base and planning foundations for informed decision-making on ICD</w:t>
      </w:r>
      <w:r w:rsidRPr="002F6260">
        <w:rPr>
          <w:rFonts w:ascii="Cambria Math" w:hAnsi="Cambria Math" w:cs="Cambria Math"/>
        </w:rPr>
        <w:t>‑</w:t>
      </w:r>
      <w:r w:rsidRPr="002F6260">
        <w:t>11 in Australia. They are also supporting a clearer understanding of the costs, benefits, risks, dependencies and implementation considerations associated with any future transition.</w:t>
      </w:r>
    </w:p>
    <w:p w14:paraId="0B0CFC21" w14:textId="77777777" w:rsidR="00EB0D85" w:rsidRPr="00DF2C48" w:rsidRDefault="00EB0D85" w:rsidP="00EB0D85">
      <w:pPr>
        <w:pStyle w:val="Heading2"/>
      </w:pPr>
      <w:bookmarkStart w:id="779" w:name="_Toc233021839"/>
      <w:bookmarkStart w:id="780" w:name="_Toc233022326"/>
      <w:bookmarkStart w:id="781" w:name="_Toc233023088"/>
      <w:bookmarkStart w:id="782" w:name="_Toc233023416"/>
      <w:bookmarkStart w:id="783" w:name="_Toc233023556"/>
      <w:bookmarkStart w:id="784" w:name="_Toc233028732"/>
      <w:bookmarkStart w:id="785" w:name="_Toc233028916"/>
      <w:bookmarkStart w:id="786" w:name="_Toc235786140"/>
      <w:bookmarkStart w:id="787" w:name="_Toc235787471"/>
      <w:bookmarkStart w:id="788" w:name="_Toc235791609"/>
      <w:bookmarkStart w:id="789" w:name="_Toc237872712"/>
      <w:r w:rsidRPr="00DF2C48">
        <w:lastRenderedPageBreak/>
        <w:t>Aged care services</w:t>
      </w:r>
      <w:bookmarkEnd w:id="779"/>
      <w:bookmarkEnd w:id="780"/>
      <w:bookmarkEnd w:id="781"/>
      <w:bookmarkEnd w:id="782"/>
      <w:bookmarkEnd w:id="783"/>
      <w:bookmarkEnd w:id="784"/>
      <w:bookmarkEnd w:id="785"/>
      <w:bookmarkEnd w:id="786"/>
      <w:bookmarkEnd w:id="787"/>
      <w:bookmarkEnd w:id="788"/>
      <w:bookmarkEnd w:id="789"/>
    </w:p>
    <w:p w14:paraId="0C3147CC" w14:textId="77777777" w:rsidR="00EB0D85" w:rsidRPr="00C46F65" w:rsidRDefault="00EB0D85" w:rsidP="00EB0D85">
      <w:r w:rsidRPr="00C46F65">
        <w:t xml:space="preserve">Within the residential aged care sector, the AN-ACC funding model provides approved aged care providers with subsidies at a level that reflects service location, specialisation and each resident’s care needs. The AN-ACC funding model relates resident care need characteristics to the resources required to deliver their care. The refinement of AN-ACC classes and branching structure is the responsibility of the department. Where requested by </w:t>
      </w:r>
      <w:r>
        <w:t>g</w:t>
      </w:r>
      <w:r w:rsidRPr="00C46F65">
        <w:t xml:space="preserve">overnment, </w:t>
      </w:r>
      <w:r>
        <w:t>we</w:t>
      </w:r>
      <w:r w:rsidRPr="00C46F65">
        <w:t xml:space="preserve"> may recommend evidence-based areas of refinement to the classification system utilised by the AN-ACC funding model.</w:t>
      </w:r>
    </w:p>
    <w:p w14:paraId="599C245B" w14:textId="77777777" w:rsidR="00EB0D85" w:rsidRPr="00DF2C48" w:rsidRDefault="00EB0D85" w:rsidP="00EB0D85">
      <w:pPr>
        <w:pStyle w:val="Heading2"/>
      </w:pPr>
      <w:bookmarkStart w:id="790" w:name="_Toc233021840"/>
      <w:bookmarkStart w:id="791" w:name="_Toc233022327"/>
      <w:bookmarkStart w:id="792" w:name="_Toc233023089"/>
      <w:bookmarkStart w:id="793" w:name="_Toc233023417"/>
      <w:bookmarkStart w:id="794" w:name="_Toc233023557"/>
      <w:bookmarkStart w:id="795" w:name="_Toc233028733"/>
      <w:bookmarkStart w:id="796" w:name="_Toc233028917"/>
      <w:bookmarkStart w:id="797" w:name="_Toc235786141"/>
      <w:bookmarkStart w:id="798" w:name="_Toc235787472"/>
      <w:bookmarkStart w:id="799" w:name="_Toc235791610"/>
      <w:bookmarkStart w:id="800" w:name="_Toc237872713"/>
      <w:r w:rsidRPr="00DF2C48">
        <w:t>Results</w:t>
      </w:r>
      <w:bookmarkEnd w:id="790"/>
      <w:bookmarkEnd w:id="791"/>
      <w:bookmarkEnd w:id="792"/>
      <w:bookmarkEnd w:id="793"/>
      <w:bookmarkEnd w:id="794"/>
      <w:bookmarkEnd w:id="795"/>
      <w:bookmarkEnd w:id="796"/>
      <w:bookmarkEnd w:id="797"/>
      <w:bookmarkEnd w:id="798"/>
      <w:bookmarkEnd w:id="799"/>
      <w:bookmarkEnd w:id="800"/>
    </w:p>
    <w:p w14:paraId="562B9E0A" w14:textId="77777777" w:rsidR="00EB0D85" w:rsidRPr="005F1DBF" w:rsidRDefault="00EB0D85" w:rsidP="00EB0D85">
      <w:pPr>
        <w:rPr>
          <w:b/>
          <w:bCs/>
        </w:rPr>
      </w:pPr>
      <w:bookmarkStart w:id="801" w:name="_Toc148025818"/>
      <w:r w:rsidRPr="005F1DBF">
        <w:t xml:space="preserve">The reporting of key activities in this annual report refers to the deliverables of </w:t>
      </w:r>
      <w:r>
        <w:t>s</w:t>
      </w:r>
      <w:r w:rsidRPr="005F1DBF">
        <w:t>trategic </w:t>
      </w:r>
      <w:r>
        <w:t>o</w:t>
      </w:r>
      <w:r w:rsidRPr="005F1DBF">
        <w:t xml:space="preserve">bjective </w:t>
      </w:r>
      <w:r>
        <w:t>t</w:t>
      </w:r>
      <w:r w:rsidRPr="005F1DBF">
        <w:t>wo:</w:t>
      </w:r>
      <w:r w:rsidRPr="005F1DBF">
        <w:rPr>
          <w:kern w:val="2"/>
          <w14:ligatures w14:val="standardContextual"/>
        </w:rPr>
        <w:t xml:space="preserve"> </w:t>
      </w:r>
      <w:r w:rsidRPr="005F1DBF">
        <w:t>Refine and develop hospital and aged care activity classification systems in the IHACPA Work Program and Corporate Plan 2025–26 and Section 1.1 of the Portfolio Budget Statements</w:t>
      </w:r>
      <w:r>
        <w:t xml:space="preserve"> </w:t>
      </w:r>
      <w:r w:rsidRPr="005F1DBF">
        <w:t xml:space="preserve">2025–26. A summary of each deliverable and the analysis of our performance against the deliverables is outlined in </w:t>
      </w:r>
      <w:r w:rsidRPr="002E0E30">
        <w:rPr>
          <w:b/>
          <w:bCs/>
        </w:rPr>
        <w:t xml:space="preserve">Table </w:t>
      </w:r>
      <w:r>
        <w:rPr>
          <w:b/>
          <w:bCs/>
        </w:rPr>
        <w:t>9</w:t>
      </w:r>
      <w:r w:rsidRPr="005F1DBF">
        <w:t>.</w:t>
      </w:r>
      <w:bookmarkEnd w:id="801"/>
    </w:p>
    <w:p w14:paraId="625AB68E" w14:textId="77777777" w:rsidR="00EB0D85" w:rsidRPr="005F1DBF" w:rsidRDefault="00EB0D85" w:rsidP="00EB0D85">
      <w:pPr>
        <w:pStyle w:val="TableFigureheading"/>
        <w:rPr>
          <w:b/>
          <w:bCs/>
          <w:color w:val="15272F" w:themeColor="text1"/>
        </w:rPr>
      </w:pPr>
      <w:bookmarkStart w:id="802" w:name="_Toc233023558"/>
      <w:bookmarkStart w:id="803" w:name="_Toc233028734"/>
      <w:r w:rsidRPr="005F1DBF">
        <w:rPr>
          <w:b/>
          <w:bCs/>
          <w:color w:val="15272F" w:themeColor="text1"/>
        </w:rPr>
        <w:t xml:space="preserve">Table </w:t>
      </w:r>
      <w:bookmarkStart w:id="804" w:name="_Hlk169304191"/>
      <w:r>
        <w:rPr>
          <w:b/>
          <w:bCs/>
          <w:color w:val="15272F" w:themeColor="text1"/>
        </w:rPr>
        <w:t>9:</w:t>
      </w:r>
      <w:r w:rsidRPr="005F1DBF">
        <w:rPr>
          <w:b/>
          <w:bCs/>
          <w:color w:val="15272F" w:themeColor="text1"/>
        </w:rPr>
        <w:t xml:space="preserve"> Summary of performance for </w:t>
      </w:r>
      <w:r>
        <w:rPr>
          <w:b/>
          <w:bCs/>
          <w:color w:val="15272F" w:themeColor="text1"/>
        </w:rPr>
        <w:t>s</w:t>
      </w:r>
      <w:r w:rsidRPr="005F1DBF">
        <w:rPr>
          <w:b/>
          <w:bCs/>
          <w:color w:val="15272F" w:themeColor="text1"/>
        </w:rPr>
        <w:t xml:space="preserve">trategic </w:t>
      </w:r>
      <w:r>
        <w:rPr>
          <w:b/>
          <w:bCs/>
          <w:color w:val="15272F" w:themeColor="text1"/>
        </w:rPr>
        <w:t>o</w:t>
      </w:r>
      <w:r w:rsidRPr="005F1DBF">
        <w:rPr>
          <w:b/>
          <w:bCs/>
          <w:color w:val="15272F" w:themeColor="text1"/>
        </w:rPr>
        <w:t xml:space="preserve">bjective </w:t>
      </w:r>
      <w:r>
        <w:rPr>
          <w:b/>
          <w:bCs/>
          <w:color w:val="15272F" w:themeColor="text1"/>
        </w:rPr>
        <w:t>t</w:t>
      </w:r>
      <w:r w:rsidRPr="005F1DBF">
        <w:rPr>
          <w:b/>
          <w:bCs/>
          <w:color w:val="15272F" w:themeColor="text1"/>
        </w:rPr>
        <w:t>wo: Refine and develop hospital and aged care activity classification systems in 2025–26</w:t>
      </w:r>
      <w:bookmarkEnd w:id="802"/>
      <w:bookmarkEnd w:id="803"/>
      <w:r>
        <w:rPr>
          <w:b/>
          <w:bCs/>
          <w:color w:val="15272F" w:themeColor="text1"/>
        </w:rPr>
        <w:t xml:space="preserve"> </w:t>
      </w:r>
    </w:p>
    <w:tbl>
      <w:tblPr>
        <w:tblStyle w:val="IHACPATable"/>
        <w:tblW w:w="9931" w:type="dxa"/>
        <w:tblLayout w:type="fixed"/>
        <w:tblLook w:val="0000" w:firstRow="0" w:lastRow="0" w:firstColumn="0" w:lastColumn="0" w:noHBand="0" w:noVBand="0"/>
      </w:tblPr>
      <w:tblGrid>
        <w:gridCol w:w="3125"/>
        <w:gridCol w:w="1275"/>
        <w:gridCol w:w="991"/>
        <w:gridCol w:w="4532"/>
        <w:gridCol w:w="8"/>
      </w:tblGrid>
      <w:tr w:rsidR="00EB0D85" w:rsidRPr="00D74510" w14:paraId="45B0FA28" w14:textId="77777777" w:rsidTr="00ED2732">
        <w:trPr>
          <w:gridAfter w:val="1"/>
          <w:cnfStyle w:val="000000010000" w:firstRow="0" w:lastRow="0" w:firstColumn="0" w:lastColumn="0" w:oddVBand="0" w:evenVBand="0" w:oddHBand="0" w:evenHBand="1" w:firstRowFirstColumn="0" w:firstRowLastColumn="0" w:lastRowFirstColumn="0" w:lastRowLastColumn="0"/>
          <w:wAfter w:w="8" w:type="dxa"/>
          <w:cantSplit/>
          <w:trHeight w:val="57"/>
          <w:tblHeader/>
        </w:trPr>
        <w:tc>
          <w:tcPr>
            <w:tcW w:w="3125" w:type="dxa"/>
            <w:shd w:val="clear" w:color="auto" w:fill="15272F" w:themeFill="text1"/>
          </w:tcPr>
          <w:p w14:paraId="4D1A4605" w14:textId="77777777" w:rsidR="00EB0D85" w:rsidRPr="00734FDA" w:rsidRDefault="00EB0D85" w:rsidP="00ED2732">
            <w:pPr>
              <w:pStyle w:val="TableFigureHeading0"/>
              <w:spacing w:before="120" w:after="120" w:line="288" w:lineRule="auto"/>
              <w:rPr>
                <w:color w:val="auto"/>
                <w:sz w:val="16"/>
                <w:szCs w:val="16"/>
              </w:rPr>
            </w:pPr>
            <w:bookmarkStart w:id="805" w:name="_Toc148025820"/>
            <w:bookmarkEnd w:id="804"/>
            <w:r w:rsidRPr="00734FDA">
              <w:rPr>
                <w:color w:val="auto"/>
                <w:sz w:val="16"/>
                <w:szCs w:val="16"/>
              </w:rPr>
              <w:t>Deliverables</w:t>
            </w:r>
            <w:bookmarkEnd w:id="805"/>
          </w:p>
        </w:tc>
        <w:tc>
          <w:tcPr>
            <w:tcW w:w="1275" w:type="dxa"/>
            <w:shd w:val="clear" w:color="auto" w:fill="15272F" w:themeFill="text1"/>
          </w:tcPr>
          <w:p w14:paraId="03FCFEE5" w14:textId="77777777" w:rsidR="00EB0D85" w:rsidRPr="00734FDA" w:rsidRDefault="00EB0D85" w:rsidP="00ED2732">
            <w:pPr>
              <w:pStyle w:val="Tableheadingright"/>
              <w:spacing w:before="120" w:after="120" w:line="288" w:lineRule="auto"/>
              <w:jc w:val="left"/>
              <w:rPr>
                <w:rStyle w:val="WhiteColours"/>
                <w:rFonts w:ascii="Arial" w:hAnsi="Arial" w:cs="Arial"/>
                <w:color w:val="auto"/>
                <w:sz w:val="16"/>
                <w:szCs w:val="16"/>
                <w:lang w:val="en-AU"/>
              </w:rPr>
            </w:pPr>
            <w:r w:rsidRPr="00734FDA">
              <w:rPr>
                <w:rStyle w:val="WhiteColours"/>
                <w:rFonts w:ascii="Arial" w:hAnsi="Arial" w:cs="Arial"/>
                <w:color w:val="auto"/>
                <w:sz w:val="16"/>
                <w:szCs w:val="16"/>
                <w:lang w:val="en-AU"/>
              </w:rPr>
              <w:t>Timeframe</w:t>
            </w:r>
          </w:p>
        </w:tc>
        <w:tc>
          <w:tcPr>
            <w:tcW w:w="991" w:type="dxa"/>
            <w:shd w:val="clear" w:color="auto" w:fill="15272F" w:themeFill="text1"/>
          </w:tcPr>
          <w:p w14:paraId="1BCB38D6" w14:textId="77777777" w:rsidR="00EB0D85" w:rsidRPr="00734FDA" w:rsidRDefault="00EB0D85" w:rsidP="00ED2732">
            <w:pPr>
              <w:pStyle w:val="Tableheadingright"/>
              <w:spacing w:before="120" w:after="120" w:line="288" w:lineRule="auto"/>
              <w:jc w:val="left"/>
              <w:rPr>
                <w:rStyle w:val="WhiteColours"/>
                <w:rFonts w:ascii="Arial" w:hAnsi="Arial" w:cs="Arial"/>
                <w:color w:val="auto"/>
                <w:sz w:val="16"/>
                <w:szCs w:val="16"/>
                <w:lang w:val="en-AU"/>
              </w:rPr>
            </w:pPr>
            <w:r w:rsidRPr="00734FDA">
              <w:rPr>
                <w:rStyle w:val="WhiteColours"/>
                <w:rFonts w:ascii="Arial" w:hAnsi="Arial" w:cs="Arial"/>
                <w:color w:val="auto"/>
                <w:sz w:val="16"/>
                <w:szCs w:val="16"/>
                <w:lang w:val="en-AU"/>
              </w:rPr>
              <w:t>Outcome</w:t>
            </w:r>
          </w:p>
        </w:tc>
        <w:tc>
          <w:tcPr>
            <w:tcW w:w="4532" w:type="dxa"/>
            <w:shd w:val="clear" w:color="auto" w:fill="15272F" w:themeFill="text1"/>
          </w:tcPr>
          <w:p w14:paraId="5E503292" w14:textId="77777777" w:rsidR="00EB0D85" w:rsidRPr="00734FDA" w:rsidRDefault="00EB0D85" w:rsidP="00ED2732">
            <w:pPr>
              <w:pStyle w:val="Tableheadingright"/>
              <w:spacing w:before="120" w:after="120" w:line="288" w:lineRule="auto"/>
              <w:ind w:right="143"/>
              <w:jc w:val="left"/>
              <w:rPr>
                <w:rStyle w:val="WhiteColours"/>
                <w:rFonts w:ascii="Arial" w:hAnsi="Arial" w:cs="Arial"/>
                <w:color w:val="auto"/>
                <w:sz w:val="16"/>
                <w:szCs w:val="16"/>
                <w:lang w:val="en-AU"/>
              </w:rPr>
            </w:pPr>
            <w:r w:rsidRPr="00734FDA">
              <w:rPr>
                <w:rStyle w:val="WhiteColours"/>
                <w:rFonts w:ascii="Arial" w:hAnsi="Arial" w:cs="Arial"/>
                <w:color w:val="auto"/>
                <w:sz w:val="16"/>
                <w:szCs w:val="16"/>
                <w:lang w:val="en-AU"/>
              </w:rPr>
              <w:t>Analysis</w:t>
            </w:r>
          </w:p>
        </w:tc>
      </w:tr>
      <w:tr w:rsidR="00EB0D85" w:rsidRPr="00E214FE" w14:paraId="4D954EBC" w14:textId="77777777" w:rsidTr="00ED2732">
        <w:trPr>
          <w:cnfStyle w:val="000000100000" w:firstRow="0" w:lastRow="0" w:firstColumn="0" w:lastColumn="0" w:oddVBand="0" w:evenVBand="0" w:oddHBand="1" w:evenHBand="0" w:firstRowFirstColumn="0" w:firstRowLastColumn="0" w:lastRowFirstColumn="0" w:lastRowLastColumn="0"/>
          <w:cantSplit/>
          <w:trHeight w:val="113"/>
        </w:trPr>
        <w:tc>
          <w:tcPr>
            <w:tcW w:w="3125" w:type="dxa"/>
          </w:tcPr>
          <w:p w14:paraId="3179B8AF" w14:textId="77777777" w:rsidR="00EB0D85" w:rsidRPr="00D74510" w:rsidRDefault="00EB0D85" w:rsidP="00ED2732">
            <w:pPr>
              <w:pStyle w:val="Financialbodyleft"/>
              <w:numPr>
                <w:ilvl w:val="0"/>
                <w:numId w:val="18"/>
              </w:numPr>
              <w:spacing w:before="60" w:after="60" w:line="288" w:lineRule="auto"/>
              <w:ind w:left="230" w:hanging="284"/>
              <w:rPr>
                <w:rFonts w:ascii="Arial" w:hAnsi="Arial" w:cs="Arial"/>
                <w:color w:val="auto"/>
                <w:sz w:val="16"/>
                <w:szCs w:val="16"/>
                <w:lang w:val="en-AU"/>
              </w:rPr>
            </w:pPr>
            <w:r w:rsidRPr="00D74510">
              <w:rPr>
                <w:rFonts w:ascii="Arial" w:hAnsi="Arial" w:cs="Arial"/>
                <w:color w:val="auto"/>
                <w:sz w:val="16"/>
                <w:szCs w:val="16"/>
                <w:lang w:val="en-AU"/>
              </w:rPr>
              <w:t>Implement ICD10-AM/ACHI/ACS Thirteenth Edition.</w:t>
            </w:r>
          </w:p>
        </w:tc>
        <w:tc>
          <w:tcPr>
            <w:tcW w:w="1275" w:type="dxa"/>
          </w:tcPr>
          <w:p w14:paraId="25AED77C" w14:textId="77777777" w:rsidR="00EB0D85" w:rsidRPr="00D74510" w:rsidRDefault="00EB0D85" w:rsidP="00ED2732">
            <w:pPr>
              <w:pStyle w:val="TableParagraph"/>
              <w:framePr w:wrap="around"/>
              <w:spacing w:line="288" w:lineRule="auto"/>
              <w:ind w:left="230" w:hanging="230"/>
              <w:jc w:val="left"/>
              <w:rPr>
                <w:sz w:val="16"/>
                <w:szCs w:val="16"/>
              </w:rPr>
            </w:pPr>
            <w:r w:rsidRPr="00D74510">
              <w:rPr>
                <w:sz w:val="16"/>
                <w:szCs w:val="16"/>
              </w:rPr>
              <w:t>July 2025</w:t>
            </w:r>
          </w:p>
        </w:tc>
        <w:tc>
          <w:tcPr>
            <w:tcW w:w="991" w:type="dxa"/>
          </w:tcPr>
          <w:p w14:paraId="3F8D7595" w14:textId="77777777" w:rsidR="00EB0D85" w:rsidRPr="00D74510" w:rsidRDefault="00EB0D85" w:rsidP="00ED2732">
            <w:pPr>
              <w:pStyle w:val="TableParagraph"/>
              <w:framePr w:wrap="around"/>
              <w:spacing w:line="288" w:lineRule="auto"/>
              <w:ind w:left="230" w:hanging="230"/>
              <w:jc w:val="left"/>
              <w:rPr>
                <w:sz w:val="16"/>
                <w:szCs w:val="16"/>
              </w:rPr>
            </w:pPr>
            <w:r w:rsidRPr="00D74510">
              <w:rPr>
                <w:sz w:val="16"/>
                <w:szCs w:val="16"/>
              </w:rPr>
              <w:t>Delivered</w:t>
            </w:r>
          </w:p>
        </w:tc>
        <w:tc>
          <w:tcPr>
            <w:tcW w:w="4540" w:type="dxa"/>
            <w:gridSpan w:val="2"/>
          </w:tcPr>
          <w:p w14:paraId="30E49E2F" w14:textId="77777777" w:rsidR="00EB0D85" w:rsidRPr="00D74510" w:rsidRDefault="00EB0D85" w:rsidP="00ED2732">
            <w:pPr>
              <w:pStyle w:val="TableParagraph"/>
              <w:framePr w:wrap="around"/>
              <w:spacing w:line="288" w:lineRule="auto"/>
              <w:jc w:val="left"/>
              <w:rPr>
                <w:sz w:val="16"/>
                <w:szCs w:val="16"/>
              </w:rPr>
            </w:pPr>
            <w:r>
              <w:rPr>
                <w:sz w:val="16"/>
                <w:szCs w:val="16"/>
              </w:rPr>
              <w:t>We</w:t>
            </w:r>
            <w:r w:rsidRPr="00D74510">
              <w:rPr>
                <w:sz w:val="16"/>
                <w:szCs w:val="16"/>
              </w:rPr>
              <w:t xml:space="preserve"> released ICD10-AM/ACHI/ACS Thirteenth Edition in April 2025 for implementation from 1 July 2025. </w:t>
            </w:r>
          </w:p>
        </w:tc>
      </w:tr>
      <w:tr w:rsidR="00EB0D85" w:rsidRPr="00E214FE" w14:paraId="15017BDE" w14:textId="77777777" w:rsidTr="00ED2732">
        <w:trPr>
          <w:cnfStyle w:val="000000010000" w:firstRow="0" w:lastRow="0" w:firstColumn="0" w:lastColumn="0" w:oddVBand="0" w:evenVBand="0" w:oddHBand="0" w:evenHBand="1" w:firstRowFirstColumn="0" w:firstRowLastColumn="0" w:lastRowFirstColumn="0" w:lastRowLastColumn="0"/>
          <w:cantSplit/>
          <w:trHeight w:val="113"/>
        </w:trPr>
        <w:tc>
          <w:tcPr>
            <w:tcW w:w="3125" w:type="dxa"/>
          </w:tcPr>
          <w:p w14:paraId="73FA5E15" w14:textId="77777777" w:rsidR="00EB0D85" w:rsidRPr="00D74510" w:rsidRDefault="00EB0D85" w:rsidP="00ED2732">
            <w:pPr>
              <w:pStyle w:val="Financialbodyleft"/>
              <w:numPr>
                <w:ilvl w:val="0"/>
                <w:numId w:val="18"/>
              </w:numPr>
              <w:spacing w:before="60" w:after="60" w:line="288" w:lineRule="auto"/>
              <w:ind w:left="230" w:hanging="284"/>
              <w:rPr>
                <w:rFonts w:ascii="Arial" w:hAnsi="Arial" w:cs="Arial"/>
                <w:color w:val="auto"/>
                <w:sz w:val="16"/>
                <w:szCs w:val="16"/>
                <w:lang w:val="en-AU"/>
              </w:rPr>
            </w:pPr>
            <w:r w:rsidRPr="00D74510">
              <w:rPr>
                <w:rFonts w:ascii="Arial" w:hAnsi="Arial" w:cs="Arial"/>
                <w:sz w:val="16"/>
                <w:szCs w:val="16"/>
                <w:lang w:val="en-AU"/>
              </w:rPr>
              <w:t xml:space="preserve">Release </w:t>
            </w:r>
            <w:r w:rsidRPr="00D74510">
              <w:rPr>
                <w:rFonts w:ascii="Arial" w:hAnsi="Arial" w:cs="Arial"/>
                <w:color w:val="auto"/>
                <w:spacing w:val="-2"/>
                <w:sz w:val="16"/>
                <w:szCs w:val="16"/>
                <w:lang w:val="en-AU"/>
              </w:rPr>
              <w:t xml:space="preserve">AR-DRG </w:t>
            </w:r>
            <w:r w:rsidRPr="00D74510">
              <w:rPr>
                <w:rFonts w:ascii="Arial" w:hAnsi="Arial" w:cs="Arial"/>
                <w:sz w:val="16"/>
                <w:szCs w:val="16"/>
                <w:lang w:val="en-AU"/>
              </w:rPr>
              <w:t>Version 12.0.</w:t>
            </w:r>
          </w:p>
        </w:tc>
        <w:tc>
          <w:tcPr>
            <w:tcW w:w="1275" w:type="dxa"/>
          </w:tcPr>
          <w:p w14:paraId="66F83906" w14:textId="77777777" w:rsidR="00EB0D85" w:rsidRPr="00D74510" w:rsidRDefault="00EB0D85" w:rsidP="00ED2732">
            <w:pPr>
              <w:pStyle w:val="TableParagraph"/>
              <w:framePr w:wrap="around"/>
              <w:spacing w:line="288" w:lineRule="auto"/>
              <w:ind w:left="230" w:hanging="230"/>
              <w:jc w:val="left"/>
              <w:rPr>
                <w:rStyle w:val="Arialbody"/>
                <w:spacing w:val="-2"/>
                <w:sz w:val="16"/>
                <w:szCs w:val="16"/>
              </w:rPr>
            </w:pPr>
            <w:r w:rsidRPr="00D74510">
              <w:rPr>
                <w:sz w:val="16"/>
                <w:szCs w:val="16"/>
              </w:rPr>
              <w:t>July 2025</w:t>
            </w:r>
          </w:p>
        </w:tc>
        <w:tc>
          <w:tcPr>
            <w:tcW w:w="991" w:type="dxa"/>
          </w:tcPr>
          <w:p w14:paraId="5BB07C83" w14:textId="77777777" w:rsidR="00EB0D85" w:rsidRPr="00D74510" w:rsidRDefault="00EB0D85" w:rsidP="00ED2732">
            <w:pPr>
              <w:pStyle w:val="TableParagraph"/>
              <w:framePr w:wrap="around"/>
              <w:spacing w:line="288" w:lineRule="auto"/>
              <w:ind w:left="230" w:hanging="230"/>
              <w:jc w:val="left"/>
              <w:rPr>
                <w:rStyle w:val="Arialbody"/>
                <w:spacing w:val="-2"/>
                <w:sz w:val="16"/>
                <w:szCs w:val="16"/>
              </w:rPr>
            </w:pPr>
            <w:r w:rsidRPr="00D74510">
              <w:rPr>
                <w:rStyle w:val="Arialbody"/>
                <w:spacing w:val="-2"/>
                <w:sz w:val="16"/>
                <w:szCs w:val="16"/>
              </w:rPr>
              <w:t>Delivered</w:t>
            </w:r>
          </w:p>
        </w:tc>
        <w:tc>
          <w:tcPr>
            <w:tcW w:w="4540" w:type="dxa"/>
            <w:gridSpan w:val="2"/>
          </w:tcPr>
          <w:p w14:paraId="1CA5858F" w14:textId="77777777" w:rsidR="00EB0D85" w:rsidRPr="00D74510" w:rsidRDefault="00EB0D85" w:rsidP="00ED2732">
            <w:pPr>
              <w:pStyle w:val="TableParagraph"/>
              <w:framePr w:wrap="around"/>
              <w:spacing w:line="288" w:lineRule="auto"/>
              <w:jc w:val="left"/>
              <w:rPr>
                <w:rStyle w:val="Arialbody"/>
                <w:spacing w:val="-2"/>
                <w:sz w:val="16"/>
                <w:szCs w:val="16"/>
              </w:rPr>
            </w:pPr>
            <w:r>
              <w:rPr>
                <w:sz w:val="16"/>
                <w:szCs w:val="16"/>
              </w:rPr>
              <w:t>We</w:t>
            </w:r>
            <w:r w:rsidRPr="00D74510">
              <w:rPr>
                <w:sz w:val="16"/>
                <w:szCs w:val="16"/>
              </w:rPr>
              <w:t xml:space="preserve"> released AR-DRG Version 12.0 in July 2025 for implementation from 1 July 2026.</w:t>
            </w:r>
            <w:r w:rsidRPr="00D74510" w:rsidDel="00FA7236">
              <w:rPr>
                <w:sz w:val="16"/>
                <w:szCs w:val="16"/>
              </w:rPr>
              <w:t xml:space="preserve"> </w:t>
            </w:r>
          </w:p>
        </w:tc>
      </w:tr>
      <w:tr w:rsidR="00EB0D85" w:rsidRPr="00E214FE" w14:paraId="636C482A" w14:textId="77777777" w:rsidTr="00ED2732">
        <w:trPr>
          <w:cnfStyle w:val="000000100000" w:firstRow="0" w:lastRow="0" w:firstColumn="0" w:lastColumn="0" w:oddVBand="0" w:evenVBand="0" w:oddHBand="1" w:evenHBand="0" w:firstRowFirstColumn="0" w:firstRowLastColumn="0" w:lastRowFirstColumn="0" w:lastRowLastColumn="0"/>
          <w:cantSplit/>
          <w:trHeight w:val="113"/>
        </w:trPr>
        <w:tc>
          <w:tcPr>
            <w:tcW w:w="3125" w:type="dxa"/>
          </w:tcPr>
          <w:p w14:paraId="74F9C0F9" w14:textId="77777777" w:rsidR="00EB0D85" w:rsidRPr="00D74510" w:rsidRDefault="00EB0D85" w:rsidP="00ED2732">
            <w:pPr>
              <w:pStyle w:val="Financialbodyleft"/>
              <w:numPr>
                <w:ilvl w:val="0"/>
                <w:numId w:val="18"/>
              </w:numPr>
              <w:spacing w:before="60" w:after="60" w:line="288" w:lineRule="auto"/>
              <w:ind w:left="230" w:hanging="284"/>
              <w:rPr>
                <w:rFonts w:ascii="Arial" w:hAnsi="Arial" w:cs="Arial"/>
                <w:color w:val="auto"/>
                <w:sz w:val="16"/>
                <w:szCs w:val="16"/>
                <w:lang w:val="en-AU"/>
              </w:rPr>
            </w:pPr>
            <w:r w:rsidRPr="00D74510">
              <w:rPr>
                <w:rFonts w:ascii="Arial" w:hAnsi="Arial" w:cs="Arial"/>
                <w:sz w:val="16"/>
                <w:szCs w:val="16"/>
                <w:lang w:val="en-AU"/>
              </w:rPr>
              <w:t xml:space="preserve">Refine </w:t>
            </w:r>
            <w:r w:rsidRPr="0040613B">
              <w:rPr>
                <w:rFonts w:ascii="Arial" w:hAnsi="Arial" w:cs="Arial"/>
                <w:sz w:val="16"/>
                <w:szCs w:val="16"/>
                <w:lang w:val="en-AU"/>
              </w:rPr>
              <w:t>AN-SNAP</w:t>
            </w:r>
            <w:r w:rsidRPr="00D74510">
              <w:rPr>
                <w:rFonts w:ascii="Arial" w:hAnsi="Arial" w:cs="Arial"/>
                <w:sz w:val="16"/>
                <w:szCs w:val="16"/>
                <w:lang w:val="en-AU"/>
              </w:rPr>
              <w:t xml:space="preserve">. </w:t>
            </w:r>
          </w:p>
        </w:tc>
        <w:tc>
          <w:tcPr>
            <w:tcW w:w="1275" w:type="dxa"/>
          </w:tcPr>
          <w:p w14:paraId="2C6CFBAE" w14:textId="77777777" w:rsidR="00EB0D85" w:rsidRPr="00D74510" w:rsidRDefault="00EB0D85" w:rsidP="00ED2732">
            <w:pPr>
              <w:pStyle w:val="TableParagraph"/>
              <w:framePr w:wrap="around"/>
              <w:spacing w:line="288" w:lineRule="auto"/>
              <w:ind w:left="230" w:hanging="230"/>
              <w:jc w:val="left"/>
              <w:rPr>
                <w:sz w:val="16"/>
                <w:szCs w:val="16"/>
              </w:rPr>
            </w:pPr>
            <w:r w:rsidRPr="00D74510">
              <w:rPr>
                <w:sz w:val="16"/>
                <w:szCs w:val="16"/>
              </w:rPr>
              <w:t>Ongoing</w:t>
            </w:r>
          </w:p>
        </w:tc>
        <w:tc>
          <w:tcPr>
            <w:tcW w:w="991" w:type="dxa"/>
          </w:tcPr>
          <w:p w14:paraId="6C00195A" w14:textId="77777777" w:rsidR="00EB0D85" w:rsidRPr="00D74510" w:rsidRDefault="00EB0D85" w:rsidP="00ED2732">
            <w:pPr>
              <w:pStyle w:val="TableParagraph"/>
              <w:framePr w:wrap="around"/>
              <w:spacing w:line="288" w:lineRule="auto"/>
              <w:ind w:left="230" w:hanging="230"/>
              <w:jc w:val="left"/>
              <w:rPr>
                <w:sz w:val="16"/>
                <w:szCs w:val="16"/>
              </w:rPr>
            </w:pPr>
            <w:r w:rsidRPr="00D74510">
              <w:rPr>
                <w:sz w:val="16"/>
                <w:szCs w:val="16"/>
              </w:rPr>
              <w:t>Ongoing</w:t>
            </w:r>
          </w:p>
        </w:tc>
        <w:tc>
          <w:tcPr>
            <w:tcW w:w="4540" w:type="dxa"/>
            <w:gridSpan w:val="2"/>
          </w:tcPr>
          <w:p w14:paraId="5AD9750D" w14:textId="77777777" w:rsidR="00EB0D85" w:rsidRPr="00D74510" w:rsidRDefault="00EB0D85" w:rsidP="00ED2732">
            <w:pPr>
              <w:pStyle w:val="TableParagraph"/>
              <w:framePr w:wrap="around"/>
              <w:spacing w:line="288" w:lineRule="auto"/>
              <w:jc w:val="left"/>
              <w:rPr>
                <w:b/>
                <w:bCs/>
                <w:sz w:val="16"/>
                <w:szCs w:val="16"/>
              </w:rPr>
            </w:pPr>
            <w:r w:rsidRPr="00D74510">
              <w:rPr>
                <w:sz w:val="16"/>
                <w:szCs w:val="16"/>
              </w:rPr>
              <w:t xml:space="preserve">In 2025–26, </w:t>
            </w:r>
            <w:r>
              <w:rPr>
                <w:sz w:val="16"/>
                <w:szCs w:val="16"/>
              </w:rPr>
              <w:t>we</w:t>
            </w:r>
            <w:r w:rsidRPr="00D74510">
              <w:rPr>
                <w:sz w:val="16"/>
                <w:szCs w:val="16"/>
              </w:rPr>
              <w:t xml:space="preserve"> continued exploring a range of refinement areas for </w:t>
            </w:r>
            <w:r w:rsidRPr="00914198">
              <w:rPr>
                <w:sz w:val="16"/>
                <w:szCs w:val="16"/>
              </w:rPr>
              <w:t>AN-SNAP</w:t>
            </w:r>
            <w:r>
              <w:rPr>
                <w:sz w:val="16"/>
                <w:szCs w:val="16"/>
              </w:rPr>
              <w:t xml:space="preserve"> </w:t>
            </w:r>
            <w:r w:rsidRPr="00D74510">
              <w:rPr>
                <w:sz w:val="16"/>
                <w:szCs w:val="16"/>
              </w:rPr>
              <w:t xml:space="preserve">based on stakeholder feedback or identified from the analysis of recent data sets. </w:t>
            </w:r>
            <w:r>
              <w:rPr>
                <w:sz w:val="16"/>
                <w:szCs w:val="16"/>
              </w:rPr>
              <w:t>We</w:t>
            </w:r>
            <w:r w:rsidRPr="00D74510">
              <w:rPr>
                <w:sz w:val="16"/>
                <w:szCs w:val="16"/>
              </w:rPr>
              <w:t xml:space="preserve"> will continue to explore further refinements through </w:t>
            </w:r>
            <w:r>
              <w:rPr>
                <w:sz w:val="16"/>
                <w:szCs w:val="16"/>
              </w:rPr>
              <w:t xml:space="preserve">our </w:t>
            </w:r>
            <w:r w:rsidRPr="00D74510">
              <w:rPr>
                <w:sz w:val="16"/>
                <w:szCs w:val="16"/>
              </w:rPr>
              <w:t>working groups and advisory committees.</w:t>
            </w:r>
          </w:p>
        </w:tc>
      </w:tr>
      <w:tr w:rsidR="00EB0D85" w:rsidRPr="00E214FE" w14:paraId="5CB2B20D" w14:textId="77777777" w:rsidTr="00ED2732">
        <w:trPr>
          <w:cnfStyle w:val="000000010000" w:firstRow="0" w:lastRow="0" w:firstColumn="0" w:lastColumn="0" w:oddVBand="0" w:evenVBand="0" w:oddHBand="0" w:evenHBand="1" w:firstRowFirstColumn="0" w:firstRowLastColumn="0" w:lastRowFirstColumn="0" w:lastRowLastColumn="0"/>
          <w:cantSplit/>
          <w:trHeight w:val="113"/>
        </w:trPr>
        <w:tc>
          <w:tcPr>
            <w:tcW w:w="3125" w:type="dxa"/>
          </w:tcPr>
          <w:p w14:paraId="4C19684C" w14:textId="77777777" w:rsidR="00EB0D85" w:rsidRPr="007F7E0F" w:rsidRDefault="00EB0D85" w:rsidP="00ED2732">
            <w:pPr>
              <w:pStyle w:val="Financialbodyleft"/>
              <w:numPr>
                <w:ilvl w:val="0"/>
                <w:numId w:val="18"/>
              </w:numPr>
              <w:spacing w:before="60" w:after="60" w:line="288" w:lineRule="auto"/>
              <w:ind w:left="230" w:hanging="284"/>
              <w:rPr>
                <w:rFonts w:ascii="Arial" w:hAnsi="Arial" w:cs="Arial"/>
                <w:sz w:val="16"/>
                <w:szCs w:val="16"/>
                <w:lang w:val="en-AU"/>
              </w:rPr>
            </w:pPr>
            <w:r w:rsidRPr="007F7E0F">
              <w:rPr>
                <w:rFonts w:ascii="Arial" w:hAnsi="Arial" w:cs="Arial"/>
                <w:sz w:val="16"/>
                <w:szCs w:val="16"/>
                <w:lang w:val="en-AU"/>
              </w:rPr>
              <w:t>Continue the development of AECC Version 2.0</w:t>
            </w:r>
          </w:p>
        </w:tc>
        <w:tc>
          <w:tcPr>
            <w:tcW w:w="1275" w:type="dxa"/>
          </w:tcPr>
          <w:p w14:paraId="05C2FAD0" w14:textId="77777777" w:rsidR="00EB0D85" w:rsidRPr="007F7E0F" w:rsidRDefault="00EB0D85" w:rsidP="00ED2732">
            <w:pPr>
              <w:pStyle w:val="TableParagraph"/>
              <w:framePr w:wrap="around"/>
              <w:spacing w:line="288" w:lineRule="auto"/>
              <w:ind w:left="230" w:hanging="230"/>
              <w:jc w:val="left"/>
              <w:rPr>
                <w:color w:val="15272F" w:themeColor="text1"/>
                <w:sz w:val="16"/>
                <w:szCs w:val="16"/>
              </w:rPr>
            </w:pPr>
            <w:r w:rsidRPr="007F7E0F">
              <w:rPr>
                <w:color w:val="15272F" w:themeColor="text1"/>
                <w:sz w:val="16"/>
                <w:szCs w:val="16"/>
              </w:rPr>
              <w:t>Ongoing</w:t>
            </w:r>
          </w:p>
        </w:tc>
        <w:tc>
          <w:tcPr>
            <w:tcW w:w="991" w:type="dxa"/>
          </w:tcPr>
          <w:p w14:paraId="241CB0D1" w14:textId="77777777" w:rsidR="00EB0D85" w:rsidRPr="007F7E0F" w:rsidRDefault="00EB0D85" w:rsidP="00ED2732">
            <w:pPr>
              <w:pStyle w:val="TableParagraph"/>
              <w:framePr w:wrap="around"/>
              <w:spacing w:line="288" w:lineRule="auto"/>
              <w:ind w:left="230" w:hanging="230"/>
              <w:jc w:val="left"/>
              <w:rPr>
                <w:color w:val="15272F" w:themeColor="text1"/>
                <w:sz w:val="16"/>
                <w:szCs w:val="16"/>
              </w:rPr>
            </w:pPr>
            <w:r w:rsidRPr="007F7E0F">
              <w:rPr>
                <w:color w:val="15272F" w:themeColor="text1"/>
                <w:sz w:val="16"/>
                <w:szCs w:val="16"/>
              </w:rPr>
              <w:t>Ongoing</w:t>
            </w:r>
          </w:p>
        </w:tc>
        <w:tc>
          <w:tcPr>
            <w:tcW w:w="4540" w:type="dxa"/>
            <w:gridSpan w:val="2"/>
          </w:tcPr>
          <w:p w14:paraId="7BB7FEB0" w14:textId="77777777" w:rsidR="00EB0D85" w:rsidRPr="007F7E0F" w:rsidRDefault="00EB0D85" w:rsidP="00ED2732">
            <w:pPr>
              <w:pStyle w:val="TableParagraph"/>
              <w:framePr w:wrap="around"/>
              <w:spacing w:line="288" w:lineRule="auto"/>
              <w:jc w:val="left"/>
              <w:rPr>
                <w:color w:val="15272F" w:themeColor="text1"/>
                <w:sz w:val="16"/>
                <w:szCs w:val="16"/>
              </w:rPr>
            </w:pPr>
            <w:r>
              <w:rPr>
                <w:color w:val="15272F" w:themeColor="text1"/>
                <w:sz w:val="16"/>
                <w:szCs w:val="16"/>
              </w:rPr>
              <w:t>We</w:t>
            </w:r>
            <w:r w:rsidRPr="007F7E0F">
              <w:rPr>
                <w:color w:val="15272F" w:themeColor="text1"/>
                <w:sz w:val="16"/>
                <w:szCs w:val="16"/>
              </w:rPr>
              <w:t xml:space="preserve"> will continue the development of the AECC Version 2.0 in 2025–26. </w:t>
            </w:r>
          </w:p>
        </w:tc>
      </w:tr>
      <w:tr w:rsidR="00EB0D85" w:rsidRPr="00E214FE" w14:paraId="75FF7131" w14:textId="77777777" w:rsidTr="00ED2732">
        <w:trPr>
          <w:cnfStyle w:val="000000100000" w:firstRow="0" w:lastRow="0" w:firstColumn="0" w:lastColumn="0" w:oddVBand="0" w:evenVBand="0" w:oddHBand="1" w:evenHBand="0" w:firstRowFirstColumn="0" w:firstRowLastColumn="0" w:lastRowFirstColumn="0" w:lastRowLastColumn="0"/>
          <w:cantSplit/>
          <w:trHeight w:val="921"/>
        </w:trPr>
        <w:tc>
          <w:tcPr>
            <w:tcW w:w="3125" w:type="dxa"/>
          </w:tcPr>
          <w:p w14:paraId="4E659056" w14:textId="77777777" w:rsidR="00EB0D85" w:rsidRPr="007F7E0F" w:rsidRDefault="00EB0D85" w:rsidP="00ED2732">
            <w:pPr>
              <w:pStyle w:val="Financialbodyleft"/>
              <w:numPr>
                <w:ilvl w:val="0"/>
                <w:numId w:val="18"/>
              </w:numPr>
              <w:spacing w:before="60" w:after="60" w:line="288" w:lineRule="auto"/>
              <w:ind w:left="230" w:hanging="284"/>
              <w:rPr>
                <w:rFonts w:ascii="Arial" w:hAnsi="Arial" w:cs="Arial"/>
                <w:sz w:val="16"/>
                <w:szCs w:val="16"/>
                <w:lang w:val="en-AU"/>
              </w:rPr>
            </w:pPr>
            <w:r w:rsidRPr="007F7E0F">
              <w:rPr>
                <w:rFonts w:ascii="Arial" w:hAnsi="Arial" w:cs="Arial"/>
                <w:sz w:val="16"/>
                <w:szCs w:val="16"/>
                <w:lang w:val="en-AU"/>
              </w:rPr>
              <w:t>Implement the EPD Short List (ICD-10-AM Thirteenth Edition).</w:t>
            </w:r>
          </w:p>
        </w:tc>
        <w:tc>
          <w:tcPr>
            <w:tcW w:w="1275" w:type="dxa"/>
          </w:tcPr>
          <w:p w14:paraId="295F177F" w14:textId="77777777" w:rsidR="00EB0D85" w:rsidRPr="007F7E0F" w:rsidRDefault="00EB0D85" w:rsidP="00ED2732">
            <w:pPr>
              <w:pStyle w:val="TableParagraph"/>
              <w:framePr w:wrap="around"/>
              <w:spacing w:line="288" w:lineRule="auto"/>
              <w:ind w:left="230" w:hanging="230"/>
              <w:jc w:val="left"/>
              <w:rPr>
                <w:color w:val="15272F" w:themeColor="text1"/>
                <w:sz w:val="16"/>
                <w:szCs w:val="16"/>
              </w:rPr>
            </w:pPr>
            <w:r w:rsidRPr="007F7E0F">
              <w:rPr>
                <w:color w:val="15272F" w:themeColor="text1"/>
                <w:sz w:val="16"/>
                <w:szCs w:val="16"/>
              </w:rPr>
              <w:t>July 2025</w:t>
            </w:r>
          </w:p>
        </w:tc>
        <w:tc>
          <w:tcPr>
            <w:tcW w:w="991" w:type="dxa"/>
          </w:tcPr>
          <w:p w14:paraId="40153E53" w14:textId="77777777" w:rsidR="00EB0D85" w:rsidRPr="007F7E0F" w:rsidRDefault="00EB0D85" w:rsidP="00ED2732">
            <w:pPr>
              <w:pStyle w:val="TableParagraph"/>
              <w:framePr w:wrap="around"/>
              <w:spacing w:line="288" w:lineRule="auto"/>
              <w:ind w:left="230" w:hanging="230"/>
              <w:jc w:val="left"/>
              <w:rPr>
                <w:color w:val="15272F" w:themeColor="text1"/>
                <w:sz w:val="16"/>
                <w:szCs w:val="16"/>
              </w:rPr>
            </w:pPr>
            <w:r w:rsidRPr="007F7E0F">
              <w:rPr>
                <w:color w:val="15272F" w:themeColor="text1"/>
                <w:sz w:val="16"/>
                <w:szCs w:val="16"/>
              </w:rPr>
              <w:t>Delivered</w:t>
            </w:r>
          </w:p>
        </w:tc>
        <w:tc>
          <w:tcPr>
            <w:tcW w:w="4540" w:type="dxa"/>
            <w:gridSpan w:val="2"/>
          </w:tcPr>
          <w:p w14:paraId="0A04D22B" w14:textId="77777777" w:rsidR="00EB0D85" w:rsidRPr="007F7E0F" w:rsidRDefault="00EB0D85" w:rsidP="00ED2732">
            <w:pPr>
              <w:pStyle w:val="TableParagraph"/>
              <w:framePr w:wrap="around"/>
              <w:spacing w:line="288" w:lineRule="auto"/>
              <w:jc w:val="left"/>
              <w:rPr>
                <w:color w:val="15272F" w:themeColor="text1"/>
                <w:sz w:val="16"/>
                <w:szCs w:val="16"/>
              </w:rPr>
            </w:pPr>
            <w:r>
              <w:rPr>
                <w:color w:val="15272F" w:themeColor="text1"/>
                <w:sz w:val="16"/>
                <w:szCs w:val="16"/>
              </w:rPr>
              <w:t>We</w:t>
            </w:r>
            <w:r w:rsidRPr="007F7E0F">
              <w:rPr>
                <w:color w:val="15272F" w:themeColor="text1"/>
                <w:sz w:val="16"/>
                <w:szCs w:val="16"/>
              </w:rPr>
              <w:t xml:space="preserve"> released the EPD Short List (ICD-10-AM Thirteenth Edition) in May 2025 for implementation from 1 July 2025</w:t>
            </w:r>
            <w:r>
              <w:rPr>
                <w:color w:val="15272F" w:themeColor="text1"/>
                <w:sz w:val="16"/>
                <w:szCs w:val="16"/>
              </w:rPr>
              <w:t xml:space="preserve">. This </w:t>
            </w:r>
            <w:r w:rsidRPr="007F7E0F">
              <w:rPr>
                <w:color w:val="15272F" w:themeColor="text1"/>
                <w:sz w:val="16"/>
                <w:szCs w:val="16"/>
              </w:rPr>
              <w:t>coincide</w:t>
            </w:r>
            <w:r>
              <w:rPr>
                <w:color w:val="15272F" w:themeColor="text1"/>
                <w:sz w:val="16"/>
                <w:szCs w:val="16"/>
              </w:rPr>
              <w:t>s</w:t>
            </w:r>
            <w:r w:rsidRPr="007F7E0F">
              <w:rPr>
                <w:color w:val="15272F" w:themeColor="text1"/>
                <w:sz w:val="16"/>
                <w:szCs w:val="16"/>
              </w:rPr>
              <w:t xml:space="preserve"> with the implementation of ICD-10-AM Thirteenth Edition.</w:t>
            </w:r>
          </w:p>
        </w:tc>
      </w:tr>
      <w:tr w:rsidR="00EB0D85" w:rsidRPr="00E214FE" w14:paraId="7E322865" w14:textId="77777777" w:rsidTr="00ED2732">
        <w:trPr>
          <w:cnfStyle w:val="000000010000" w:firstRow="0" w:lastRow="0" w:firstColumn="0" w:lastColumn="0" w:oddVBand="0" w:evenVBand="0" w:oddHBand="0" w:evenHBand="1" w:firstRowFirstColumn="0" w:firstRowLastColumn="0" w:lastRowFirstColumn="0" w:lastRowLastColumn="0"/>
          <w:cantSplit/>
          <w:trHeight w:val="113"/>
        </w:trPr>
        <w:tc>
          <w:tcPr>
            <w:tcW w:w="3125" w:type="dxa"/>
          </w:tcPr>
          <w:p w14:paraId="63A66022" w14:textId="77777777" w:rsidR="00EB0D85" w:rsidRPr="007F7E0F" w:rsidRDefault="00EB0D85" w:rsidP="00ED2732">
            <w:pPr>
              <w:pStyle w:val="Financialbodyleft"/>
              <w:numPr>
                <w:ilvl w:val="0"/>
                <w:numId w:val="18"/>
              </w:numPr>
              <w:spacing w:before="60" w:after="60" w:line="288" w:lineRule="auto"/>
              <w:ind w:left="230" w:hanging="284"/>
              <w:rPr>
                <w:rFonts w:ascii="Arial" w:hAnsi="Arial" w:cs="Arial"/>
                <w:sz w:val="16"/>
                <w:szCs w:val="16"/>
                <w:lang w:val="en-AU"/>
              </w:rPr>
            </w:pPr>
            <w:r w:rsidRPr="007F7E0F">
              <w:rPr>
                <w:rFonts w:ascii="Arial" w:hAnsi="Arial" w:cs="Arial"/>
                <w:sz w:val="16"/>
                <w:szCs w:val="16"/>
                <w:lang w:val="en-AU"/>
              </w:rPr>
              <w:t>Continue to refine the Tier 2 Non</w:t>
            </w:r>
            <w:r w:rsidRPr="007F7E0F">
              <w:rPr>
                <w:rFonts w:ascii="Cambria Math" w:hAnsi="Cambria Math" w:cs="Cambria Math"/>
                <w:sz w:val="16"/>
                <w:szCs w:val="16"/>
                <w:lang w:val="en-AU"/>
              </w:rPr>
              <w:t>‑</w:t>
            </w:r>
            <w:r w:rsidRPr="007F7E0F">
              <w:rPr>
                <w:rFonts w:ascii="Arial" w:hAnsi="Arial" w:cs="Arial"/>
                <w:sz w:val="16"/>
                <w:szCs w:val="16"/>
                <w:lang w:val="en-AU"/>
              </w:rPr>
              <w:t>Admitted Services Classification.</w:t>
            </w:r>
          </w:p>
        </w:tc>
        <w:tc>
          <w:tcPr>
            <w:tcW w:w="1275" w:type="dxa"/>
          </w:tcPr>
          <w:p w14:paraId="00C2D198"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991" w:type="dxa"/>
          </w:tcPr>
          <w:p w14:paraId="4CEF7482"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4540" w:type="dxa"/>
            <w:gridSpan w:val="2"/>
          </w:tcPr>
          <w:p w14:paraId="1955733A" w14:textId="77777777" w:rsidR="00EB0D85" w:rsidRPr="007F7E0F" w:rsidRDefault="00EB0D85" w:rsidP="00ED2732">
            <w:pPr>
              <w:pStyle w:val="TableParagraph"/>
              <w:framePr w:wrap="around"/>
              <w:spacing w:line="288" w:lineRule="auto"/>
              <w:jc w:val="left"/>
              <w:rPr>
                <w:color w:val="15272F" w:themeColor="text1"/>
                <w:sz w:val="16"/>
                <w:szCs w:val="16"/>
              </w:rPr>
            </w:pPr>
            <w:r>
              <w:rPr>
                <w:color w:val="15272F" w:themeColor="text1"/>
                <w:sz w:val="16"/>
                <w:szCs w:val="16"/>
              </w:rPr>
              <w:t>A</w:t>
            </w:r>
            <w:r w:rsidRPr="007F7E0F">
              <w:rPr>
                <w:color w:val="15272F" w:themeColor="text1"/>
                <w:sz w:val="16"/>
                <w:szCs w:val="16"/>
              </w:rPr>
              <w:t xml:space="preserve">s it transitions to a </w:t>
            </w:r>
            <w:r>
              <w:rPr>
                <w:color w:val="15272F" w:themeColor="text1"/>
                <w:sz w:val="16"/>
                <w:szCs w:val="16"/>
              </w:rPr>
              <w:t>3</w:t>
            </w:r>
            <w:r w:rsidRPr="007F7E0F">
              <w:rPr>
                <w:color w:val="15272F" w:themeColor="text1"/>
                <w:sz w:val="16"/>
                <w:szCs w:val="16"/>
              </w:rPr>
              <w:t xml:space="preserve">-year </w:t>
            </w:r>
            <w:r>
              <w:rPr>
                <w:color w:val="15272F" w:themeColor="text1"/>
                <w:sz w:val="16"/>
                <w:szCs w:val="16"/>
              </w:rPr>
              <w:t>development</w:t>
            </w:r>
            <w:r w:rsidRPr="007F7E0F">
              <w:rPr>
                <w:color w:val="15272F" w:themeColor="text1"/>
                <w:sz w:val="16"/>
                <w:szCs w:val="16"/>
              </w:rPr>
              <w:t xml:space="preserve"> cycle</w:t>
            </w:r>
            <w:r>
              <w:rPr>
                <w:color w:val="15272F" w:themeColor="text1"/>
                <w:sz w:val="16"/>
                <w:szCs w:val="16"/>
              </w:rPr>
              <w:t>,</w:t>
            </w:r>
            <w:r w:rsidRPr="007F7E0F" w:rsidDel="00985A9F">
              <w:rPr>
                <w:color w:val="15272F" w:themeColor="text1"/>
                <w:sz w:val="16"/>
                <w:szCs w:val="16"/>
              </w:rPr>
              <w:t xml:space="preserve"> </w:t>
            </w:r>
            <w:r>
              <w:rPr>
                <w:color w:val="15272F" w:themeColor="text1"/>
                <w:sz w:val="16"/>
                <w:szCs w:val="16"/>
              </w:rPr>
              <w:t>we</w:t>
            </w:r>
            <w:r w:rsidRPr="007F7E0F">
              <w:rPr>
                <w:color w:val="15272F" w:themeColor="text1"/>
                <w:sz w:val="16"/>
                <w:szCs w:val="16"/>
              </w:rPr>
              <w:t xml:space="preserve"> will continue to explore further refinements to Tier 2 through </w:t>
            </w:r>
            <w:r>
              <w:rPr>
                <w:color w:val="15272F" w:themeColor="text1"/>
                <w:sz w:val="16"/>
                <w:szCs w:val="16"/>
              </w:rPr>
              <w:t>our</w:t>
            </w:r>
            <w:r w:rsidRPr="007F7E0F">
              <w:rPr>
                <w:color w:val="15272F" w:themeColor="text1"/>
                <w:sz w:val="16"/>
                <w:szCs w:val="16"/>
              </w:rPr>
              <w:t xml:space="preserve"> working groups and advisory committees. </w:t>
            </w:r>
          </w:p>
        </w:tc>
      </w:tr>
      <w:tr w:rsidR="00EB0D85" w:rsidRPr="00E214FE" w14:paraId="4E2A1B8B" w14:textId="77777777" w:rsidTr="00ED2732">
        <w:trPr>
          <w:cnfStyle w:val="000000100000" w:firstRow="0" w:lastRow="0" w:firstColumn="0" w:lastColumn="0" w:oddVBand="0" w:evenVBand="0" w:oddHBand="1" w:evenHBand="0" w:firstRowFirstColumn="0" w:firstRowLastColumn="0" w:lastRowFirstColumn="0" w:lastRowLastColumn="0"/>
          <w:cantSplit/>
          <w:trHeight w:val="113"/>
        </w:trPr>
        <w:tc>
          <w:tcPr>
            <w:tcW w:w="3125" w:type="dxa"/>
          </w:tcPr>
          <w:p w14:paraId="6544B0F6" w14:textId="77777777" w:rsidR="00EB0D85" w:rsidRPr="007F7E0F" w:rsidRDefault="00EB0D85" w:rsidP="00ED2732">
            <w:pPr>
              <w:pStyle w:val="Financialbodyleft"/>
              <w:numPr>
                <w:ilvl w:val="0"/>
                <w:numId w:val="18"/>
              </w:numPr>
              <w:spacing w:before="60" w:after="60" w:line="288" w:lineRule="auto"/>
              <w:ind w:left="230" w:hanging="284"/>
              <w:rPr>
                <w:rFonts w:ascii="Arial" w:hAnsi="Arial" w:cs="Arial"/>
                <w:sz w:val="16"/>
                <w:szCs w:val="16"/>
              </w:rPr>
            </w:pPr>
            <w:r w:rsidRPr="007F7E0F">
              <w:rPr>
                <w:rFonts w:ascii="Arial" w:hAnsi="Arial" w:cs="Arial"/>
                <w:sz w:val="16"/>
                <w:szCs w:val="16"/>
                <w:lang w:val="en-AU"/>
              </w:rPr>
              <w:t xml:space="preserve">Continue </w:t>
            </w:r>
            <w:r>
              <w:rPr>
                <w:rFonts w:ascii="Arial" w:hAnsi="Arial" w:cs="Arial"/>
                <w:sz w:val="16"/>
                <w:szCs w:val="16"/>
                <w:lang w:val="en-AU"/>
              </w:rPr>
              <w:t>the multi-stage project</w:t>
            </w:r>
            <w:r w:rsidRPr="007F7E0F">
              <w:rPr>
                <w:rFonts w:ascii="Arial" w:hAnsi="Arial" w:cs="Arial"/>
                <w:sz w:val="16"/>
                <w:szCs w:val="16"/>
                <w:lang w:val="en-AU"/>
              </w:rPr>
              <w:t xml:space="preserve"> to support the development of a new patient level non-admitted care classification.  </w:t>
            </w:r>
          </w:p>
        </w:tc>
        <w:tc>
          <w:tcPr>
            <w:tcW w:w="1275" w:type="dxa"/>
          </w:tcPr>
          <w:p w14:paraId="1745BA64"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991" w:type="dxa"/>
          </w:tcPr>
          <w:p w14:paraId="690C4CD1"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4540" w:type="dxa"/>
            <w:gridSpan w:val="2"/>
          </w:tcPr>
          <w:p w14:paraId="17EBDA80"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 xml:space="preserve">ANAPP commenced in 2023 to develop a new non-admitted care classification. </w:t>
            </w:r>
            <w:r>
              <w:rPr>
                <w:color w:val="15272F" w:themeColor="text1"/>
                <w:sz w:val="16"/>
                <w:szCs w:val="16"/>
              </w:rPr>
              <w:t>As part</w:t>
            </w:r>
            <w:r w:rsidRPr="007F7E0F">
              <w:rPr>
                <w:color w:val="15272F" w:themeColor="text1"/>
                <w:sz w:val="16"/>
                <w:szCs w:val="16"/>
              </w:rPr>
              <w:t xml:space="preserve"> of 4 stages, </w:t>
            </w:r>
            <w:r>
              <w:rPr>
                <w:color w:val="15272F" w:themeColor="text1"/>
                <w:sz w:val="16"/>
                <w:szCs w:val="16"/>
              </w:rPr>
              <w:t>we have</w:t>
            </w:r>
            <w:r w:rsidRPr="007F7E0F">
              <w:rPr>
                <w:color w:val="15272F" w:themeColor="text1"/>
                <w:sz w:val="16"/>
                <w:szCs w:val="16"/>
              </w:rPr>
              <w:t xml:space="preserve"> completed the first stage and commenced the Stage 2 Pilot in November 2023. The </w:t>
            </w:r>
            <w:r>
              <w:rPr>
                <w:color w:val="15272F" w:themeColor="text1"/>
                <w:sz w:val="16"/>
                <w:szCs w:val="16"/>
              </w:rPr>
              <w:t>p</w:t>
            </w:r>
            <w:r w:rsidRPr="007F7E0F">
              <w:rPr>
                <w:color w:val="15272F" w:themeColor="text1"/>
                <w:sz w:val="16"/>
                <w:szCs w:val="16"/>
              </w:rPr>
              <w:t xml:space="preserve">ilot is due for completion by early 2027.  </w:t>
            </w:r>
          </w:p>
        </w:tc>
      </w:tr>
      <w:tr w:rsidR="00EB0D85" w:rsidRPr="00E214FE" w14:paraId="3F407100" w14:textId="77777777" w:rsidTr="00ED2732">
        <w:trPr>
          <w:cnfStyle w:val="000000010000" w:firstRow="0" w:lastRow="0" w:firstColumn="0" w:lastColumn="0" w:oddVBand="0" w:evenVBand="0" w:oddHBand="0" w:evenHBand="1" w:firstRowFirstColumn="0" w:firstRowLastColumn="0" w:lastRowFirstColumn="0" w:lastRowLastColumn="0"/>
          <w:cantSplit/>
          <w:trHeight w:val="113"/>
        </w:trPr>
        <w:tc>
          <w:tcPr>
            <w:tcW w:w="3125" w:type="dxa"/>
          </w:tcPr>
          <w:p w14:paraId="406F826E" w14:textId="77777777" w:rsidR="00EB0D85" w:rsidRPr="007F7E0F" w:rsidRDefault="00EB0D85" w:rsidP="00ED2732">
            <w:pPr>
              <w:pStyle w:val="Financialbodyleft"/>
              <w:numPr>
                <w:ilvl w:val="0"/>
                <w:numId w:val="18"/>
              </w:numPr>
              <w:spacing w:before="60" w:after="60" w:line="288" w:lineRule="auto"/>
              <w:ind w:left="230" w:hanging="284"/>
              <w:rPr>
                <w:rFonts w:ascii="Arial" w:hAnsi="Arial" w:cs="Arial"/>
                <w:sz w:val="16"/>
                <w:szCs w:val="16"/>
                <w:lang w:val="en-AU"/>
              </w:rPr>
            </w:pPr>
            <w:r w:rsidRPr="007F7E0F">
              <w:rPr>
                <w:rFonts w:ascii="Arial" w:hAnsi="Arial" w:cs="Arial"/>
                <w:sz w:val="16"/>
                <w:szCs w:val="16"/>
                <w:lang w:val="en-AU"/>
              </w:rPr>
              <w:lastRenderedPageBreak/>
              <w:t>Continue development of AMHCC Version 2.0.</w:t>
            </w:r>
          </w:p>
        </w:tc>
        <w:tc>
          <w:tcPr>
            <w:tcW w:w="1275" w:type="dxa"/>
          </w:tcPr>
          <w:p w14:paraId="10EB9520"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991" w:type="dxa"/>
          </w:tcPr>
          <w:p w14:paraId="38C493F7"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4540" w:type="dxa"/>
            <w:gridSpan w:val="2"/>
          </w:tcPr>
          <w:p w14:paraId="686D2C11"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 xml:space="preserve">In 2024, </w:t>
            </w:r>
            <w:r>
              <w:rPr>
                <w:color w:val="15272F" w:themeColor="text1"/>
                <w:sz w:val="16"/>
                <w:szCs w:val="16"/>
              </w:rPr>
              <w:t>we</w:t>
            </w:r>
            <w:r w:rsidRPr="007F7E0F">
              <w:rPr>
                <w:color w:val="15272F" w:themeColor="text1"/>
                <w:sz w:val="16"/>
                <w:szCs w:val="16"/>
              </w:rPr>
              <w:t xml:space="preserve"> commenced development of AMHCC Version 2.0 and </w:t>
            </w:r>
            <w:r>
              <w:rPr>
                <w:color w:val="15272F" w:themeColor="text1"/>
                <w:sz w:val="16"/>
                <w:szCs w:val="16"/>
              </w:rPr>
              <w:t>are</w:t>
            </w:r>
            <w:r w:rsidRPr="007F7E0F">
              <w:rPr>
                <w:color w:val="15272F" w:themeColor="text1"/>
                <w:sz w:val="16"/>
                <w:szCs w:val="16"/>
              </w:rPr>
              <w:t xml:space="preserve"> investigating areas for refinement.</w:t>
            </w:r>
          </w:p>
        </w:tc>
      </w:tr>
      <w:tr w:rsidR="00EB0D85" w:rsidRPr="00E214FE" w14:paraId="668DE812" w14:textId="77777777" w:rsidTr="00ED2732">
        <w:trPr>
          <w:cnfStyle w:val="000000100000" w:firstRow="0" w:lastRow="0" w:firstColumn="0" w:lastColumn="0" w:oddVBand="0" w:evenVBand="0" w:oddHBand="1" w:evenHBand="0" w:firstRowFirstColumn="0" w:firstRowLastColumn="0" w:lastRowFirstColumn="0" w:lastRowLastColumn="0"/>
          <w:cantSplit/>
          <w:trHeight w:val="113"/>
        </w:trPr>
        <w:tc>
          <w:tcPr>
            <w:tcW w:w="3125" w:type="dxa"/>
          </w:tcPr>
          <w:p w14:paraId="263BEB43" w14:textId="77777777" w:rsidR="00EB0D85" w:rsidRPr="007F7E0F" w:rsidRDefault="00EB0D85" w:rsidP="00ED2732">
            <w:pPr>
              <w:pStyle w:val="Financialbodyleft"/>
              <w:numPr>
                <w:ilvl w:val="0"/>
                <w:numId w:val="18"/>
              </w:numPr>
              <w:spacing w:before="60" w:after="60" w:line="288" w:lineRule="auto"/>
              <w:ind w:left="230" w:hanging="284"/>
              <w:rPr>
                <w:rFonts w:ascii="Arial" w:hAnsi="Arial" w:cs="Arial"/>
                <w:sz w:val="16"/>
                <w:szCs w:val="16"/>
                <w:lang w:val="en-AU"/>
              </w:rPr>
            </w:pPr>
            <w:r w:rsidRPr="007F7E0F">
              <w:rPr>
                <w:rFonts w:ascii="Arial" w:hAnsi="Arial" w:cs="Arial"/>
                <w:sz w:val="16"/>
                <w:szCs w:val="16"/>
                <w:lang w:val="en-AU"/>
              </w:rPr>
              <w:t xml:space="preserve">Continue to work with jurisdictions to implement </w:t>
            </w:r>
            <w:r w:rsidRPr="00D57ED7">
              <w:rPr>
                <w:rFonts w:ascii="Arial" w:hAnsi="Arial" w:cs="Arial"/>
                <w:sz w:val="16"/>
                <w:szCs w:val="16"/>
                <w:lang w:val="en-AU"/>
              </w:rPr>
              <w:t>ATTC</w:t>
            </w:r>
            <w:r w:rsidRPr="007F7E0F">
              <w:rPr>
                <w:rFonts w:ascii="Arial" w:hAnsi="Arial" w:cs="Arial"/>
                <w:sz w:val="16"/>
                <w:szCs w:val="16"/>
                <w:lang w:val="en-AU"/>
              </w:rPr>
              <w:t>.</w:t>
            </w:r>
          </w:p>
        </w:tc>
        <w:tc>
          <w:tcPr>
            <w:tcW w:w="1275" w:type="dxa"/>
          </w:tcPr>
          <w:p w14:paraId="63BD3025"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991" w:type="dxa"/>
          </w:tcPr>
          <w:p w14:paraId="6BECEE3B"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4540" w:type="dxa"/>
            <w:gridSpan w:val="2"/>
          </w:tcPr>
          <w:p w14:paraId="7B7C31C2"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 xml:space="preserve">In 2025–26, </w:t>
            </w:r>
            <w:r>
              <w:rPr>
                <w:color w:val="15272F" w:themeColor="text1"/>
                <w:sz w:val="16"/>
                <w:szCs w:val="16"/>
              </w:rPr>
              <w:t>we</w:t>
            </w:r>
            <w:r w:rsidRPr="007F7E0F">
              <w:rPr>
                <w:color w:val="15272F" w:themeColor="text1"/>
                <w:sz w:val="16"/>
                <w:szCs w:val="16"/>
              </w:rPr>
              <w:t xml:space="preserve"> continued to work with jurisdictions to gain a clearer understanding of the composition of existing block-funded amounts for teaching and training, and how this funding is distributed across the states and territories</w:t>
            </w:r>
            <w:r>
              <w:rPr>
                <w:color w:val="15272F" w:themeColor="text1"/>
                <w:sz w:val="16"/>
                <w:szCs w:val="16"/>
              </w:rPr>
              <w:t xml:space="preserve">. </w:t>
            </w:r>
          </w:p>
        </w:tc>
      </w:tr>
      <w:tr w:rsidR="00EB0D85" w:rsidRPr="00E214FE" w14:paraId="4526C1C3" w14:textId="77777777" w:rsidTr="00ED2732">
        <w:trPr>
          <w:cnfStyle w:val="000000010000" w:firstRow="0" w:lastRow="0" w:firstColumn="0" w:lastColumn="0" w:oddVBand="0" w:evenVBand="0" w:oddHBand="0" w:evenHBand="1" w:firstRowFirstColumn="0" w:firstRowLastColumn="0" w:lastRowFirstColumn="0" w:lastRowLastColumn="0"/>
          <w:cantSplit/>
          <w:trHeight w:val="113"/>
        </w:trPr>
        <w:tc>
          <w:tcPr>
            <w:tcW w:w="3125" w:type="dxa"/>
          </w:tcPr>
          <w:p w14:paraId="6D0CD979" w14:textId="77777777" w:rsidR="00EB0D85" w:rsidRPr="007F7E0F" w:rsidRDefault="00EB0D85" w:rsidP="00ED2732">
            <w:pPr>
              <w:pStyle w:val="Financialbodyleft"/>
              <w:numPr>
                <w:ilvl w:val="0"/>
                <w:numId w:val="18"/>
              </w:numPr>
              <w:spacing w:before="60" w:after="60" w:line="288" w:lineRule="auto"/>
              <w:ind w:left="230" w:hanging="284"/>
              <w:rPr>
                <w:rFonts w:ascii="Arial" w:hAnsi="Arial" w:cs="Arial"/>
                <w:sz w:val="16"/>
                <w:szCs w:val="16"/>
                <w:lang w:val="en-AU"/>
              </w:rPr>
            </w:pPr>
            <w:r w:rsidRPr="007F7E0F">
              <w:rPr>
                <w:rFonts w:ascii="Arial" w:hAnsi="Arial" w:cs="Arial"/>
                <w:sz w:val="16"/>
                <w:szCs w:val="16"/>
                <w:lang w:val="en-AU"/>
              </w:rPr>
              <w:t>Manage the international sales of ICD-10-AM/ACHI/ACS and AR-DRG Classification Systems.</w:t>
            </w:r>
          </w:p>
        </w:tc>
        <w:tc>
          <w:tcPr>
            <w:tcW w:w="1275" w:type="dxa"/>
          </w:tcPr>
          <w:p w14:paraId="20FFD61E"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991" w:type="dxa"/>
          </w:tcPr>
          <w:p w14:paraId="11C60AC1"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4540" w:type="dxa"/>
            <w:gridSpan w:val="2"/>
          </w:tcPr>
          <w:p w14:paraId="75973705" w14:textId="77777777" w:rsidR="00EB0D85" w:rsidRPr="007F7E0F" w:rsidRDefault="00EB0D85" w:rsidP="00ED2732">
            <w:pPr>
              <w:pStyle w:val="TableParagraph"/>
              <w:framePr w:wrap="around"/>
              <w:spacing w:line="288" w:lineRule="auto"/>
              <w:jc w:val="left"/>
              <w:rPr>
                <w:color w:val="15272F" w:themeColor="text1"/>
                <w:sz w:val="16"/>
                <w:szCs w:val="16"/>
              </w:rPr>
            </w:pPr>
            <w:r>
              <w:rPr>
                <w:color w:val="15272F" w:themeColor="text1"/>
                <w:sz w:val="16"/>
                <w:szCs w:val="16"/>
              </w:rPr>
              <w:t>We</w:t>
            </w:r>
            <w:r w:rsidRPr="007F7E0F">
              <w:rPr>
                <w:color w:val="15272F" w:themeColor="text1"/>
                <w:sz w:val="16"/>
                <w:szCs w:val="16"/>
              </w:rPr>
              <w:t xml:space="preserve"> continue to publish products for the ICD-10-AM/ACHI/ACS and AR-DRG classifications that are sold internationally.</w:t>
            </w:r>
          </w:p>
        </w:tc>
      </w:tr>
      <w:tr w:rsidR="00EB0D85" w:rsidRPr="00E214FE" w14:paraId="30892195" w14:textId="77777777" w:rsidTr="00ED2732">
        <w:trPr>
          <w:cnfStyle w:val="000000100000" w:firstRow="0" w:lastRow="0" w:firstColumn="0" w:lastColumn="0" w:oddVBand="0" w:evenVBand="0" w:oddHBand="1" w:evenHBand="0" w:firstRowFirstColumn="0" w:firstRowLastColumn="0" w:lastRowFirstColumn="0" w:lastRowLastColumn="0"/>
          <w:cantSplit/>
          <w:trHeight w:val="113"/>
        </w:trPr>
        <w:tc>
          <w:tcPr>
            <w:tcW w:w="3125" w:type="dxa"/>
          </w:tcPr>
          <w:p w14:paraId="7AE434EC" w14:textId="77777777" w:rsidR="00EB0D85" w:rsidRPr="007F7E0F" w:rsidRDefault="00EB0D85" w:rsidP="00ED2732">
            <w:pPr>
              <w:pStyle w:val="Financialbodyleft"/>
              <w:numPr>
                <w:ilvl w:val="0"/>
                <w:numId w:val="18"/>
              </w:numPr>
              <w:spacing w:before="60" w:after="60" w:line="288" w:lineRule="auto"/>
              <w:ind w:left="230" w:hanging="284"/>
              <w:rPr>
                <w:rFonts w:ascii="Arial" w:hAnsi="Arial" w:cs="Arial"/>
                <w:sz w:val="16"/>
                <w:szCs w:val="16"/>
                <w:lang w:val="en-AU"/>
              </w:rPr>
            </w:pPr>
            <w:r w:rsidRPr="00D74510">
              <w:rPr>
                <w:rFonts w:ascii="Arial" w:hAnsi="Arial" w:cs="Arial"/>
                <w:sz w:val="16"/>
                <w:szCs w:val="16"/>
                <w:lang w:val="en-AU"/>
              </w:rPr>
              <w:t>Make recommendations on refinements to the AN-ACC</w:t>
            </w:r>
            <w:r w:rsidRPr="007F7E0F">
              <w:rPr>
                <w:rFonts w:ascii="Arial" w:hAnsi="Arial" w:cs="Arial"/>
                <w:sz w:val="16"/>
                <w:szCs w:val="16"/>
              </w:rPr>
              <w:t>.</w:t>
            </w:r>
          </w:p>
        </w:tc>
        <w:tc>
          <w:tcPr>
            <w:tcW w:w="1275" w:type="dxa"/>
          </w:tcPr>
          <w:p w14:paraId="1FCF2ED5"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991" w:type="dxa"/>
          </w:tcPr>
          <w:p w14:paraId="6A4466D6" w14:textId="77777777" w:rsidR="00EB0D85" w:rsidRPr="007F7E0F" w:rsidRDefault="00EB0D85" w:rsidP="00ED2732">
            <w:pPr>
              <w:pStyle w:val="TableParagraph"/>
              <w:framePr w:wrap="around"/>
              <w:spacing w:line="288" w:lineRule="auto"/>
              <w:jc w:val="left"/>
              <w:rPr>
                <w:color w:val="15272F" w:themeColor="text1"/>
                <w:sz w:val="16"/>
                <w:szCs w:val="16"/>
              </w:rPr>
            </w:pPr>
            <w:r w:rsidRPr="007F7E0F">
              <w:rPr>
                <w:color w:val="15272F" w:themeColor="text1"/>
                <w:sz w:val="16"/>
                <w:szCs w:val="16"/>
              </w:rPr>
              <w:t>Ongoing</w:t>
            </w:r>
          </w:p>
        </w:tc>
        <w:tc>
          <w:tcPr>
            <w:tcW w:w="4540" w:type="dxa"/>
            <w:gridSpan w:val="2"/>
          </w:tcPr>
          <w:p w14:paraId="5D2A0831" w14:textId="77777777" w:rsidR="00EB0D85" w:rsidRPr="007F7E0F" w:rsidRDefault="00EB0D85" w:rsidP="00ED2732">
            <w:pPr>
              <w:pStyle w:val="TableParagraph"/>
              <w:framePr w:wrap="around"/>
              <w:spacing w:line="288" w:lineRule="auto"/>
              <w:jc w:val="left"/>
              <w:rPr>
                <w:color w:val="15272F" w:themeColor="text1"/>
                <w:sz w:val="16"/>
                <w:szCs w:val="16"/>
              </w:rPr>
            </w:pPr>
            <w:r>
              <w:rPr>
                <w:color w:val="15272F" w:themeColor="text1"/>
                <w:sz w:val="16"/>
                <w:szCs w:val="16"/>
              </w:rPr>
              <w:t>We</w:t>
            </w:r>
            <w:r w:rsidRPr="007F7E0F">
              <w:rPr>
                <w:color w:val="15272F" w:themeColor="text1"/>
                <w:sz w:val="16"/>
                <w:szCs w:val="16"/>
              </w:rPr>
              <w:t xml:space="preserve"> will </w:t>
            </w:r>
            <w:r>
              <w:rPr>
                <w:color w:val="15272F" w:themeColor="text1"/>
                <w:sz w:val="16"/>
                <w:szCs w:val="16"/>
              </w:rPr>
              <w:t xml:space="preserve">continue to </w:t>
            </w:r>
            <w:r w:rsidRPr="007F7E0F">
              <w:rPr>
                <w:color w:val="15272F" w:themeColor="text1"/>
                <w:sz w:val="16"/>
                <w:szCs w:val="16"/>
              </w:rPr>
              <w:t xml:space="preserve">provide advice to </w:t>
            </w:r>
            <w:r>
              <w:rPr>
                <w:color w:val="15272F" w:themeColor="text1"/>
                <w:sz w:val="16"/>
                <w:szCs w:val="16"/>
              </w:rPr>
              <w:t>g</w:t>
            </w:r>
            <w:r w:rsidRPr="007F7E0F">
              <w:rPr>
                <w:color w:val="15272F" w:themeColor="text1"/>
                <w:sz w:val="16"/>
                <w:szCs w:val="16"/>
              </w:rPr>
              <w:t>overnment on recommended refinements to the classification</w:t>
            </w:r>
            <w:r>
              <w:rPr>
                <w:color w:val="15272F" w:themeColor="text1"/>
                <w:sz w:val="16"/>
                <w:szCs w:val="16"/>
              </w:rPr>
              <w:t>. We will do this</w:t>
            </w:r>
            <w:r w:rsidRPr="007F7E0F">
              <w:rPr>
                <w:color w:val="15272F" w:themeColor="text1"/>
                <w:sz w:val="16"/>
                <w:szCs w:val="16"/>
              </w:rPr>
              <w:t xml:space="preserve"> in consultation with </w:t>
            </w:r>
            <w:r>
              <w:rPr>
                <w:color w:val="15272F" w:themeColor="text1"/>
                <w:sz w:val="16"/>
                <w:szCs w:val="16"/>
              </w:rPr>
              <w:t>our</w:t>
            </w:r>
            <w:r w:rsidRPr="007F7E0F">
              <w:rPr>
                <w:color w:val="15272F" w:themeColor="text1"/>
                <w:sz w:val="16"/>
                <w:szCs w:val="16"/>
              </w:rPr>
              <w:t xml:space="preserve"> advisory committees and working groups, where requested. </w:t>
            </w:r>
          </w:p>
        </w:tc>
      </w:tr>
    </w:tbl>
    <w:p w14:paraId="17DA2C8B" w14:textId="77777777" w:rsidR="00EB0D85" w:rsidRDefault="00EB0D85" w:rsidP="00EB0D85"/>
    <w:p w14:paraId="27EB9B0D" w14:textId="77777777" w:rsidR="00EB0D85" w:rsidRDefault="00EB0D85" w:rsidP="00EB0D85"/>
    <w:p w14:paraId="14A8114D" w14:textId="77777777" w:rsidR="00EB0D85" w:rsidRDefault="00EB0D85" w:rsidP="00EB0D85"/>
    <w:p w14:paraId="0EAC66B5" w14:textId="77777777" w:rsidR="00EB0D85" w:rsidRDefault="00EB0D85" w:rsidP="00EB0D85"/>
    <w:p w14:paraId="1D468983" w14:textId="77777777" w:rsidR="00EB0D85" w:rsidRDefault="00EB0D85" w:rsidP="00EB0D85"/>
    <w:p w14:paraId="08B0B2D3" w14:textId="77777777" w:rsidR="00EB0D85" w:rsidRDefault="00EB0D85" w:rsidP="00EB0D85"/>
    <w:p w14:paraId="2520D145" w14:textId="77777777" w:rsidR="00EB0D85" w:rsidRDefault="00EB0D85" w:rsidP="00EB0D85"/>
    <w:p w14:paraId="06ECD5EB" w14:textId="77777777" w:rsidR="00EB0D85" w:rsidRDefault="00EB0D85" w:rsidP="00EB0D85"/>
    <w:p w14:paraId="46D759A2" w14:textId="77777777" w:rsidR="00EB0D85" w:rsidRDefault="00EB0D85" w:rsidP="00EB0D85"/>
    <w:p w14:paraId="4E967DB5" w14:textId="77777777" w:rsidR="00EB0D85" w:rsidRDefault="00EB0D85" w:rsidP="00EB0D85"/>
    <w:p w14:paraId="7E616B22" w14:textId="77777777" w:rsidR="00EB0D85" w:rsidRDefault="00EB0D85" w:rsidP="00EB0D85"/>
    <w:p w14:paraId="7A57E425" w14:textId="77777777" w:rsidR="00EB0D85" w:rsidRDefault="00EB0D85" w:rsidP="00EB0D85"/>
    <w:p w14:paraId="18D855C2" w14:textId="77777777" w:rsidR="00EB0D85" w:rsidRDefault="00EB0D85" w:rsidP="00EB0D85"/>
    <w:p w14:paraId="3E5E9FC2" w14:textId="77777777" w:rsidR="00EB0D85" w:rsidRDefault="00EB0D85" w:rsidP="00EB0D85"/>
    <w:p w14:paraId="4F23BCBA" w14:textId="77777777" w:rsidR="00EB0D85" w:rsidRDefault="00EB0D85" w:rsidP="00EB0D85"/>
    <w:p w14:paraId="290C10F3" w14:textId="77777777" w:rsidR="00EB0D85" w:rsidRDefault="00EB0D85" w:rsidP="00EB0D85"/>
    <w:p w14:paraId="4EF30AE6" w14:textId="77777777" w:rsidR="00EB0D85" w:rsidRDefault="00EB0D85" w:rsidP="00EB0D85"/>
    <w:p w14:paraId="5CF6047A" w14:textId="77777777" w:rsidR="00EB0D85" w:rsidRDefault="00EB0D85" w:rsidP="00EB0D85"/>
    <w:p w14:paraId="65169DE0" w14:textId="77777777" w:rsidR="00EB0D85" w:rsidRDefault="00EB0D85" w:rsidP="00EB0D85"/>
    <w:p w14:paraId="2FB3873F" w14:textId="77777777" w:rsidR="00EB0D85" w:rsidRDefault="00EB0D85" w:rsidP="00EB0D85"/>
    <w:p w14:paraId="155852CE" w14:textId="77777777" w:rsidR="00EB0D85" w:rsidRDefault="00EB0D85" w:rsidP="00EB0D85"/>
    <w:p w14:paraId="77091429" w14:textId="77777777" w:rsidR="00EB0D85" w:rsidRDefault="00EB0D85" w:rsidP="00EB0D85">
      <w:pPr>
        <w:pStyle w:val="Heading1"/>
      </w:pPr>
      <w:bookmarkStart w:id="806" w:name="_Toc233022328"/>
      <w:bookmarkStart w:id="807" w:name="_Toc233023090"/>
      <w:bookmarkStart w:id="808" w:name="_Toc233023418"/>
      <w:bookmarkStart w:id="809" w:name="_Toc233028735"/>
      <w:bookmarkStart w:id="810" w:name="_Toc233028918"/>
      <w:bookmarkStart w:id="811" w:name="_Toc235787473"/>
      <w:bookmarkStart w:id="812" w:name="_Toc235791611"/>
      <w:bookmarkStart w:id="813" w:name="_Toc237872714"/>
      <w:r>
        <w:lastRenderedPageBreak/>
        <w:t>4.5</w:t>
      </w:r>
      <w:r>
        <w:tab/>
        <w:t>Strategic objective three: Refine and improve hospital and aged care costing</w:t>
      </w:r>
      <w:bookmarkEnd w:id="806"/>
      <w:bookmarkEnd w:id="807"/>
      <w:bookmarkEnd w:id="808"/>
      <w:bookmarkEnd w:id="809"/>
      <w:bookmarkEnd w:id="810"/>
      <w:bookmarkEnd w:id="811"/>
      <w:bookmarkEnd w:id="812"/>
      <w:bookmarkEnd w:id="813"/>
      <w:r>
        <w:t xml:space="preserve"> </w:t>
      </w:r>
    </w:p>
    <w:p w14:paraId="32576FC4" w14:textId="77777777" w:rsidR="00EB0D85" w:rsidRDefault="00EB0D85" w:rsidP="00EB0D85">
      <w:r w:rsidRPr="00BB66A9">
        <w:t>Costing focuses on the cost and mix of resources used to deliver care and plays a vital role in benchmarking, classification and price development.</w:t>
      </w:r>
    </w:p>
    <w:p w14:paraId="5F678A3E" w14:textId="77777777" w:rsidR="00EB0D85" w:rsidRPr="00DE71B1" w:rsidRDefault="00EB0D85" w:rsidP="00EB0D85">
      <w:pPr>
        <w:pStyle w:val="Heading2"/>
      </w:pPr>
      <w:bookmarkStart w:id="814" w:name="_Toc233021842"/>
      <w:bookmarkStart w:id="815" w:name="_Toc233022329"/>
      <w:bookmarkStart w:id="816" w:name="_Toc233023091"/>
      <w:bookmarkStart w:id="817" w:name="_Toc233023419"/>
      <w:bookmarkStart w:id="818" w:name="_Toc233023560"/>
      <w:bookmarkStart w:id="819" w:name="_Toc233028736"/>
      <w:bookmarkStart w:id="820" w:name="_Toc233028919"/>
      <w:bookmarkStart w:id="821" w:name="_Toc235786143"/>
      <w:bookmarkStart w:id="822" w:name="_Toc235787474"/>
      <w:bookmarkStart w:id="823" w:name="_Toc235791612"/>
      <w:bookmarkStart w:id="824" w:name="_Toc237872715"/>
      <w:r w:rsidRPr="00DE71B1">
        <w:t>Public hospital services</w:t>
      </w:r>
      <w:bookmarkEnd w:id="814"/>
      <w:bookmarkEnd w:id="815"/>
      <w:bookmarkEnd w:id="816"/>
      <w:bookmarkEnd w:id="817"/>
      <w:bookmarkEnd w:id="818"/>
      <w:bookmarkEnd w:id="819"/>
      <w:bookmarkEnd w:id="820"/>
      <w:bookmarkEnd w:id="821"/>
      <w:bookmarkEnd w:id="822"/>
      <w:bookmarkEnd w:id="823"/>
      <w:bookmarkEnd w:id="824"/>
    </w:p>
    <w:p w14:paraId="222F56C6" w14:textId="77777777" w:rsidR="00EB0D85" w:rsidRDefault="00EB0D85" w:rsidP="00EB0D85">
      <w:r>
        <w:t xml:space="preserve">A key component for IHACPA is to coordinate the annual National Hospital Cost Data Collection (NHCDC). NHCDC plays a vital role in ABF as one of the primary inputs into the determination of the NEP. It also informs the development and refinement of ABF classification systems. </w:t>
      </w:r>
    </w:p>
    <w:p w14:paraId="0D20B323" w14:textId="77777777" w:rsidR="00EB0D85" w:rsidRDefault="00EB0D85" w:rsidP="00EB0D85">
      <w:r>
        <w:t>To support a consistent and robust NHCDC, we have developed the Australian Hospital Patient Costing Standards (AHPCS), which provide nationally standardised guidance for hospital costing. We continue to refine these standards to support the accurate allocation of in-scope costs to hospital activity and reflect resource utilisation</w:t>
      </w:r>
      <w:r w:rsidRPr="00853616">
        <w:t xml:space="preserve"> </w:t>
      </w:r>
      <w:r>
        <w:t xml:space="preserve">appropriately. </w:t>
      </w:r>
    </w:p>
    <w:p w14:paraId="3A850AF3" w14:textId="77777777" w:rsidR="00EB0D85" w:rsidRDefault="00EB0D85" w:rsidP="00EB0D85">
      <w:r w:rsidRPr="00BB66A9">
        <w:t xml:space="preserve">In January 2026, the </w:t>
      </w:r>
      <w:r w:rsidRPr="00AD6EE1">
        <w:t>2023–24</w:t>
      </w:r>
      <w:r w:rsidRPr="00BB66A9">
        <w:t xml:space="preserve"> Independent Financial Review of the </w:t>
      </w:r>
      <w:r w:rsidRPr="000102B3">
        <w:t>NHCDC</w:t>
      </w:r>
      <w:r w:rsidRPr="00BB66A9">
        <w:t xml:space="preserve"> was published on </w:t>
      </w:r>
      <w:r>
        <w:t>our</w:t>
      </w:r>
      <w:r w:rsidRPr="00BB66A9">
        <w:t xml:space="preserve"> website. This covers a review of costing processes and the reconciliation between financial and costing systems</w:t>
      </w:r>
      <w:r>
        <w:t>. It also covers</w:t>
      </w:r>
      <w:r w:rsidRPr="00BB66A9">
        <w:t xml:space="preserve"> assessment of the consistency between jurisdictions in the application of</w:t>
      </w:r>
      <w:r>
        <w:t xml:space="preserve"> the AHPCS version 4.2. </w:t>
      </w:r>
      <w:r w:rsidRPr="00BB66A9">
        <w:t>For the 2023–24 review, the focus was on costing methodologies and processes within Intensive Care Units (ICUs)/Critical Care Services</w:t>
      </w:r>
      <w:r>
        <w:t>. The review also sought</w:t>
      </w:r>
      <w:r w:rsidRPr="00BB66A9">
        <w:t xml:space="preserve"> to understand the allocation methods used nationally and identify variations in costs to inform ongoing work into the suitability of ICU pricing adjustments in the NEP.</w:t>
      </w:r>
    </w:p>
    <w:p w14:paraId="1D01DFD3" w14:textId="77777777" w:rsidR="00EB0D85" w:rsidRDefault="00EB0D85" w:rsidP="00EB0D85">
      <w:r>
        <w:t xml:space="preserve">In June 2026, the </w:t>
      </w:r>
      <w:r w:rsidRPr="000102B3">
        <w:t>NHCDC</w:t>
      </w:r>
      <w:r>
        <w:t xml:space="preserve"> Public Sector Report 2023–24 was published on our website. The report presents an overview of hospital cost and activity data, including analysis of trends, cost drivers and nationally consistent cost weights by activity stream. </w:t>
      </w:r>
    </w:p>
    <w:p w14:paraId="6BF4696E" w14:textId="77777777" w:rsidR="00EB0D85" w:rsidRPr="00DE71B1" w:rsidRDefault="00EB0D85" w:rsidP="00EB0D85">
      <w:pPr>
        <w:pStyle w:val="Heading2"/>
      </w:pPr>
      <w:bookmarkStart w:id="825" w:name="_Toc233021843"/>
      <w:bookmarkStart w:id="826" w:name="_Toc233022330"/>
      <w:bookmarkStart w:id="827" w:name="_Toc233023092"/>
      <w:bookmarkStart w:id="828" w:name="_Toc233023420"/>
      <w:bookmarkStart w:id="829" w:name="_Toc233023561"/>
      <w:bookmarkStart w:id="830" w:name="_Toc233028737"/>
      <w:bookmarkStart w:id="831" w:name="_Toc233028920"/>
      <w:bookmarkStart w:id="832" w:name="_Toc235786144"/>
      <w:bookmarkStart w:id="833" w:name="_Toc235787475"/>
      <w:bookmarkStart w:id="834" w:name="_Toc235791613"/>
      <w:bookmarkStart w:id="835" w:name="_Toc237872716"/>
      <w:r w:rsidRPr="00DE71B1">
        <w:t>Aged care services</w:t>
      </w:r>
      <w:bookmarkEnd w:id="825"/>
      <w:bookmarkEnd w:id="826"/>
      <w:bookmarkEnd w:id="827"/>
      <w:bookmarkEnd w:id="828"/>
      <w:bookmarkEnd w:id="829"/>
      <w:bookmarkEnd w:id="830"/>
      <w:bookmarkEnd w:id="831"/>
      <w:bookmarkEnd w:id="832"/>
      <w:bookmarkEnd w:id="833"/>
      <w:bookmarkEnd w:id="834"/>
      <w:bookmarkEnd w:id="835"/>
    </w:p>
    <w:p w14:paraId="1A7DA19E" w14:textId="77777777" w:rsidR="00EB0D85" w:rsidRPr="00BB66A9" w:rsidRDefault="00EB0D85" w:rsidP="00EB0D85">
      <w:r>
        <w:t>We</w:t>
      </w:r>
      <w:r w:rsidRPr="00BB66A9">
        <w:t xml:space="preserve"> conduct regular cost collections to underpin the evidence base we use in delivering residential and Support at Home pricing advice to </w:t>
      </w:r>
      <w:r>
        <w:t>g</w:t>
      </w:r>
      <w:r w:rsidRPr="00BB66A9">
        <w:t xml:space="preserve">overnment. </w:t>
      </w:r>
    </w:p>
    <w:p w14:paraId="60ADD93A" w14:textId="77777777" w:rsidR="00EB0D85" w:rsidRDefault="00EB0D85" w:rsidP="00EB0D85"/>
    <w:p w14:paraId="08737412" w14:textId="77777777" w:rsidR="00EB0D85" w:rsidRDefault="00EB0D85" w:rsidP="00EB0D85">
      <w:pPr>
        <w:pStyle w:val="Heading3"/>
      </w:pPr>
      <w:bookmarkStart w:id="836" w:name="_Toc233022331"/>
      <w:bookmarkStart w:id="837" w:name="_Toc233023093"/>
      <w:bookmarkStart w:id="838" w:name="_Toc233023421"/>
      <w:bookmarkStart w:id="839" w:name="_Toc233023562"/>
      <w:bookmarkStart w:id="840" w:name="_Toc233028738"/>
      <w:bookmarkStart w:id="841" w:name="_Toc233028921"/>
      <w:bookmarkStart w:id="842" w:name="_Toc235786145"/>
      <w:bookmarkStart w:id="843" w:name="_Toc235787476"/>
      <w:bookmarkStart w:id="844" w:name="_Toc235791614"/>
      <w:bookmarkStart w:id="845" w:name="_Toc237872717"/>
      <w:r>
        <w:lastRenderedPageBreak/>
        <w:t>The Australian Aged Care Costing Standards</w:t>
      </w:r>
      <w:bookmarkEnd w:id="836"/>
      <w:bookmarkEnd w:id="837"/>
      <w:bookmarkEnd w:id="838"/>
      <w:bookmarkEnd w:id="839"/>
      <w:bookmarkEnd w:id="840"/>
      <w:bookmarkEnd w:id="841"/>
      <w:bookmarkEnd w:id="842"/>
      <w:bookmarkEnd w:id="843"/>
      <w:bookmarkEnd w:id="844"/>
      <w:bookmarkEnd w:id="845"/>
      <w:r>
        <w:t xml:space="preserve"> </w:t>
      </w:r>
    </w:p>
    <w:p w14:paraId="50387C87" w14:textId="77777777" w:rsidR="00EB0D85" w:rsidRDefault="00EB0D85" w:rsidP="00EB0D85">
      <w:r>
        <w:t xml:space="preserve">We continue to develop costing standards that describe consistent and best practice allocation of costs to aged care residents and participants. These costing standards will be developed for both the residential and Support at Home aged care collections. </w:t>
      </w:r>
    </w:p>
    <w:p w14:paraId="220E2468" w14:textId="77777777" w:rsidR="00EB0D85" w:rsidRPr="00DE71B1" w:rsidRDefault="00EB0D85" w:rsidP="00EB0D85">
      <w:pPr>
        <w:pStyle w:val="Heading3"/>
      </w:pPr>
      <w:bookmarkStart w:id="846" w:name="_Toc233022332"/>
      <w:bookmarkStart w:id="847" w:name="_Toc233023094"/>
      <w:bookmarkStart w:id="848" w:name="_Toc233023422"/>
      <w:bookmarkStart w:id="849" w:name="_Toc233023563"/>
      <w:bookmarkStart w:id="850" w:name="_Toc233028739"/>
      <w:bookmarkStart w:id="851" w:name="_Toc233028922"/>
      <w:bookmarkStart w:id="852" w:name="_Toc235786146"/>
      <w:bookmarkStart w:id="853" w:name="_Toc235787477"/>
      <w:bookmarkStart w:id="854" w:name="_Toc235791615"/>
      <w:bookmarkStart w:id="855" w:name="_Toc237872718"/>
      <w:r w:rsidRPr="00DE71B1">
        <w:t>Residential aged care cost collection</w:t>
      </w:r>
      <w:bookmarkEnd w:id="846"/>
      <w:bookmarkEnd w:id="847"/>
      <w:bookmarkEnd w:id="848"/>
      <w:bookmarkEnd w:id="849"/>
      <w:bookmarkEnd w:id="850"/>
      <w:bookmarkEnd w:id="851"/>
      <w:bookmarkEnd w:id="852"/>
      <w:bookmarkEnd w:id="853"/>
      <w:bookmarkEnd w:id="854"/>
      <w:bookmarkEnd w:id="855"/>
    </w:p>
    <w:p w14:paraId="139769B3" w14:textId="77777777" w:rsidR="00EB0D85" w:rsidRPr="00BB66A9" w:rsidRDefault="00EB0D85" w:rsidP="00EB0D85">
      <w:r>
        <w:t>We</w:t>
      </w:r>
      <w:r w:rsidRPr="00BB66A9">
        <w:t xml:space="preserve"> collect data from residential aged care services to support evidence</w:t>
      </w:r>
      <w:r>
        <w:t>-</w:t>
      </w:r>
      <w:r w:rsidRPr="00BB66A9">
        <w:t>based pricing advice</w:t>
      </w:r>
      <w:r>
        <w:t xml:space="preserve">. This </w:t>
      </w:r>
      <w:r w:rsidRPr="00BB66A9">
        <w:t>helps us understand the costs and activity involved in residential care and supports future AN-ACC pricing and classification refinement advice. Cost collections are a resident</w:t>
      </w:r>
      <w:r>
        <w:t>-</w:t>
      </w:r>
      <w:r w:rsidRPr="00BB66A9">
        <w:t xml:space="preserve">level study of care delivery in </w:t>
      </w:r>
      <w:r>
        <w:t>providing</w:t>
      </w:r>
      <w:r w:rsidRPr="00BB66A9">
        <w:t xml:space="preserve"> residential </w:t>
      </w:r>
      <w:r>
        <w:t>services. This helps</w:t>
      </w:r>
      <w:r w:rsidRPr="00BB66A9">
        <w:t xml:space="preserve"> ensur</w:t>
      </w:r>
      <w:r>
        <w:t>e</w:t>
      </w:r>
      <w:r w:rsidRPr="00BB66A9">
        <w:t xml:space="preserve"> our advice </w:t>
      </w:r>
      <w:r>
        <w:t>reflects</w:t>
      </w:r>
      <w:r w:rsidRPr="00BB66A9">
        <w:t xml:space="preserve"> the variation of care requirements and sector costs. </w:t>
      </w:r>
    </w:p>
    <w:p w14:paraId="32BEA92E" w14:textId="77777777" w:rsidR="00EB0D85" w:rsidRDefault="00EB0D85" w:rsidP="00EB0D85">
      <w:r>
        <w:t xml:space="preserve">The Residential Aged Care Cost Collection 2024–25 involved collecting cost and activity data across 199 residential aged care homes. The report provides a robust costed dataset to inform IHACPA’s Residential Aged Care Pricing Advice 2026–27. </w:t>
      </w:r>
    </w:p>
    <w:p w14:paraId="576D298B" w14:textId="77777777" w:rsidR="00EB0D85" w:rsidRPr="00DE71B1" w:rsidRDefault="00EB0D85" w:rsidP="00EB0D85">
      <w:pPr>
        <w:pStyle w:val="Heading3"/>
      </w:pPr>
      <w:bookmarkStart w:id="856" w:name="_Toc233022333"/>
      <w:bookmarkStart w:id="857" w:name="_Toc233023095"/>
      <w:bookmarkStart w:id="858" w:name="_Toc233023423"/>
      <w:bookmarkStart w:id="859" w:name="_Toc233023564"/>
      <w:bookmarkStart w:id="860" w:name="_Toc233028740"/>
      <w:bookmarkStart w:id="861" w:name="_Toc233028923"/>
      <w:bookmarkStart w:id="862" w:name="_Toc235786147"/>
      <w:bookmarkStart w:id="863" w:name="_Toc235787478"/>
      <w:bookmarkStart w:id="864" w:name="_Toc235791616"/>
      <w:bookmarkStart w:id="865" w:name="_Toc237872719"/>
      <w:r w:rsidRPr="00DE71B1">
        <w:t>Support at Home cost collection</w:t>
      </w:r>
      <w:bookmarkEnd w:id="856"/>
      <w:bookmarkEnd w:id="857"/>
      <w:bookmarkEnd w:id="858"/>
      <w:bookmarkEnd w:id="859"/>
      <w:bookmarkEnd w:id="860"/>
      <w:bookmarkEnd w:id="861"/>
      <w:bookmarkEnd w:id="862"/>
      <w:bookmarkEnd w:id="863"/>
      <w:bookmarkEnd w:id="864"/>
      <w:bookmarkEnd w:id="865"/>
    </w:p>
    <w:p w14:paraId="11DF9F8D" w14:textId="77777777" w:rsidR="00EB0D85" w:rsidRPr="006C0D2F" w:rsidRDefault="00EB0D85" w:rsidP="00EB0D85">
      <w:r>
        <w:t xml:space="preserve">We conduct regular cost collections for the Support at Home program. The results and findings from the cost collection form one of the key data sets that underpin our </w:t>
      </w:r>
      <w:r w:rsidRPr="006C0D2F">
        <w:t>pricing advice and</w:t>
      </w:r>
      <w:r>
        <w:t xml:space="preserve"> </w:t>
      </w:r>
      <w:r w:rsidRPr="006C0D2F">
        <w:t xml:space="preserve">support future costing studies. Based on government guidelines, </w:t>
      </w:r>
      <w:r>
        <w:t xml:space="preserve">we have </w:t>
      </w:r>
      <w:r w:rsidRPr="006C0D2F">
        <w:t>only collected data for Home Care Packages (HCP) and Short-Term Restorative Care (STRC)</w:t>
      </w:r>
      <w:r>
        <w:t xml:space="preserve"> </w:t>
      </w:r>
      <w:r w:rsidRPr="006C0D2F">
        <w:t xml:space="preserve">programs. The Commonwealth Home Support Program will be considered in future collections. </w:t>
      </w:r>
    </w:p>
    <w:p w14:paraId="4AF8A6D5" w14:textId="77777777" w:rsidR="00EB0D85" w:rsidRPr="006C0D2F" w:rsidRDefault="00EB0D85" w:rsidP="00EB0D85">
      <w:r w:rsidRPr="006C0D2F">
        <w:t xml:space="preserve">The Support at Home Cost Collection 2025 focused on capturing 2023–24 branch level cost and activity data across </w:t>
      </w:r>
      <w:r w:rsidRPr="0074055A">
        <w:t>HCP</w:t>
      </w:r>
      <w:r w:rsidRPr="0074055A" w:rsidDel="0074055A">
        <w:t xml:space="preserve"> </w:t>
      </w:r>
      <w:r w:rsidRPr="006C0D2F">
        <w:t xml:space="preserve">and </w:t>
      </w:r>
      <w:r w:rsidRPr="0074055A">
        <w:t>STRC</w:t>
      </w:r>
      <w:r w:rsidRPr="0074055A" w:rsidDel="0074055A">
        <w:t xml:space="preserve"> </w:t>
      </w:r>
      <w:r w:rsidRPr="006C0D2F">
        <w:t xml:space="preserve">to produce a robust costed dataset and associated materials </w:t>
      </w:r>
      <w:r>
        <w:t>on</w:t>
      </w:r>
      <w:r w:rsidRPr="006C0D2F">
        <w:t xml:space="preserve"> the Support at Home program. Data was collected from 135 operational service branches across 40 providers, covering 35,636 clients. Analysis of total costs and activity by </w:t>
      </w:r>
      <w:r w:rsidRPr="004B4BD1">
        <w:t>Support at Home</w:t>
      </w:r>
      <w:r w:rsidRPr="006C0D2F">
        <w:t xml:space="preserve"> service type showed that more than 70% of both reported costs and activity units were attributed to personal care, care management and domestic assistance. </w:t>
      </w:r>
    </w:p>
    <w:p w14:paraId="40252593" w14:textId="77777777" w:rsidR="00EB0D85" w:rsidRPr="006C0D2F" w:rsidRDefault="00EB0D85" w:rsidP="00EB0D85">
      <w:r w:rsidRPr="006C0D2F">
        <w:t xml:space="preserve">This is the third year </w:t>
      </w:r>
      <w:r>
        <w:t>we have</w:t>
      </w:r>
      <w:r w:rsidRPr="006C0D2F">
        <w:t xml:space="preserve"> undertaken a cost collection for Support at Home services. The </w:t>
      </w:r>
      <w:r>
        <w:t>cost collection</w:t>
      </w:r>
      <w:r w:rsidRPr="006C0D2F">
        <w:t xml:space="preserve"> builds on the work </w:t>
      </w:r>
      <w:r>
        <w:t>of</w:t>
      </w:r>
      <w:r w:rsidRPr="006C0D2F">
        <w:t xml:space="preserve"> previous years and strengthens the evidence base for developing accurate pricing guidance for in-home aged care, based on actual service delivery costs. </w:t>
      </w:r>
    </w:p>
    <w:p w14:paraId="6C1F5D54" w14:textId="77777777" w:rsidR="00EB0D85" w:rsidRPr="0050756D" w:rsidRDefault="00EB0D85" w:rsidP="00EB0D85">
      <w:pPr>
        <w:pStyle w:val="Heading2"/>
      </w:pPr>
      <w:bookmarkStart w:id="866" w:name="_Toc233021844"/>
      <w:bookmarkStart w:id="867" w:name="_Toc233022334"/>
      <w:bookmarkStart w:id="868" w:name="_Toc233023096"/>
      <w:bookmarkStart w:id="869" w:name="_Toc233023424"/>
      <w:bookmarkStart w:id="870" w:name="_Toc233023565"/>
      <w:bookmarkStart w:id="871" w:name="_Toc233028741"/>
      <w:bookmarkStart w:id="872" w:name="_Toc233028924"/>
      <w:bookmarkStart w:id="873" w:name="_Toc235786148"/>
      <w:bookmarkStart w:id="874" w:name="_Toc235787479"/>
      <w:bookmarkStart w:id="875" w:name="_Toc235791617"/>
      <w:bookmarkStart w:id="876" w:name="_Toc237872720"/>
      <w:r w:rsidRPr="0050756D">
        <w:t>Results</w:t>
      </w:r>
      <w:bookmarkEnd w:id="866"/>
      <w:bookmarkEnd w:id="867"/>
      <w:bookmarkEnd w:id="868"/>
      <w:bookmarkEnd w:id="869"/>
      <w:bookmarkEnd w:id="870"/>
      <w:bookmarkEnd w:id="871"/>
      <w:bookmarkEnd w:id="872"/>
      <w:bookmarkEnd w:id="873"/>
      <w:bookmarkEnd w:id="874"/>
      <w:bookmarkEnd w:id="875"/>
      <w:bookmarkEnd w:id="876"/>
    </w:p>
    <w:p w14:paraId="0A4C530F" w14:textId="77777777" w:rsidR="00EB0D85" w:rsidRPr="0050756D" w:rsidRDefault="00EB0D85" w:rsidP="00EB0D85">
      <w:bookmarkStart w:id="877" w:name="_Toc148025821"/>
      <w:r w:rsidRPr="0050756D">
        <w:t xml:space="preserve">The reporting of key activities in this annual report refers to the deliverables of </w:t>
      </w:r>
      <w:r>
        <w:t>s</w:t>
      </w:r>
      <w:r w:rsidRPr="0050756D">
        <w:t>trategic </w:t>
      </w:r>
      <w:r>
        <w:t>o</w:t>
      </w:r>
      <w:r w:rsidRPr="0050756D">
        <w:t xml:space="preserve">bjective </w:t>
      </w:r>
      <w:r>
        <w:t>t</w:t>
      </w:r>
      <w:r w:rsidRPr="0050756D">
        <w:t>hree: Refine and improve hospital and aged care costing in the IHACPA Work Program and Corporate Plan 2025–26 and Section 1.1 of the Portfolio Budget Statements</w:t>
      </w:r>
      <w:bookmarkEnd w:id="877"/>
      <w:r>
        <w:t xml:space="preserve"> </w:t>
      </w:r>
      <w:r w:rsidRPr="0050756D">
        <w:t xml:space="preserve">2025–26. A summary of each deliverable and the analysis of our performance against the deliverables is outlined in </w:t>
      </w:r>
      <w:r w:rsidRPr="002A2FA4">
        <w:rPr>
          <w:b/>
          <w:bCs/>
        </w:rPr>
        <w:t xml:space="preserve">Table </w:t>
      </w:r>
      <w:r>
        <w:rPr>
          <w:b/>
          <w:bCs/>
        </w:rPr>
        <w:t>10</w:t>
      </w:r>
      <w:r w:rsidRPr="002A2FA4">
        <w:rPr>
          <w:b/>
          <w:bCs/>
        </w:rPr>
        <w:t>.</w:t>
      </w:r>
    </w:p>
    <w:p w14:paraId="2D1B1D86" w14:textId="77777777" w:rsidR="00EB0D85" w:rsidRPr="00493021" w:rsidRDefault="00EB0D85" w:rsidP="00EB0D85">
      <w:pPr>
        <w:pStyle w:val="TableFigureheading"/>
        <w:rPr>
          <w:b/>
          <w:bCs/>
          <w:color w:val="15272F" w:themeColor="text1"/>
        </w:rPr>
      </w:pPr>
      <w:bookmarkStart w:id="878" w:name="_Toc233023566"/>
      <w:bookmarkStart w:id="879" w:name="_Toc233028742"/>
      <w:r w:rsidRPr="00493021">
        <w:rPr>
          <w:b/>
          <w:bCs/>
          <w:color w:val="15272F" w:themeColor="text1"/>
        </w:rPr>
        <w:lastRenderedPageBreak/>
        <w:t xml:space="preserve">Table </w:t>
      </w:r>
      <w:r>
        <w:rPr>
          <w:b/>
          <w:bCs/>
          <w:color w:val="15272F" w:themeColor="text1"/>
        </w:rPr>
        <w:t>10:</w:t>
      </w:r>
      <w:r w:rsidRPr="00493021">
        <w:rPr>
          <w:b/>
          <w:bCs/>
          <w:color w:val="15272F" w:themeColor="text1"/>
        </w:rPr>
        <w:t xml:space="preserve"> Summary of performance for </w:t>
      </w:r>
      <w:r>
        <w:rPr>
          <w:b/>
          <w:bCs/>
          <w:color w:val="15272F" w:themeColor="text1"/>
        </w:rPr>
        <w:t>s</w:t>
      </w:r>
      <w:r w:rsidRPr="00493021">
        <w:rPr>
          <w:b/>
          <w:bCs/>
          <w:color w:val="15272F" w:themeColor="text1"/>
        </w:rPr>
        <w:t xml:space="preserve">trategic </w:t>
      </w:r>
      <w:r>
        <w:rPr>
          <w:b/>
          <w:bCs/>
          <w:color w:val="15272F" w:themeColor="text1"/>
        </w:rPr>
        <w:t>o</w:t>
      </w:r>
      <w:r w:rsidRPr="00493021">
        <w:rPr>
          <w:b/>
          <w:bCs/>
          <w:color w:val="15272F" w:themeColor="text1"/>
        </w:rPr>
        <w:t xml:space="preserve">bjective </w:t>
      </w:r>
      <w:r>
        <w:rPr>
          <w:b/>
          <w:bCs/>
          <w:color w:val="15272F" w:themeColor="text1"/>
        </w:rPr>
        <w:t>t</w:t>
      </w:r>
      <w:r w:rsidRPr="00493021">
        <w:rPr>
          <w:b/>
          <w:bCs/>
          <w:color w:val="15272F" w:themeColor="text1"/>
        </w:rPr>
        <w:t>hree:</w:t>
      </w:r>
      <w:r w:rsidRPr="00493021">
        <w:rPr>
          <w:rFonts w:eastAsiaTheme="minorHAnsi"/>
          <w:b/>
          <w:bCs/>
          <w:color w:val="15272F" w:themeColor="text1"/>
          <w:kern w:val="2"/>
          <w14:ligatures w14:val="standardContextual"/>
        </w:rPr>
        <w:t xml:space="preserve"> </w:t>
      </w:r>
      <w:r w:rsidRPr="00493021">
        <w:rPr>
          <w:b/>
          <w:bCs/>
          <w:color w:val="15272F" w:themeColor="text1"/>
        </w:rPr>
        <w:t>Refine and improve hospital and aged care costing in 2025–26</w:t>
      </w:r>
      <w:bookmarkEnd w:id="878"/>
      <w:bookmarkEnd w:id="879"/>
      <w:r>
        <w:rPr>
          <w:b/>
          <w:bCs/>
          <w:color w:val="15272F" w:themeColor="text1"/>
        </w:rPr>
        <w:t xml:space="preserve"> </w:t>
      </w:r>
    </w:p>
    <w:tbl>
      <w:tblPr>
        <w:tblStyle w:val="IHPATable"/>
        <w:tblW w:w="9781" w:type="dxa"/>
        <w:tblLayout w:type="fixed"/>
        <w:tblLook w:val="0020" w:firstRow="1" w:lastRow="0" w:firstColumn="0" w:lastColumn="0" w:noHBand="0" w:noVBand="0"/>
      </w:tblPr>
      <w:tblGrid>
        <w:gridCol w:w="2977"/>
        <w:gridCol w:w="1276"/>
        <w:gridCol w:w="992"/>
        <w:gridCol w:w="4536"/>
      </w:tblGrid>
      <w:tr w:rsidR="00EB0D85" w:rsidRPr="00FB12C2" w14:paraId="65BF8CFF" w14:textId="77777777" w:rsidTr="00ED2732">
        <w:trPr>
          <w:cnfStyle w:val="100000000000" w:firstRow="1" w:lastRow="0" w:firstColumn="0" w:lastColumn="0" w:oddVBand="0" w:evenVBand="0" w:oddHBand="0" w:evenHBand="0" w:firstRowFirstColumn="0" w:firstRowLastColumn="0" w:lastRowFirstColumn="0" w:lastRowLastColumn="0"/>
          <w:trHeight w:val="57"/>
          <w:tblHeader/>
        </w:trPr>
        <w:tc>
          <w:tcPr>
            <w:tcW w:w="2977" w:type="dxa"/>
            <w:shd w:val="clear" w:color="auto" w:fill="15272F" w:themeFill="text1"/>
          </w:tcPr>
          <w:p w14:paraId="04486491" w14:textId="77777777" w:rsidR="00EB0D85" w:rsidRPr="00E2245C" w:rsidRDefault="00EB0D85" w:rsidP="00ED2732">
            <w:pPr>
              <w:pStyle w:val="TableFigureHeading0"/>
              <w:spacing w:before="60" w:after="60" w:line="288" w:lineRule="auto"/>
              <w:ind w:left="86"/>
              <w:rPr>
                <w:color w:val="FFFFFF" w:themeColor="background2"/>
                <w:sz w:val="16"/>
                <w:szCs w:val="16"/>
              </w:rPr>
            </w:pPr>
            <w:bookmarkStart w:id="880" w:name="_Toc148025823"/>
            <w:r w:rsidRPr="00E2245C">
              <w:rPr>
                <w:color w:val="FFFFFF" w:themeColor="background2"/>
                <w:sz w:val="16"/>
                <w:szCs w:val="16"/>
              </w:rPr>
              <w:t>Deliverables</w:t>
            </w:r>
            <w:bookmarkEnd w:id="880"/>
          </w:p>
        </w:tc>
        <w:tc>
          <w:tcPr>
            <w:tcW w:w="1276" w:type="dxa"/>
            <w:shd w:val="clear" w:color="auto" w:fill="15272F" w:themeFill="text1"/>
          </w:tcPr>
          <w:p w14:paraId="6846BBB5" w14:textId="77777777" w:rsidR="00EB0D85" w:rsidRPr="00E2245C" w:rsidRDefault="00EB0D85" w:rsidP="00ED2732">
            <w:pPr>
              <w:pStyle w:val="Tableheadingright"/>
              <w:spacing w:before="60" w:after="60" w:line="288" w:lineRule="auto"/>
              <w:jc w:val="left"/>
              <w:rPr>
                <w:rStyle w:val="WhiteColours"/>
                <w:rFonts w:ascii="Arial" w:hAnsi="Arial" w:cs="Arial"/>
                <w:color w:val="FFFFFF" w:themeColor="background2"/>
                <w:sz w:val="16"/>
                <w:szCs w:val="16"/>
                <w:lang w:val="en-AU"/>
              </w:rPr>
            </w:pPr>
            <w:r w:rsidRPr="00E2245C">
              <w:rPr>
                <w:rStyle w:val="WhiteColours"/>
                <w:rFonts w:ascii="Arial" w:hAnsi="Arial" w:cs="Arial"/>
                <w:color w:val="FFFFFF" w:themeColor="background2"/>
                <w:sz w:val="16"/>
                <w:szCs w:val="16"/>
                <w:lang w:val="en-AU"/>
              </w:rPr>
              <w:t>Timeframe</w:t>
            </w:r>
          </w:p>
        </w:tc>
        <w:tc>
          <w:tcPr>
            <w:tcW w:w="992" w:type="dxa"/>
            <w:shd w:val="clear" w:color="auto" w:fill="15272F" w:themeFill="text1"/>
          </w:tcPr>
          <w:p w14:paraId="7C9BEEF5" w14:textId="77777777" w:rsidR="00EB0D85" w:rsidRPr="00E2245C" w:rsidRDefault="00EB0D85" w:rsidP="00ED2732">
            <w:pPr>
              <w:pStyle w:val="Tableheadingright"/>
              <w:spacing w:before="60" w:after="60" w:line="288" w:lineRule="auto"/>
              <w:jc w:val="left"/>
              <w:rPr>
                <w:rStyle w:val="WhiteColours"/>
                <w:rFonts w:ascii="Arial" w:hAnsi="Arial" w:cs="Arial"/>
                <w:color w:val="FFFFFF" w:themeColor="background2"/>
                <w:sz w:val="16"/>
                <w:szCs w:val="16"/>
                <w:lang w:val="en-AU"/>
              </w:rPr>
            </w:pPr>
            <w:r w:rsidRPr="00E2245C">
              <w:rPr>
                <w:rStyle w:val="WhiteColours"/>
                <w:rFonts w:ascii="Arial" w:hAnsi="Arial" w:cs="Arial"/>
                <w:color w:val="FFFFFF" w:themeColor="background2"/>
                <w:sz w:val="16"/>
                <w:szCs w:val="16"/>
                <w:lang w:val="en-AU"/>
              </w:rPr>
              <w:t>Outcome</w:t>
            </w:r>
          </w:p>
        </w:tc>
        <w:tc>
          <w:tcPr>
            <w:tcW w:w="4536" w:type="dxa"/>
            <w:shd w:val="clear" w:color="auto" w:fill="15272F" w:themeFill="text1"/>
          </w:tcPr>
          <w:p w14:paraId="052B35E7" w14:textId="77777777" w:rsidR="00EB0D85" w:rsidRPr="00E2245C" w:rsidRDefault="00EB0D85" w:rsidP="00ED2732">
            <w:pPr>
              <w:pStyle w:val="Tableheadingright"/>
              <w:spacing w:before="60" w:after="60" w:line="288" w:lineRule="auto"/>
              <w:ind w:right="153"/>
              <w:jc w:val="left"/>
              <w:rPr>
                <w:rStyle w:val="WhiteColours"/>
                <w:rFonts w:ascii="Arial" w:hAnsi="Arial" w:cs="Arial"/>
                <w:color w:val="FFFFFF" w:themeColor="background2"/>
                <w:sz w:val="16"/>
                <w:szCs w:val="16"/>
                <w:lang w:val="en-AU"/>
              </w:rPr>
            </w:pPr>
            <w:r w:rsidRPr="00E2245C">
              <w:rPr>
                <w:rStyle w:val="WhiteColours"/>
                <w:rFonts w:ascii="Arial" w:hAnsi="Arial" w:cs="Arial"/>
                <w:color w:val="FFFFFF" w:themeColor="background2"/>
                <w:sz w:val="16"/>
                <w:szCs w:val="16"/>
                <w:lang w:val="en-AU"/>
              </w:rPr>
              <w:t>Analysis</w:t>
            </w:r>
          </w:p>
        </w:tc>
      </w:tr>
      <w:tr w:rsidR="00EB0D85" w:rsidRPr="00E53378" w14:paraId="09D3A376"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2977" w:type="dxa"/>
          </w:tcPr>
          <w:p w14:paraId="009107AE"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 xml:space="preserve">Promote ongoing improvement and consistency in cost data submissions through refinement of the </w:t>
            </w:r>
            <w:r w:rsidRPr="00750C79">
              <w:rPr>
                <w:rFonts w:ascii="Arial" w:hAnsi="Arial" w:cs="Arial"/>
                <w:sz w:val="16"/>
                <w:szCs w:val="16"/>
                <w:lang w:val="en-AU"/>
              </w:rPr>
              <w:t>AHPCS</w:t>
            </w:r>
            <w:r w:rsidRPr="00E53378">
              <w:rPr>
                <w:rFonts w:ascii="Arial" w:hAnsi="Arial" w:cs="Arial"/>
                <w:sz w:val="16"/>
                <w:szCs w:val="16"/>
                <w:lang w:val="en-AU"/>
              </w:rPr>
              <w:t xml:space="preserve">, </w:t>
            </w:r>
            <w:r>
              <w:rPr>
                <w:rFonts w:ascii="Arial" w:hAnsi="Arial" w:cs="Arial"/>
                <w:sz w:val="16"/>
                <w:szCs w:val="16"/>
                <w:lang w:val="en-AU"/>
              </w:rPr>
              <w:t>b</w:t>
            </w:r>
            <w:r w:rsidRPr="00E53378">
              <w:rPr>
                <w:rFonts w:ascii="Arial" w:hAnsi="Arial" w:cs="Arial"/>
                <w:sz w:val="16"/>
                <w:szCs w:val="16"/>
                <w:lang w:val="en-AU"/>
              </w:rPr>
              <w:t xml:space="preserve">usiness </w:t>
            </w:r>
            <w:r>
              <w:rPr>
                <w:rFonts w:ascii="Arial" w:hAnsi="Arial" w:cs="Arial"/>
                <w:sz w:val="16"/>
                <w:szCs w:val="16"/>
                <w:lang w:val="en-AU"/>
              </w:rPr>
              <w:t>r</w:t>
            </w:r>
            <w:r w:rsidRPr="00E53378">
              <w:rPr>
                <w:rFonts w:ascii="Arial" w:hAnsi="Arial" w:cs="Arial"/>
                <w:sz w:val="16"/>
                <w:szCs w:val="16"/>
                <w:lang w:val="en-AU"/>
              </w:rPr>
              <w:t xml:space="preserve">ules and </w:t>
            </w:r>
            <w:r>
              <w:rPr>
                <w:rFonts w:ascii="Arial" w:hAnsi="Arial" w:cs="Arial"/>
                <w:sz w:val="16"/>
                <w:szCs w:val="16"/>
                <w:lang w:val="en-AU"/>
              </w:rPr>
              <w:t>c</w:t>
            </w:r>
            <w:r w:rsidRPr="00E53378">
              <w:rPr>
                <w:rFonts w:ascii="Arial" w:hAnsi="Arial" w:cs="Arial"/>
                <w:sz w:val="16"/>
                <w:szCs w:val="16"/>
                <w:lang w:val="en-AU"/>
              </w:rPr>
              <w:t xml:space="preserve">osting </w:t>
            </w:r>
            <w:r>
              <w:rPr>
                <w:rFonts w:ascii="Arial" w:hAnsi="Arial" w:cs="Arial"/>
                <w:sz w:val="16"/>
                <w:szCs w:val="16"/>
                <w:lang w:val="en-AU"/>
              </w:rPr>
              <w:t>g</w:t>
            </w:r>
            <w:r w:rsidRPr="00E53378">
              <w:rPr>
                <w:rFonts w:ascii="Arial" w:hAnsi="Arial" w:cs="Arial"/>
                <w:sz w:val="16"/>
                <w:szCs w:val="16"/>
                <w:lang w:val="en-AU"/>
              </w:rPr>
              <w:t>uidelines.</w:t>
            </w:r>
          </w:p>
        </w:tc>
        <w:tc>
          <w:tcPr>
            <w:tcW w:w="1276" w:type="dxa"/>
          </w:tcPr>
          <w:p w14:paraId="56E0470C"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Ongoing</w:t>
            </w:r>
          </w:p>
        </w:tc>
        <w:tc>
          <w:tcPr>
            <w:tcW w:w="992" w:type="dxa"/>
          </w:tcPr>
          <w:p w14:paraId="751270F9"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Ongoing</w:t>
            </w:r>
          </w:p>
        </w:tc>
        <w:tc>
          <w:tcPr>
            <w:tcW w:w="4536" w:type="dxa"/>
          </w:tcPr>
          <w:p w14:paraId="5F84EF0D"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E53378">
              <w:rPr>
                <w:color w:val="15272F" w:themeColor="text1"/>
                <w:sz w:val="16"/>
                <w:szCs w:val="16"/>
              </w:rPr>
              <w:t xml:space="preserve"> continued to update the AHPCS through consultation with jurisdictions to identify and prioritise target areas for review.</w:t>
            </w:r>
          </w:p>
        </w:tc>
      </w:tr>
      <w:tr w:rsidR="00EB0D85" w:rsidRPr="00E53378" w14:paraId="181A0474" w14:textId="77777777" w:rsidTr="00ED2732">
        <w:trPr>
          <w:cnfStyle w:val="000000010000" w:firstRow="0" w:lastRow="0" w:firstColumn="0" w:lastColumn="0" w:oddVBand="0" w:evenVBand="0" w:oddHBand="0" w:evenHBand="1" w:firstRowFirstColumn="0" w:firstRowLastColumn="0" w:lastRowFirstColumn="0" w:lastRowLastColumn="0"/>
          <w:trHeight w:val="579"/>
        </w:trPr>
        <w:tc>
          <w:tcPr>
            <w:tcW w:w="2977" w:type="dxa"/>
          </w:tcPr>
          <w:p w14:paraId="1732A243"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 xml:space="preserve">Release the 2023–24 </w:t>
            </w:r>
            <w:r>
              <w:rPr>
                <w:rFonts w:ascii="Arial" w:hAnsi="Arial" w:cs="Arial"/>
                <w:sz w:val="16"/>
                <w:szCs w:val="16"/>
                <w:lang w:val="en-AU"/>
              </w:rPr>
              <w:t>NHCDC</w:t>
            </w:r>
            <w:r w:rsidRPr="00E53378">
              <w:rPr>
                <w:rFonts w:ascii="Arial" w:hAnsi="Arial" w:cs="Arial"/>
                <w:sz w:val="16"/>
                <w:szCs w:val="16"/>
                <w:lang w:val="en-AU"/>
              </w:rPr>
              <w:t xml:space="preserve"> Public Sector Report.</w:t>
            </w:r>
          </w:p>
        </w:tc>
        <w:tc>
          <w:tcPr>
            <w:tcW w:w="1276" w:type="dxa"/>
          </w:tcPr>
          <w:p w14:paraId="0C87A741" w14:textId="77777777" w:rsidR="00EB0D85" w:rsidRPr="00E53378" w:rsidRDefault="00EB0D85" w:rsidP="00ED2732">
            <w:pPr>
              <w:pStyle w:val="TableParagraph"/>
              <w:framePr w:wrap="around"/>
              <w:spacing w:before="60" w:after="60" w:line="288" w:lineRule="auto"/>
              <w:jc w:val="left"/>
              <w:rPr>
                <w:rStyle w:val="Arialbody"/>
                <w:color w:val="15272F" w:themeColor="text1"/>
                <w:spacing w:val="-2"/>
                <w:sz w:val="16"/>
                <w:szCs w:val="16"/>
              </w:rPr>
            </w:pPr>
            <w:r>
              <w:rPr>
                <w:color w:val="15272F" w:themeColor="text1"/>
                <w:sz w:val="16"/>
                <w:szCs w:val="16"/>
              </w:rPr>
              <w:t>February</w:t>
            </w:r>
            <w:r w:rsidRPr="00E53378">
              <w:rPr>
                <w:color w:val="15272F" w:themeColor="text1"/>
                <w:sz w:val="16"/>
                <w:szCs w:val="16"/>
              </w:rPr>
              <w:t xml:space="preserve"> 2026</w:t>
            </w:r>
          </w:p>
        </w:tc>
        <w:tc>
          <w:tcPr>
            <w:tcW w:w="992" w:type="dxa"/>
          </w:tcPr>
          <w:p w14:paraId="4B2823F5" w14:textId="77777777" w:rsidR="00EB0D85" w:rsidRPr="00E53378" w:rsidRDefault="00EB0D85" w:rsidP="00ED2732">
            <w:pPr>
              <w:pStyle w:val="TableParagraph"/>
              <w:framePr w:wrap="around"/>
              <w:spacing w:before="60" w:after="60" w:line="288" w:lineRule="auto"/>
              <w:jc w:val="left"/>
              <w:rPr>
                <w:rStyle w:val="Arialbody"/>
                <w:color w:val="15272F" w:themeColor="text1"/>
                <w:spacing w:val="-2"/>
                <w:sz w:val="16"/>
                <w:szCs w:val="16"/>
              </w:rPr>
            </w:pPr>
            <w:r w:rsidRPr="00E53378">
              <w:rPr>
                <w:rStyle w:val="Arialbody"/>
                <w:color w:val="15272F" w:themeColor="text1"/>
                <w:spacing w:val="-2"/>
                <w:sz w:val="16"/>
                <w:szCs w:val="16"/>
              </w:rPr>
              <w:t>Delivered</w:t>
            </w:r>
          </w:p>
        </w:tc>
        <w:tc>
          <w:tcPr>
            <w:tcW w:w="4536" w:type="dxa"/>
          </w:tcPr>
          <w:p w14:paraId="5DF84272" w14:textId="77777777" w:rsidR="00EB0D85" w:rsidRPr="00E53378" w:rsidRDefault="00EB0D85" w:rsidP="00ED2732">
            <w:pPr>
              <w:pStyle w:val="TableParagraph"/>
              <w:framePr w:wrap="around"/>
              <w:spacing w:before="60" w:after="60" w:line="288" w:lineRule="auto"/>
              <w:jc w:val="left"/>
              <w:rPr>
                <w:rStyle w:val="Arialbody"/>
                <w:color w:val="15272F" w:themeColor="text1"/>
                <w:sz w:val="16"/>
                <w:szCs w:val="16"/>
              </w:rPr>
            </w:pPr>
            <w:r w:rsidRPr="00E53378">
              <w:rPr>
                <w:rStyle w:val="Arialbody"/>
                <w:color w:val="15272F" w:themeColor="text1"/>
                <w:sz w:val="16"/>
                <w:szCs w:val="16"/>
              </w:rPr>
              <w:t xml:space="preserve">The NHCDC Public Sector Report 2023–24 presents a summary of the public hospital data gathered for the 2023–24 financial year. </w:t>
            </w:r>
            <w:r>
              <w:rPr>
                <w:rStyle w:val="Arialbody"/>
                <w:color w:val="15272F" w:themeColor="text1"/>
                <w:sz w:val="16"/>
                <w:szCs w:val="16"/>
              </w:rPr>
              <w:t>We</w:t>
            </w:r>
            <w:r w:rsidRPr="00E53378">
              <w:rPr>
                <w:rStyle w:val="Arialbody"/>
                <w:color w:val="15272F" w:themeColor="text1"/>
                <w:sz w:val="16"/>
                <w:szCs w:val="16"/>
              </w:rPr>
              <w:t xml:space="preserve"> received NHCDC data that included 48.2 million in-scope encounters, which is a 9% increase compared to 2022–23. </w:t>
            </w:r>
          </w:p>
        </w:tc>
      </w:tr>
      <w:tr w:rsidR="00EB0D85" w:rsidRPr="00E53378" w14:paraId="68D38137"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2977" w:type="dxa"/>
          </w:tcPr>
          <w:p w14:paraId="3929A557"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 xml:space="preserve">Release the 2023–24 </w:t>
            </w:r>
            <w:r w:rsidRPr="00F10DBC">
              <w:rPr>
                <w:rFonts w:ascii="Arial" w:hAnsi="Arial" w:cs="Arial"/>
                <w:sz w:val="16"/>
                <w:szCs w:val="16"/>
                <w:lang w:val="en-AU"/>
              </w:rPr>
              <w:t>NHCDC</w:t>
            </w:r>
            <w:r w:rsidRPr="00F10DBC" w:rsidDel="00F10DBC">
              <w:rPr>
                <w:rFonts w:ascii="Arial" w:hAnsi="Arial" w:cs="Arial"/>
                <w:sz w:val="16"/>
                <w:szCs w:val="16"/>
                <w:lang w:val="en-AU"/>
              </w:rPr>
              <w:t xml:space="preserve"> </w:t>
            </w:r>
            <w:r w:rsidRPr="00E53378">
              <w:rPr>
                <w:rFonts w:ascii="Arial" w:hAnsi="Arial" w:cs="Arial"/>
                <w:sz w:val="16"/>
                <w:szCs w:val="16"/>
                <w:lang w:val="en-AU"/>
              </w:rPr>
              <w:t>Private Sector Report.</w:t>
            </w:r>
          </w:p>
        </w:tc>
        <w:tc>
          <w:tcPr>
            <w:tcW w:w="1276" w:type="dxa"/>
          </w:tcPr>
          <w:p w14:paraId="0DB8D439"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February</w:t>
            </w:r>
            <w:r w:rsidRPr="00E53378">
              <w:rPr>
                <w:color w:val="15272F" w:themeColor="text1"/>
                <w:sz w:val="16"/>
                <w:szCs w:val="16"/>
              </w:rPr>
              <w:t xml:space="preserve"> 2026</w:t>
            </w:r>
          </w:p>
        </w:tc>
        <w:tc>
          <w:tcPr>
            <w:tcW w:w="992" w:type="dxa"/>
          </w:tcPr>
          <w:p w14:paraId="06B24B7A"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 xml:space="preserve">Delivered </w:t>
            </w:r>
          </w:p>
        </w:tc>
        <w:tc>
          <w:tcPr>
            <w:tcW w:w="4536" w:type="dxa"/>
          </w:tcPr>
          <w:p w14:paraId="010646B7"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rStyle w:val="Arialbody"/>
                <w:color w:val="15272F" w:themeColor="text1"/>
                <w:sz w:val="16"/>
                <w:szCs w:val="16"/>
              </w:rPr>
              <w:t>The NHCDC Private Sector Report 2023–24 presents a summary of the admitted acute care data gathered for the 2023–24 financial year and represents 74.9% of private hospital activity.</w:t>
            </w:r>
          </w:p>
        </w:tc>
      </w:tr>
      <w:tr w:rsidR="00EB0D85" w:rsidRPr="00E53378" w14:paraId="5BAFCDE6"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2977" w:type="dxa"/>
          </w:tcPr>
          <w:p w14:paraId="151117AA"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 xml:space="preserve">Collect the 2024–25 </w:t>
            </w:r>
            <w:r w:rsidRPr="00E53378">
              <w:rPr>
                <w:rStyle w:val="Arialbody"/>
                <w:sz w:val="16"/>
                <w:szCs w:val="16"/>
              </w:rPr>
              <w:t>NHCDC</w:t>
            </w:r>
            <w:r w:rsidRPr="004D0B02" w:rsidDel="004D0B02">
              <w:rPr>
                <w:rFonts w:ascii="Arial" w:hAnsi="Arial" w:cs="Arial"/>
                <w:sz w:val="16"/>
                <w:szCs w:val="16"/>
                <w:lang w:val="en-AU"/>
              </w:rPr>
              <w:t xml:space="preserve"> </w:t>
            </w:r>
            <w:r w:rsidRPr="00E53378">
              <w:rPr>
                <w:rFonts w:ascii="Arial" w:hAnsi="Arial" w:cs="Arial"/>
                <w:sz w:val="16"/>
                <w:szCs w:val="16"/>
                <w:lang w:val="en-AU"/>
              </w:rPr>
              <w:t>for public and private hospitals.</w:t>
            </w:r>
          </w:p>
        </w:tc>
        <w:tc>
          <w:tcPr>
            <w:tcW w:w="1276" w:type="dxa"/>
          </w:tcPr>
          <w:p w14:paraId="4BC59D4A"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June 2026</w:t>
            </w:r>
          </w:p>
        </w:tc>
        <w:tc>
          <w:tcPr>
            <w:tcW w:w="992" w:type="dxa"/>
          </w:tcPr>
          <w:p w14:paraId="772FF320"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Delivered</w:t>
            </w:r>
          </w:p>
        </w:tc>
        <w:tc>
          <w:tcPr>
            <w:tcW w:w="4536" w:type="dxa"/>
          </w:tcPr>
          <w:p w14:paraId="058F0B43"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E53378">
              <w:rPr>
                <w:color w:val="15272F" w:themeColor="text1"/>
                <w:sz w:val="16"/>
                <w:szCs w:val="16"/>
              </w:rPr>
              <w:t xml:space="preserve"> continued to collect and analyse </w:t>
            </w:r>
            <w:r>
              <w:rPr>
                <w:color w:val="15272F" w:themeColor="text1"/>
                <w:sz w:val="16"/>
                <w:szCs w:val="16"/>
              </w:rPr>
              <w:t xml:space="preserve">the </w:t>
            </w:r>
            <w:r w:rsidRPr="00E53378">
              <w:rPr>
                <w:rStyle w:val="Arialbody"/>
                <w:color w:val="15272F" w:themeColor="text1"/>
                <w:sz w:val="16"/>
                <w:szCs w:val="16"/>
              </w:rPr>
              <w:t>NHCDC</w:t>
            </w:r>
            <w:r w:rsidRPr="00E53378" w:rsidDel="00C54E1B">
              <w:rPr>
                <w:color w:val="15272F" w:themeColor="text1"/>
                <w:sz w:val="16"/>
                <w:szCs w:val="16"/>
              </w:rPr>
              <w:t xml:space="preserve"> </w:t>
            </w:r>
            <w:r w:rsidRPr="00E53378">
              <w:rPr>
                <w:color w:val="15272F" w:themeColor="text1"/>
                <w:sz w:val="16"/>
                <w:szCs w:val="16"/>
              </w:rPr>
              <w:t xml:space="preserve">for public and private hospitals. </w:t>
            </w:r>
          </w:p>
        </w:tc>
      </w:tr>
      <w:tr w:rsidR="00EB0D85" w:rsidRPr="00E53378" w14:paraId="334B4D76"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2977" w:type="dxa"/>
          </w:tcPr>
          <w:p w14:paraId="027AD21E"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 xml:space="preserve">Release the </w:t>
            </w:r>
            <w:r>
              <w:rPr>
                <w:rFonts w:ascii="Arial" w:hAnsi="Arial" w:cs="Arial"/>
                <w:sz w:val="16"/>
                <w:szCs w:val="16"/>
                <w:lang w:val="en-AU"/>
              </w:rPr>
              <w:t>i</w:t>
            </w:r>
            <w:r w:rsidRPr="00E53378">
              <w:rPr>
                <w:rFonts w:ascii="Arial" w:hAnsi="Arial" w:cs="Arial"/>
                <w:sz w:val="16"/>
                <w:szCs w:val="16"/>
                <w:lang w:val="en-AU"/>
              </w:rPr>
              <w:t xml:space="preserve">ndependent </w:t>
            </w:r>
            <w:r>
              <w:rPr>
                <w:rFonts w:ascii="Arial" w:hAnsi="Arial" w:cs="Arial"/>
                <w:sz w:val="16"/>
                <w:szCs w:val="16"/>
                <w:lang w:val="en-AU"/>
              </w:rPr>
              <w:t>f</w:t>
            </w:r>
            <w:r w:rsidRPr="00E53378">
              <w:rPr>
                <w:rFonts w:ascii="Arial" w:hAnsi="Arial" w:cs="Arial"/>
                <w:sz w:val="16"/>
                <w:szCs w:val="16"/>
                <w:lang w:val="en-AU"/>
              </w:rPr>
              <w:t xml:space="preserve">inancial </w:t>
            </w:r>
            <w:r>
              <w:rPr>
                <w:rFonts w:ascii="Arial" w:hAnsi="Arial" w:cs="Arial"/>
                <w:sz w:val="16"/>
                <w:szCs w:val="16"/>
                <w:lang w:val="en-AU"/>
              </w:rPr>
              <w:t>r</w:t>
            </w:r>
            <w:r w:rsidRPr="00E53378">
              <w:rPr>
                <w:rFonts w:ascii="Arial" w:hAnsi="Arial" w:cs="Arial"/>
                <w:sz w:val="16"/>
                <w:szCs w:val="16"/>
                <w:lang w:val="en-AU"/>
              </w:rPr>
              <w:t xml:space="preserve">eview report of the 2023–24 </w:t>
            </w:r>
            <w:r w:rsidRPr="007E4AFE">
              <w:rPr>
                <w:rFonts w:ascii="Arial" w:hAnsi="Arial" w:cs="Arial"/>
                <w:sz w:val="16"/>
                <w:szCs w:val="16"/>
                <w:lang w:val="en-AU"/>
              </w:rPr>
              <w:t>NHCDC</w:t>
            </w:r>
            <w:r w:rsidRPr="00E53378">
              <w:rPr>
                <w:rFonts w:ascii="Arial" w:hAnsi="Arial" w:cs="Arial"/>
                <w:sz w:val="16"/>
                <w:szCs w:val="16"/>
                <w:lang w:val="en-AU"/>
              </w:rPr>
              <w:t>.</w:t>
            </w:r>
          </w:p>
        </w:tc>
        <w:tc>
          <w:tcPr>
            <w:tcW w:w="1276" w:type="dxa"/>
          </w:tcPr>
          <w:p w14:paraId="3CDB690B"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February</w:t>
            </w:r>
            <w:r w:rsidRPr="00E53378">
              <w:rPr>
                <w:color w:val="15272F" w:themeColor="text1"/>
                <w:sz w:val="16"/>
                <w:szCs w:val="16"/>
              </w:rPr>
              <w:t xml:space="preserve"> 2026</w:t>
            </w:r>
          </w:p>
        </w:tc>
        <w:tc>
          <w:tcPr>
            <w:tcW w:w="992" w:type="dxa"/>
          </w:tcPr>
          <w:p w14:paraId="4859A1EA"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Delivered</w:t>
            </w:r>
          </w:p>
        </w:tc>
        <w:tc>
          <w:tcPr>
            <w:tcW w:w="4536" w:type="dxa"/>
          </w:tcPr>
          <w:p w14:paraId="31A57376"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To ensure that the quality of the NHCDC is robust and fit</w:t>
            </w:r>
            <w:r>
              <w:rPr>
                <w:color w:val="15272F" w:themeColor="text1"/>
                <w:sz w:val="16"/>
                <w:szCs w:val="16"/>
              </w:rPr>
              <w:t>-</w:t>
            </w:r>
            <w:r w:rsidRPr="00E53378">
              <w:rPr>
                <w:color w:val="15272F" w:themeColor="text1"/>
                <w:sz w:val="16"/>
                <w:szCs w:val="16"/>
              </w:rPr>
              <w:t>for</w:t>
            </w:r>
            <w:r>
              <w:rPr>
                <w:color w:val="15272F" w:themeColor="text1"/>
                <w:sz w:val="16"/>
                <w:szCs w:val="16"/>
              </w:rPr>
              <w:t>-</w:t>
            </w:r>
            <w:r w:rsidRPr="00E53378">
              <w:rPr>
                <w:color w:val="15272F" w:themeColor="text1"/>
                <w:sz w:val="16"/>
                <w:szCs w:val="16"/>
              </w:rPr>
              <w:t xml:space="preserve">purpose, </w:t>
            </w:r>
            <w:r>
              <w:rPr>
                <w:color w:val="15272F" w:themeColor="text1"/>
                <w:sz w:val="16"/>
                <w:szCs w:val="16"/>
              </w:rPr>
              <w:t>we</w:t>
            </w:r>
            <w:r w:rsidRPr="00E53378">
              <w:rPr>
                <w:color w:val="15272F" w:themeColor="text1"/>
                <w:sz w:val="16"/>
                <w:szCs w:val="16"/>
              </w:rPr>
              <w:t xml:space="preserve"> commissioned an independent financial review to assess whether all participating hospitals have included appropriate costs and patient activity. </w:t>
            </w:r>
          </w:p>
        </w:tc>
      </w:tr>
      <w:tr w:rsidR="00EB0D85" w:rsidRPr="00E53378" w14:paraId="3CEE3E6B"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2977" w:type="dxa"/>
          </w:tcPr>
          <w:p w14:paraId="6AE7684E"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 xml:space="preserve">Investigate phasing out the private patient correction factor. </w:t>
            </w:r>
          </w:p>
        </w:tc>
        <w:tc>
          <w:tcPr>
            <w:tcW w:w="1276" w:type="dxa"/>
          </w:tcPr>
          <w:p w14:paraId="4A995A44"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Ongoing</w:t>
            </w:r>
          </w:p>
        </w:tc>
        <w:tc>
          <w:tcPr>
            <w:tcW w:w="992" w:type="dxa"/>
          </w:tcPr>
          <w:p w14:paraId="7828CC20"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Ongoing</w:t>
            </w:r>
          </w:p>
        </w:tc>
        <w:tc>
          <w:tcPr>
            <w:tcW w:w="4536" w:type="dxa"/>
          </w:tcPr>
          <w:p w14:paraId="502BD744"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 xml:space="preserve">The private patient correction factor was introduced as an interim solution for the issue of missing private patient costs in the NHCDC. In 2025–26, </w:t>
            </w:r>
            <w:r>
              <w:rPr>
                <w:color w:val="15272F" w:themeColor="text1"/>
                <w:sz w:val="16"/>
                <w:szCs w:val="16"/>
              </w:rPr>
              <w:t>we</w:t>
            </w:r>
            <w:r w:rsidRPr="00E53378">
              <w:rPr>
                <w:color w:val="15272F" w:themeColor="text1"/>
                <w:sz w:val="16"/>
                <w:szCs w:val="16"/>
              </w:rPr>
              <w:t xml:space="preserve"> continued to evaluate the private patient correction factor and remove it where appropriate. </w:t>
            </w:r>
          </w:p>
        </w:tc>
      </w:tr>
      <w:tr w:rsidR="00EB0D85" w:rsidRPr="00E53378" w14:paraId="5D7F8FA0"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2977" w:type="dxa"/>
          </w:tcPr>
          <w:p w14:paraId="1ADD6C3C"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 xml:space="preserve">Collect </w:t>
            </w:r>
            <w:r>
              <w:rPr>
                <w:rFonts w:ascii="Arial" w:hAnsi="Arial" w:cs="Arial"/>
                <w:sz w:val="16"/>
                <w:szCs w:val="16"/>
                <w:lang w:val="en-AU"/>
              </w:rPr>
              <w:t>r</w:t>
            </w:r>
            <w:r w:rsidRPr="00E53378">
              <w:rPr>
                <w:rFonts w:ascii="Arial" w:hAnsi="Arial" w:cs="Arial"/>
                <w:sz w:val="16"/>
                <w:szCs w:val="16"/>
                <w:lang w:val="en-AU"/>
              </w:rPr>
              <w:t xml:space="preserve">esidential </w:t>
            </w:r>
            <w:r>
              <w:rPr>
                <w:rFonts w:ascii="Arial" w:hAnsi="Arial" w:cs="Arial"/>
                <w:sz w:val="16"/>
                <w:szCs w:val="16"/>
                <w:lang w:val="en-AU"/>
              </w:rPr>
              <w:t>a</w:t>
            </w:r>
            <w:r w:rsidRPr="00E53378">
              <w:rPr>
                <w:rFonts w:ascii="Arial" w:hAnsi="Arial" w:cs="Arial"/>
                <w:sz w:val="16"/>
                <w:szCs w:val="16"/>
                <w:lang w:val="en-AU"/>
              </w:rPr>
              <w:t xml:space="preserve">ged </w:t>
            </w:r>
            <w:r>
              <w:rPr>
                <w:rFonts w:ascii="Arial" w:hAnsi="Arial" w:cs="Arial"/>
                <w:sz w:val="16"/>
                <w:szCs w:val="16"/>
                <w:lang w:val="en-AU"/>
              </w:rPr>
              <w:t>c</w:t>
            </w:r>
            <w:r w:rsidRPr="00E53378">
              <w:rPr>
                <w:rFonts w:ascii="Arial" w:hAnsi="Arial" w:cs="Arial"/>
                <w:sz w:val="16"/>
                <w:szCs w:val="16"/>
                <w:lang w:val="en-AU"/>
              </w:rPr>
              <w:t xml:space="preserve">are </w:t>
            </w:r>
            <w:r>
              <w:rPr>
                <w:rFonts w:ascii="Arial" w:hAnsi="Arial" w:cs="Arial"/>
                <w:sz w:val="16"/>
                <w:szCs w:val="16"/>
                <w:lang w:val="en-AU"/>
              </w:rPr>
              <w:t>c</w:t>
            </w:r>
            <w:r w:rsidRPr="00E53378">
              <w:rPr>
                <w:rFonts w:ascii="Arial" w:hAnsi="Arial" w:cs="Arial"/>
                <w:sz w:val="16"/>
                <w:szCs w:val="16"/>
                <w:lang w:val="en-AU"/>
              </w:rPr>
              <w:t xml:space="preserve">ost </w:t>
            </w:r>
            <w:r>
              <w:rPr>
                <w:rFonts w:ascii="Arial" w:hAnsi="Arial" w:cs="Arial"/>
                <w:sz w:val="16"/>
                <w:szCs w:val="16"/>
                <w:lang w:val="en-AU"/>
              </w:rPr>
              <w:t>c</w:t>
            </w:r>
            <w:r w:rsidRPr="00E53378">
              <w:rPr>
                <w:rFonts w:ascii="Arial" w:hAnsi="Arial" w:cs="Arial"/>
                <w:sz w:val="16"/>
                <w:szCs w:val="16"/>
                <w:lang w:val="en-AU"/>
              </w:rPr>
              <w:t>ollection 2024–25 data.</w:t>
            </w:r>
          </w:p>
        </w:tc>
        <w:tc>
          <w:tcPr>
            <w:tcW w:w="1276" w:type="dxa"/>
          </w:tcPr>
          <w:p w14:paraId="3B8DF9B6" w14:textId="77777777" w:rsidR="00EB0D85" w:rsidRPr="00E53378" w:rsidRDefault="00EB0D85" w:rsidP="00ED2732">
            <w:pPr>
              <w:pStyle w:val="TableParagraph"/>
              <w:framePr w:wrap="around"/>
              <w:spacing w:before="60" w:after="60" w:line="288" w:lineRule="auto"/>
              <w:jc w:val="left"/>
              <w:rPr>
                <w:rStyle w:val="Arialbody"/>
                <w:color w:val="15272F" w:themeColor="text1"/>
                <w:spacing w:val="-2"/>
                <w:sz w:val="16"/>
                <w:szCs w:val="16"/>
              </w:rPr>
            </w:pPr>
            <w:r w:rsidRPr="00E53378">
              <w:rPr>
                <w:color w:val="15272F" w:themeColor="text1"/>
                <w:sz w:val="16"/>
                <w:szCs w:val="16"/>
              </w:rPr>
              <w:t>December 2025</w:t>
            </w:r>
          </w:p>
        </w:tc>
        <w:tc>
          <w:tcPr>
            <w:tcW w:w="992" w:type="dxa"/>
          </w:tcPr>
          <w:p w14:paraId="50B192A2" w14:textId="77777777" w:rsidR="00EB0D85" w:rsidRPr="00E53378" w:rsidRDefault="00EB0D85" w:rsidP="00ED2732">
            <w:pPr>
              <w:pStyle w:val="TableParagraph"/>
              <w:framePr w:wrap="around"/>
              <w:spacing w:before="60" w:after="60" w:line="288" w:lineRule="auto"/>
              <w:jc w:val="left"/>
              <w:rPr>
                <w:rStyle w:val="Arialbody"/>
                <w:color w:val="15272F" w:themeColor="text1"/>
                <w:spacing w:val="-2"/>
                <w:sz w:val="16"/>
                <w:szCs w:val="16"/>
              </w:rPr>
            </w:pPr>
            <w:r w:rsidRPr="00E53378">
              <w:rPr>
                <w:color w:val="15272F" w:themeColor="text1"/>
                <w:sz w:val="16"/>
                <w:szCs w:val="16"/>
              </w:rPr>
              <w:t>Delivered</w:t>
            </w:r>
          </w:p>
        </w:tc>
        <w:tc>
          <w:tcPr>
            <w:tcW w:w="4536" w:type="dxa"/>
          </w:tcPr>
          <w:p w14:paraId="475330AF"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 xml:space="preserve">To inform the development and refinement of the AN-ACC funding model, </w:t>
            </w:r>
            <w:r>
              <w:rPr>
                <w:color w:val="15272F" w:themeColor="text1"/>
                <w:sz w:val="16"/>
                <w:szCs w:val="16"/>
              </w:rPr>
              <w:t>we</w:t>
            </w:r>
            <w:r w:rsidRPr="00E53378">
              <w:rPr>
                <w:color w:val="15272F" w:themeColor="text1"/>
                <w:sz w:val="16"/>
                <w:szCs w:val="16"/>
              </w:rPr>
              <w:t xml:space="preserve"> conducted annual cost collection in the residential aged care setting. </w:t>
            </w:r>
          </w:p>
        </w:tc>
      </w:tr>
      <w:tr w:rsidR="00EB0D85" w:rsidRPr="00E53378" w14:paraId="6985882F"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2977" w:type="dxa"/>
          </w:tcPr>
          <w:p w14:paraId="01B5D61B"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 xml:space="preserve">Collect Support at Home </w:t>
            </w:r>
            <w:r>
              <w:rPr>
                <w:rFonts w:ascii="Arial" w:hAnsi="Arial" w:cs="Arial"/>
                <w:sz w:val="16"/>
                <w:szCs w:val="16"/>
                <w:lang w:val="en-AU"/>
              </w:rPr>
              <w:t>c</w:t>
            </w:r>
            <w:r w:rsidRPr="00E53378">
              <w:rPr>
                <w:rFonts w:ascii="Arial" w:hAnsi="Arial" w:cs="Arial"/>
                <w:sz w:val="16"/>
                <w:szCs w:val="16"/>
                <w:lang w:val="en-AU"/>
              </w:rPr>
              <w:t xml:space="preserve">ost </w:t>
            </w:r>
            <w:r>
              <w:rPr>
                <w:rFonts w:ascii="Arial" w:hAnsi="Arial" w:cs="Arial"/>
                <w:sz w:val="16"/>
                <w:szCs w:val="16"/>
                <w:lang w:val="en-AU"/>
              </w:rPr>
              <w:t>c</w:t>
            </w:r>
            <w:r w:rsidRPr="00E53378">
              <w:rPr>
                <w:rFonts w:ascii="Arial" w:hAnsi="Arial" w:cs="Arial"/>
                <w:sz w:val="16"/>
                <w:szCs w:val="16"/>
                <w:lang w:val="en-AU"/>
              </w:rPr>
              <w:t xml:space="preserve">ollection 2025 data. </w:t>
            </w:r>
          </w:p>
        </w:tc>
        <w:tc>
          <w:tcPr>
            <w:tcW w:w="1276" w:type="dxa"/>
          </w:tcPr>
          <w:p w14:paraId="37E36948"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December 2025</w:t>
            </w:r>
          </w:p>
        </w:tc>
        <w:tc>
          <w:tcPr>
            <w:tcW w:w="992" w:type="dxa"/>
          </w:tcPr>
          <w:p w14:paraId="2A4AADBA" w14:textId="77777777" w:rsidR="00EB0D85" w:rsidRPr="00E53378" w:rsidRDefault="00EB0D85" w:rsidP="00ED2732">
            <w:pPr>
              <w:pStyle w:val="TableParagraph"/>
              <w:framePr w:wrap="around"/>
              <w:spacing w:before="60" w:after="60" w:line="288" w:lineRule="auto"/>
              <w:jc w:val="left"/>
              <w:rPr>
                <w:rStyle w:val="Arialbody"/>
                <w:color w:val="15272F" w:themeColor="text1"/>
                <w:spacing w:val="-2"/>
                <w:sz w:val="16"/>
                <w:szCs w:val="16"/>
              </w:rPr>
            </w:pPr>
            <w:r w:rsidRPr="00E53378">
              <w:rPr>
                <w:color w:val="15272F" w:themeColor="text1"/>
                <w:sz w:val="16"/>
                <w:szCs w:val="16"/>
              </w:rPr>
              <w:t>Delivered</w:t>
            </w:r>
          </w:p>
        </w:tc>
        <w:tc>
          <w:tcPr>
            <w:tcW w:w="4536" w:type="dxa"/>
          </w:tcPr>
          <w:p w14:paraId="0DF77664"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 xml:space="preserve">To inform the development of pricing advice for the Support at Home service list, </w:t>
            </w:r>
            <w:r>
              <w:rPr>
                <w:color w:val="15272F" w:themeColor="text1"/>
                <w:sz w:val="16"/>
                <w:szCs w:val="16"/>
              </w:rPr>
              <w:t>we</w:t>
            </w:r>
            <w:r w:rsidRPr="00E53378">
              <w:rPr>
                <w:color w:val="15272F" w:themeColor="text1"/>
                <w:sz w:val="16"/>
                <w:szCs w:val="16"/>
              </w:rPr>
              <w:t xml:space="preserve"> ha</w:t>
            </w:r>
            <w:r>
              <w:rPr>
                <w:color w:val="15272F" w:themeColor="text1"/>
                <w:sz w:val="16"/>
                <w:szCs w:val="16"/>
              </w:rPr>
              <w:t>ve</w:t>
            </w:r>
            <w:r w:rsidRPr="00E53378">
              <w:rPr>
                <w:color w:val="15272F" w:themeColor="text1"/>
                <w:sz w:val="16"/>
                <w:szCs w:val="16"/>
              </w:rPr>
              <w:t xml:space="preserve"> commenced a Support at Home Cost </w:t>
            </w:r>
            <w:r>
              <w:rPr>
                <w:color w:val="15272F" w:themeColor="text1"/>
                <w:sz w:val="16"/>
                <w:szCs w:val="16"/>
              </w:rPr>
              <w:t>c</w:t>
            </w:r>
            <w:r w:rsidRPr="00E53378">
              <w:rPr>
                <w:color w:val="15272F" w:themeColor="text1"/>
                <w:sz w:val="16"/>
                <w:szCs w:val="16"/>
              </w:rPr>
              <w:t>ollection. The results and findings from this cost collection will feed into the development of a costing framework, costing methodology and data sets</w:t>
            </w:r>
            <w:r>
              <w:rPr>
                <w:color w:val="15272F" w:themeColor="text1"/>
                <w:sz w:val="16"/>
                <w:szCs w:val="16"/>
              </w:rPr>
              <w:t>. This</w:t>
            </w:r>
            <w:r w:rsidRPr="00E53378">
              <w:rPr>
                <w:color w:val="15272F" w:themeColor="text1"/>
                <w:sz w:val="16"/>
                <w:szCs w:val="16"/>
              </w:rPr>
              <w:t xml:space="preserve"> will support </w:t>
            </w:r>
            <w:r>
              <w:rPr>
                <w:color w:val="15272F" w:themeColor="text1"/>
                <w:sz w:val="16"/>
                <w:szCs w:val="16"/>
              </w:rPr>
              <w:t>the</w:t>
            </w:r>
            <w:r w:rsidRPr="00E53378">
              <w:rPr>
                <w:color w:val="15272F" w:themeColor="text1"/>
                <w:sz w:val="16"/>
                <w:szCs w:val="16"/>
              </w:rPr>
              <w:t xml:space="preserve"> develop</w:t>
            </w:r>
            <w:r>
              <w:rPr>
                <w:color w:val="15272F" w:themeColor="text1"/>
                <w:sz w:val="16"/>
                <w:szCs w:val="16"/>
              </w:rPr>
              <w:t>ment of our</w:t>
            </w:r>
            <w:r w:rsidRPr="00E53378">
              <w:rPr>
                <w:color w:val="15272F" w:themeColor="text1"/>
                <w:sz w:val="16"/>
                <w:szCs w:val="16"/>
              </w:rPr>
              <w:t xml:space="preserve"> pricing advice. </w:t>
            </w:r>
          </w:p>
        </w:tc>
      </w:tr>
      <w:tr w:rsidR="00EB0D85" w:rsidRPr="00E53378" w14:paraId="1C31EABC" w14:textId="77777777" w:rsidTr="00ED2732">
        <w:trPr>
          <w:cnfStyle w:val="000000100000" w:firstRow="0" w:lastRow="0" w:firstColumn="0" w:lastColumn="0" w:oddVBand="0" w:evenVBand="0" w:oddHBand="1" w:evenHBand="0" w:firstRowFirstColumn="0" w:firstRowLastColumn="0" w:lastRowFirstColumn="0" w:lastRowLastColumn="0"/>
          <w:trHeight w:val="918"/>
        </w:trPr>
        <w:tc>
          <w:tcPr>
            <w:tcW w:w="2977" w:type="dxa"/>
          </w:tcPr>
          <w:p w14:paraId="42C65335"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Release the Residential Aged Care Cost Collection 2024–25 Report.</w:t>
            </w:r>
          </w:p>
        </w:tc>
        <w:tc>
          <w:tcPr>
            <w:tcW w:w="1276" w:type="dxa"/>
          </w:tcPr>
          <w:p w14:paraId="4D72F3D1"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April 2026</w:t>
            </w:r>
          </w:p>
        </w:tc>
        <w:tc>
          <w:tcPr>
            <w:tcW w:w="992" w:type="dxa"/>
          </w:tcPr>
          <w:p w14:paraId="4E00716A" w14:textId="77777777" w:rsidR="00EB0D85" w:rsidRPr="00E53378" w:rsidRDefault="00EB0D85" w:rsidP="00ED2732">
            <w:pPr>
              <w:pStyle w:val="TableParagraph"/>
              <w:framePr w:wrap="around"/>
              <w:spacing w:before="60" w:after="60" w:line="288" w:lineRule="auto"/>
              <w:jc w:val="left"/>
              <w:rPr>
                <w:rStyle w:val="Arialbody"/>
                <w:color w:val="15272F" w:themeColor="text1"/>
                <w:spacing w:val="-2"/>
                <w:sz w:val="16"/>
                <w:szCs w:val="16"/>
              </w:rPr>
            </w:pPr>
            <w:r w:rsidRPr="00E53378">
              <w:rPr>
                <w:color w:val="15272F" w:themeColor="text1"/>
                <w:sz w:val="16"/>
                <w:szCs w:val="16"/>
              </w:rPr>
              <w:t>Delivered</w:t>
            </w:r>
          </w:p>
        </w:tc>
        <w:tc>
          <w:tcPr>
            <w:tcW w:w="4536" w:type="dxa"/>
          </w:tcPr>
          <w:p w14:paraId="020BDD35"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 xml:space="preserve">The Residential Aged Care Cost Collection 2024–25 Report was provided to the </w:t>
            </w:r>
            <w:r>
              <w:rPr>
                <w:color w:val="15272F" w:themeColor="text1"/>
                <w:sz w:val="16"/>
                <w:szCs w:val="16"/>
              </w:rPr>
              <w:t>m</w:t>
            </w:r>
            <w:r w:rsidRPr="00E53378">
              <w:rPr>
                <w:color w:val="15272F" w:themeColor="text1"/>
                <w:sz w:val="16"/>
                <w:szCs w:val="16"/>
              </w:rPr>
              <w:t>inister in April 2026 following the completion of data collection.</w:t>
            </w:r>
          </w:p>
        </w:tc>
      </w:tr>
      <w:tr w:rsidR="00EB0D85" w:rsidRPr="00E53378" w14:paraId="56CE191E" w14:textId="77777777" w:rsidTr="00ED2732">
        <w:trPr>
          <w:cnfStyle w:val="000000010000" w:firstRow="0" w:lastRow="0" w:firstColumn="0" w:lastColumn="0" w:oddVBand="0" w:evenVBand="0" w:oddHBand="0" w:evenHBand="1" w:firstRowFirstColumn="0" w:firstRowLastColumn="0" w:lastRowFirstColumn="0" w:lastRowLastColumn="0"/>
          <w:trHeight w:val="918"/>
        </w:trPr>
        <w:tc>
          <w:tcPr>
            <w:tcW w:w="2977" w:type="dxa"/>
          </w:tcPr>
          <w:p w14:paraId="4206F5C8"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Release the Support at Home Cost Collection 2025 Report.</w:t>
            </w:r>
          </w:p>
        </w:tc>
        <w:tc>
          <w:tcPr>
            <w:tcW w:w="1276" w:type="dxa"/>
          </w:tcPr>
          <w:p w14:paraId="200FCF14"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April</w:t>
            </w:r>
            <w:r w:rsidRPr="00E53378">
              <w:rPr>
                <w:color w:val="15272F" w:themeColor="text1"/>
                <w:sz w:val="16"/>
                <w:szCs w:val="16"/>
              </w:rPr>
              <w:t xml:space="preserve"> 2026</w:t>
            </w:r>
          </w:p>
        </w:tc>
        <w:tc>
          <w:tcPr>
            <w:tcW w:w="992" w:type="dxa"/>
          </w:tcPr>
          <w:p w14:paraId="1987E871"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 xml:space="preserve">Delivered </w:t>
            </w:r>
          </w:p>
        </w:tc>
        <w:tc>
          <w:tcPr>
            <w:tcW w:w="4536" w:type="dxa"/>
          </w:tcPr>
          <w:p w14:paraId="0DECF70B" w14:textId="01B5A333" w:rsidR="00EB0D85" w:rsidRPr="00896E45" w:rsidRDefault="00EB0D85" w:rsidP="00ED2732">
            <w:pPr>
              <w:pStyle w:val="TableParagraph"/>
              <w:framePr w:wrap="around"/>
              <w:spacing w:before="60" w:after="60" w:line="288" w:lineRule="auto"/>
              <w:jc w:val="left"/>
              <w:rPr>
                <w:color w:val="15272F" w:themeColor="text1"/>
                <w:sz w:val="16"/>
                <w:szCs w:val="16"/>
              </w:rPr>
            </w:pPr>
            <w:r w:rsidRPr="00896E45">
              <w:rPr>
                <w:color w:val="15272F" w:themeColor="text1"/>
                <w:sz w:val="16"/>
                <w:szCs w:val="16"/>
              </w:rPr>
              <w:t xml:space="preserve">The Support at Home Cost Collection 2025 Report </w:t>
            </w:r>
            <w:r w:rsidR="00071F23">
              <w:rPr>
                <w:color w:val="15272F" w:themeColor="text1"/>
                <w:sz w:val="16"/>
                <w:szCs w:val="16"/>
              </w:rPr>
              <w:t>was</w:t>
            </w:r>
            <w:r w:rsidRPr="00896E45">
              <w:rPr>
                <w:color w:val="15272F" w:themeColor="text1"/>
                <w:sz w:val="16"/>
                <w:szCs w:val="16"/>
              </w:rPr>
              <w:t xml:space="preserve"> provided to the </w:t>
            </w:r>
            <w:r w:rsidR="00027D0F">
              <w:rPr>
                <w:color w:val="15272F" w:themeColor="text1"/>
                <w:sz w:val="16"/>
                <w:szCs w:val="16"/>
              </w:rPr>
              <w:t xml:space="preserve">minister </w:t>
            </w:r>
            <w:r w:rsidRPr="00896E45">
              <w:rPr>
                <w:color w:val="15272F" w:themeColor="text1"/>
                <w:sz w:val="16"/>
                <w:szCs w:val="16"/>
              </w:rPr>
              <w:t>in April 2026 following the completion of data collection.</w:t>
            </w:r>
          </w:p>
        </w:tc>
      </w:tr>
      <w:tr w:rsidR="00EB0D85" w:rsidRPr="00E53378" w14:paraId="3D35B8F7" w14:textId="77777777" w:rsidTr="00ED2732">
        <w:trPr>
          <w:cnfStyle w:val="000000100000" w:firstRow="0" w:lastRow="0" w:firstColumn="0" w:lastColumn="0" w:oddVBand="0" w:evenVBand="0" w:oddHBand="1" w:evenHBand="0" w:firstRowFirstColumn="0" w:firstRowLastColumn="0" w:lastRowFirstColumn="0" w:lastRowLastColumn="0"/>
          <w:trHeight w:val="918"/>
        </w:trPr>
        <w:tc>
          <w:tcPr>
            <w:tcW w:w="2977" w:type="dxa"/>
          </w:tcPr>
          <w:p w14:paraId="3BA66F9C"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 xml:space="preserve">Continue the development of the Australian Aged Care Costing Standards. </w:t>
            </w:r>
          </w:p>
        </w:tc>
        <w:tc>
          <w:tcPr>
            <w:tcW w:w="1276" w:type="dxa"/>
          </w:tcPr>
          <w:p w14:paraId="7B149A18"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June 2026</w:t>
            </w:r>
            <w:r w:rsidRPr="00E53378">
              <w:rPr>
                <w:color w:val="15272F" w:themeColor="text1"/>
                <w:sz w:val="16"/>
                <w:szCs w:val="16"/>
              </w:rPr>
              <w:t xml:space="preserve"> </w:t>
            </w:r>
          </w:p>
        </w:tc>
        <w:tc>
          <w:tcPr>
            <w:tcW w:w="992" w:type="dxa"/>
          </w:tcPr>
          <w:p w14:paraId="60689689"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 xml:space="preserve">Ongoing </w:t>
            </w:r>
          </w:p>
        </w:tc>
        <w:tc>
          <w:tcPr>
            <w:tcW w:w="4536" w:type="dxa"/>
          </w:tcPr>
          <w:p w14:paraId="2763DD83"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E53378">
              <w:rPr>
                <w:color w:val="15272F" w:themeColor="text1"/>
                <w:sz w:val="16"/>
                <w:szCs w:val="16"/>
              </w:rPr>
              <w:t xml:space="preserve"> continue to develop costing standards </w:t>
            </w:r>
            <w:r>
              <w:rPr>
                <w:color w:val="15272F" w:themeColor="text1"/>
                <w:sz w:val="16"/>
                <w:szCs w:val="16"/>
              </w:rPr>
              <w:t>that</w:t>
            </w:r>
            <w:r w:rsidRPr="00E53378">
              <w:rPr>
                <w:color w:val="15272F" w:themeColor="text1"/>
                <w:sz w:val="16"/>
                <w:szCs w:val="16"/>
              </w:rPr>
              <w:t xml:space="preserve"> describe consistent and best practice allocation of costs to aged care residents and participants.</w:t>
            </w:r>
          </w:p>
        </w:tc>
      </w:tr>
      <w:tr w:rsidR="00EB0D85" w:rsidRPr="00E53378" w14:paraId="30099A28" w14:textId="77777777" w:rsidTr="00ED2732">
        <w:trPr>
          <w:cnfStyle w:val="000000010000" w:firstRow="0" w:lastRow="0" w:firstColumn="0" w:lastColumn="0" w:oddVBand="0" w:evenVBand="0" w:oddHBand="0" w:evenHBand="1" w:firstRowFirstColumn="0" w:firstRowLastColumn="0" w:lastRowFirstColumn="0" w:lastRowLastColumn="0"/>
          <w:trHeight w:val="918"/>
        </w:trPr>
        <w:tc>
          <w:tcPr>
            <w:tcW w:w="2977" w:type="dxa"/>
          </w:tcPr>
          <w:p w14:paraId="5105B56B" w14:textId="77777777" w:rsidR="00EB0D85" w:rsidRPr="00E53378" w:rsidRDefault="00EB0D85" w:rsidP="00ED2732">
            <w:pPr>
              <w:pStyle w:val="Financialbodyleft"/>
              <w:numPr>
                <w:ilvl w:val="0"/>
                <w:numId w:val="19"/>
              </w:numPr>
              <w:spacing w:before="60" w:after="60" w:line="288" w:lineRule="auto"/>
              <w:ind w:left="230" w:hanging="230"/>
              <w:rPr>
                <w:rFonts w:ascii="Arial" w:hAnsi="Arial" w:cs="Arial"/>
                <w:sz w:val="16"/>
                <w:szCs w:val="16"/>
                <w:lang w:val="en-AU"/>
              </w:rPr>
            </w:pPr>
            <w:r w:rsidRPr="00E53378">
              <w:rPr>
                <w:rFonts w:ascii="Arial" w:hAnsi="Arial" w:cs="Arial"/>
                <w:sz w:val="16"/>
                <w:szCs w:val="16"/>
                <w:lang w:val="en-AU"/>
              </w:rPr>
              <w:t>Undertake focused studies on costs associated with identified priority areas, which may</w:t>
            </w:r>
            <w:r>
              <w:rPr>
                <w:rFonts w:ascii="Arial" w:hAnsi="Arial" w:cs="Arial"/>
                <w:sz w:val="16"/>
                <w:szCs w:val="16"/>
                <w:lang w:val="en-AU"/>
              </w:rPr>
              <w:t xml:space="preserve"> </w:t>
            </w:r>
            <w:r w:rsidRPr="00E53378">
              <w:rPr>
                <w:rFonts w:ascii="Arial" w:hAnsi="Arial" w:cs="Arial"/>
                <w:sz w:val="16"/>
                <w:szCs w:val="16"/>
                <w:lang w:val="en-AU"/>
              </w:rPr>
              <w:t xml:space="preserve">be resident or facility related, </w:t>
            </w:r>
            <w:r>
              <w:rPr>
                <w:rFonts w:ascii="Arial" w:hAnsi="Arial" w:cs="Arial"/>
                <w:sz w:val="16"/>
                <w:szCs w:val="16"/>
                <w:lang w:val="en-AU"/>
              </w:rPr>
              <w:t>found</w:t>
            </w:r>
            <w:r w:rsidRPr="00E53378">
              <w:rPr>
                <w:rFonts w:ascii="Arial" w:hAnsi="Arial" w:cs="Arial"/>
                <w:sz w:val="16"/>
                <w:szCs w:val="16"/>
                <w:lang w:val="en-AU"/>
              </w:rPr>
              <w:t xml:space="preserve"> through consultation processes.</w:t>
            </w:r>
          </w:p>
        </w:tc>
        <w:tc>
          <w:tcPr>
            <w:tcW w:w="1276" w:type="dxa"/>
          </w:tcPr>
          <w:p w14:paraId="630DB3F8"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June 2026</w:t>
            </w:r>
          </w:p>
        </w:tc>
        <w:tc>
          <w:tcPr>
            <w:tcW w:w="992" w:type="dxa"/>
          </w:tcPr>
          <w:p w14:paraId="1FBE12BA"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sidRPr="00E53378">
              <w:rPr>
                <w:color w:val="15272F" w:themeColor="text1"/>
                <w:sz w:val="16"/>
                <w:szCs w:val="16"/>
              </w:rPr>
              <w:t xml:space="preserve">Delivered </w:t>
            </w:r>
          </w:p>
        </w:tc>
        <w:tc>
          <w:tcPr>
            <w:tcW w:w="4536" w:type="dxa"/>
          </w:tcPr>
          <w:p w14:paraId="59E1370B" w14:textId="77777777" w:rsidR="00EB0D85" w:rsidRPr="00E5337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 have</w:t>
            </w:r>
            <w:r w:rsidRPr="00E53378">
              <w:rPr>
                <w:color w:val="15272F" w:themeColor="text1"/>
                <w:sz w:val="16"/>
                <w:szCs w:val="16"/>
              </w:rPr>
              <w:t xml:space="preserve"> placed focus on priority areas within </w:t>
            </w:r>
            <w:r>
              <w:rPr>
                <w:color w:val="15272F" w:themeColor="text1"/>
                <w:sz w:val="16"/>
                <w:szCs w:val="16"/>
              </w:rPr>
              <w:t>our</w:t>
            </w:r>
            <w:r w:rsidRPr="00E53378">
              <w:rPr>
                <w:color w:val="15272F" w:themeColor="text1"/>
                <w:sz w:val="16"/>
                <w:szCs w:val="16"/>
              </w:rPr>
              <w:t xml:space="preserve"> 2025 </w:t>
            </w:r>
            <w:r>
              <w:rPr>
                <w:color w:val="15272F" w:themeColor="text1"/>
                <w:sz w:val="16"/>
                <w:szCs w:val="16"/>
              </w:rPr>
              <w:t>c</w:t>
            </w:r>
            <w:r w:rsidRPr="00E53378">
              <w:rPr>
                <w:color w:val="15272F" w:themeColor="text1"/>
                <w:sz w:val="16"/>
                <w:szCs w:val="16"/>
              </w:rPr>
              <w:t xml:space="preserve">ost </w:t>
            </w:r>
            <w:r>
              <w:rPr>
                <w:color w:val="15272F" w:themeColor="text1"/>
                <w:sz w:val="16"/>
                <w:szCs w:val="16"/>
              </w:rPr>
              <w:t>c</w:t>
            </w:r>
            <w:r w:rsidRPr="00E53378">
              <w:rPr>
                <w:color w:val="15272F" w:themeColor="text1"/>
                <w:sz w:val="16"/>
                <w:szCs w:val="16"/>
              </w:rPr>
              <w:t>ollection</w:t>
            </w:r>
            <w:r>
              <w:rPr>
                <w:color w:val="15272F" w:themeColor="text1"/>
                <w:sz w:val="16"/>
                <w:szCs w:val="16"/>
              </w:rPr>
              <w:t>s. We</w:t>
            </w:r>
            <w:r w:rsidRPr="00E53378">
              <w:rPr>
                <w:color w:val="15272F" w:themeColor="text1"/>
                <w:sz w:val="16"/>
                <w:szCs w:val="16"/>
              </w:rPr>
              <w:t xml:space="preserve"> will continue to identify and collect costs from priority areas </w:t>
            </w:r>
            <w:r>
              <w:rPr>
                <w:color w:val="15272F" w:themeColor="text1"/>
                <w:sz w:val="16"/>
                <w:szCs w:val="16"/>
              </w:rPr>
              <w:t>as part of</w:t>
            </w:r>
            <w:r w:rsidRPr="00E53378">
              <w:rPr>
                <w:color w:val="15272F" w:themeColor="text1"/>
                <w:sz w:val="16"/>
                <w:szCs w:val="16"/>
              </w:rPr>
              <w:t xml:space="preserve"> </w:t>
            </w:r>
            <w:r>
              <w:rPr>
                <w:color w:val="15272F" w:themeColor="text1"/>
                <w:sz w:val="16"/>
                <w:szCs w:val="16"/>
              </w:rPr>
              <w:t>our</w:t>
            </w:r>
            <w:r w:rsidRPr="00E53378">
              <w:rPr>
                <w:color w:val="15272F" w:themeColor="text1"/>
                <w:sz w:val="16"/>
                <w:szCs w:val="16"/>
              </w:rPr>
              <w:t xml:space="preserve"> annual cost collections.</w:t>
            </w:r>
          </w:p>
        </w:tc>
      </w:tr>
    </w:tbl>
    <w:p w14:paraId="7B6BBF5A" w14:textId="77777777" w:rsidR="00EB0D85" w:rsidRDefault="00EB0D85" w:rsidP="00EB0D85">
      <w:pPr>
        <w:pStyle w:val="Heading1"/>
      </w:pPr>
      <w:bookmarkStart w:id="881" w:name="_Toc233022335"/>
      <w:bookmarkStart w:id="882" w:name="_Toc233023097"/>
      <w:bookmarkStart w:id="883" w:name="_Toc233023425"/>
      <w:bookmarkStart w:id="884" w:name="_Toc233028743"/>
      <w:bookmarkStart w:id="885" w:name="_Toc233028925"/>
      <w:bookmarkStart w:id="886" w:name="_Toc235787480"/>
      <w:bookmarkStart w:id="887" w:name="_Toc235791618"/>
      <w:bookmarkStart w:id="888" w:name="_Toc237872721"/>
      <w:r>
        <w:lastRenderedPageBreak/>
        <w:t>4.6</w:t>
      </w:r>
      <w:r>
        <w:tab/>
        <w:t>Strategic objective four: Determine data requirements and collect data</w:t>
      </w:r>
      <w:bookmarkEnd w:id="881"/>
      <w:bookmarkEnd w:id="882"/>
      <w:bookmarkEnd w:id="883"/>
      <w:bookmarkEnd w:id="884"/>
      <w:bookmarkEnd w:id="885"/>
      <w:bookmarkEnd w:id="886"/>
      <w:bookmarkEnd w:id="887"/>
      <w:bookmarkEnd w:id="888"/>
      <w:r>
        <w:t xml:space="preserve"> </w:t>
      </w:r>
    </w:p>
    <w:p w14:paraId="6F98E331" w14:textId="77777777" w:rsidR="00EB0D85" w:rsidRPr="00270D38" w:rsidRDefault="00EB0D85" w:rsidP="00EB0D85">
      <w:bookmarkStart w:id="889" w:name="_Toc200974677"/>
      <w:r w:rsidRPr="00270D38">
        <w:t xml:space="preserve">Timely, accurate and reliable data is vital for IHACPA to undertake </w:t>
      </w:r>
      <w:r>
        <w:t>our work</w:t>
      </w:r>
      <w:r w:rsidRPr="00270D38">
        <w:t xml:space="preserve"> functions</w:t>
      </w:r>
      <w:bookmarkEnd w:id="889"/>
      <w:r w:rsidRPr="00270D38">
        <w:t xml:space="preserve">. </w:t>
      </w:r>
    </w:p>
    <w:p w14:paraId="5750C69C" w14:textId="77777777" w:rsidR="00EB0D85" w:rsidRPr="00270D38" w:rsidRDefault="00EB0D85" w:rsidP="00EB0D85">
      <w:r w:rsidRPr="00270D38">
        <w:rPr>
          <w:rFonts w:eastAsiaTheme="minorEastAsia"/>
        </w:rPr>
        <w:t>Throughout 202</w:t>
      </w:r>
      <w:r w:rsidRPr="00270D38">
        <w:t>5</w:t>
      </w:r>
      <w:r w:rsidRPr="00270D38">
        <w:rPr>
          <w:rFonts w:eastAsiaTheme="minorEastAsia"/>
        </w:rPr>
        <w:t>–2</w:t>
      </w:r>
      <w:r w:rsidRPr="00270D38">
        <w:t>6</w:t>
      </w:r>
      <w:r w:rsidRPr="00270D38">
        <w:rPr>
          <w:rFonts w:eastAsiaTheme="minorEastAsia"/>
        </w:rPr>
        <w:t xml:space="preserve">, </w:t>
      </w:r>
      <w:r>
        <w:rPr>
          <w:rFonts w:eastAsiaTheme="minorEastAsia"/>
        </w:rPr>
        <w:t>we</w:t>
      </w:r>
      <w:r w:rsidRPr="00270D38">
        <w:rPr>
          <w:rFonts w:eastAsiaTheme="minorEastAsia"/>
        </w:rPr>
        <w:t xml:space="preserve"> continued to work with jurisdictions and national bodies</w:t>
      </w:r>
      <w:r>
        <w:rPr>
          <w:rFonts w:eastAsiaTheme="minorEastAsia"/>
        </w:rPr>
        <w:t>,</w:t>
      </w:r>
      <w:r w:rsidRPr="00270D38">
        <w:rPr>
          <w:rFonts w:eastAsiaTheme="minorEastAsia"/>
        </w:rPr>
        <w:t xml:space="preserve"> ensur</w:t>
      </w:r>
      <w:r>
        <w:rPr>
          <w:rFonts w:eastAsiaTheme="minorEastAsia"/>
        </w:rPr>
        <w:t xml:space="preserve">ing </w:t>
      </w:r>
      <w:r w:rsidRPr="00270D38">
        <w:rPr>
          <w:rFonts w:eastAsiaTheme="minorEastAsia"/>
        </w:rPr>
        <w:t>cost and activity data was received in a timely manner</w:t>
      </w:r>
      <w:r>
        <w:rPr>
          <w:rFonts w:eastAsiaTheme="minorEastAsia"/>
        </w:rPr>
        <w:t xml:space="preserve"> </w:t>
      </w:r>
      <w:r w:rsidRPr="00270D38">
        <w:rPr>
          <w:rFonts w:eastAsiaTheme="minorEastAsia"/>
        </w:rPr>
        <w:t>and adhered to data standards</w:t>
      </w:r>
      <w:r>
        <w:rPr>
          <w:rFonts w:eastAsiaTheme="minorEastAsia"/>
        </w:rPr>
        <w:t>.</w:t>
      </w:r>
      <w:r w:rsidRPr="00270D38">
        <w:rPr>
          <w:rFonts w:eastAsiaTheme="minorEastAsia"/>
        </w:rPr>
        <w:t xml:space="preserve"> </w:t>
      </w:r>
    </w:p>
    <w:p w14:paraId="50E03998" w14:textId="77777777" w:rsidR="00EB0D85" w:rsidRPr="00270D38" w:rsidRDefault="00EB0D85" w:rsidP="00EB0D85">
      <w:pPr>
        <w:rPr>
          <w:rFonts w:eastAsiaTheme="minorEastAsia"/>
        </w:rPr>
      </w:pPr>
      <w:r>
        <w:rPr>
          <w:rFonts w:eastAsiaTheme="minorEastAsia"/>
        </w:rPr>
        <w:t>We achieve this</w:t>
      </w:r>
      <w:r w:rsidRPr="00270D38">
        <w:rPr>
          <w:rFonts w:eastAsiaTheme="minorEastAsia"/>
        </w:rPr>
        <w:t xml:space="preserve"> through the rolling Three Year Data Plan 2026–27 to 2028–29 </w:t>
      </w:r>
      <w:r>
        <w:rPr>
          <w:rFonts w:eastAsiaTheme="minorEastAsia"/>
        </w:rPr>
        <w:t>that</w:t>
      </w:r>
      <w:r w:rsidRPr="00270D38">
        <w:rPr>
          <w:rFonts w:eastAsiaTheme="minorEastAsia"/>
        </w:rPr>
        <w:t xml:space="preserve"> was published in June 2026. The </w:t>
      </w:r>
      <w:r>
        <w:rPr>
          <w:rFonts w:eastAsiaTheme="minorEastAsia"/>
        </w:rPr>
        <w:t>p</w:t>
      </w:r>
      <w:r w:rsidRPr="00270D38">
        <w:rPr>
          <w:rFonts w:eastAsiaTheme="minorEastAsia"/>
        </w:rPr>
        <w:t xml:space="preserve">lan specifies the data requirements and timelines that </w:t>
      </w:r>
      <w:r>
        <w:rPr>
          <w:rFonts w:eastAsiaTheme="minorEastAsia"/>
        </w:rPr>
        <w:t>we</w:t>
      </w:r>
      <w:r w:rsidRPr="00270D38">
        <w:rPr>
          <w:rFonts w:eastAsiaTheme="minorEastAsia"/>
        </w:rPr>
        <w:t xml:space="preserve"> will use to collect data</w:t>
      </w:r>
      <w:r>
        <w:rPr>
          <w:rFonts w:eastAsiaTheme="minorEastAsia"/>
        </w:rPr>
        <w:t>.</w:t>
      </w:r>
      <w:r w:rsidRPr="00270D38">
        <w:rPr>
          <w:rFonts w:eastAsiaTheme="minorEastAsia"/>
        </w:rPr>
        <w:t xml:space="preserve"> </w:t>
      </w:r>
      <w:r>
        <w:rPr>
          <w:rFonts w:eastAsiaTheme="minorEastAsia"/>
        </w:rPr>
        <w:t xml:space="preserve">It also includes </w:t>
      </w:r>
      <w:r w:rsidRPr="00270D38">
        <w:rPr>
          <w:rFonts w:eastAsiaTheme="minorEastAsia"/>
        </w:rPr>
        <w:t>reporting commitments from the Australian Government</w:t>
      </w:r>
      <w:r>
        <w:rPr>
          <w:rFonts w:eastAsiaTheme="minorEastAsia"/>
        </w:rPr>
        <w:t>, and</w:t>
      </w:r>
      <w:r w:rsidRPr="00270D38">
        <w:rPr>
          <w:rFonts w:eastAsiaTheme="minorEastAsia"/>
        </w:rPr>
        <w:t xml:space="preserve"> state and territory governments</w:t>
      </w:r>
      <w:r>
        <w:rPr>
          <w:rFonts w:eastAsiaTheme="minorEastAsia"/>
        </w:rPr>
        <w:t xml:space="preserve">, such as </w:t>
      </w:r>
      <w:r w:rsidRPr="00270D38">
        <w:rPr>
          <w:rFonts w:eastAsiaTheme="minorEastAsia"/>
        </w:rPr>
        <w:t xml:space="preserve">information about the aged care data that </w:t>
      </w:r>
      <w:r>
        <w:rPr>
          <w:rFonts w:eastAsiaTheme="minorEastAsia"/>
        </w:rPr>
        <w:t>we</w:t>
      </w:r>
      <w:r w:rsidRPr="00270D38">
        <w:rPr>
          <w:rFonts w:eastAsiaTheme="minorEastAsia"/>
        </w:rPr>
        <w:t xml:space="preserve"> need to collect</w:t>
      </w:r>
      <w:r>
        <w:rPr>
          <w:rFonts w:eastAsiaTheme="minorEastAsia"/>
        </w:rPr>
        <w:t xml:space="preserve"> to provide our pricing and costing</w:t>
      </w:r>
      <w:r w:rsidRPr="00270D38">
        <w:rPr>
          <w:rFonts w:eastAsiaTheme="minorEastAsia"/>
        </w:rPr>
        <w:t xml:space="preserve"> advice. </w:t>
      </w:r>
    </w:p>
    <w:p w14:paraId="450E5DC7" w14:textId="77777777" w:rsidR="00EB0D85" w:rsidRPr="00FA0CF1" w:rsidRDefault="00EB0D85" w:rsidP="00EB0D85">
      <w:pPr>
        <w:pStyle w:val="Heading2"/>
        <w:rPr>
          <w:rFonts w:eastAsiaTheme="minorEastAsia"/>
        </w:rPr>
      </w:pPr>
      <w:bookmarkStart w:id="890" w:name="_Toc233021846"/>
      <w:bookmarkStart w:id="891" w:name="_Toc233022336"/>
      <w:bookmarkStart w:id="892" w:name="_Toc233023098"/>
      <w:bookmarkStart w:id="893" w:name="_Toc233023426"/>
      <w:bookmarkStart w:id="894" w:name="_Toc233023568"/>
      <w:bookmarkStart w:id="895" w:name="_Toc233028744"/>
      <w:bookmarkStart w:id="896" w:name="_Toc233028926"/>
      <w:bookmarkStart w:id="897" w:name="_Toc235786150"/>
      <w:bookmarkStart w:id="898" w:name="_Toc235787481"/>
      <w:bookmarkStart w:id="899" w:name="_Toc235791619"/>
      <w:bookmarkStart w:id="900" w:name="_Toc237872722"/>
      <w:r w:rsidRPr="006D6921">
        <w:t>Results</w:t>
      </w:r>
      <w:bookmarkEnd w:id="890"/>
      <w:bookmarkEnd w:id="891"/>
      <w:bookmarkEnd w:id="892"/>
      <w:bookmarkEnd w:id="893"/>
      <w:bookmarkEnd w:id="894"/>
      <w:bookmarkEnd w:id="895"/>
      <w:bookmarkEnd w:id="896"/>
      <w:bookmarkEnd w:id="897"/>
      <w:bookmarkEnd w:id="898"/>
      <w:bookmarkEnd w:id="899"/>
      <w:bookmarkEnd w:id="900"/>
    </w:p>
    <w:p w14:paraId="533061CD" w14:textId="77777777" w:rsidR="00EB0D85" w:rsidRPr="006D6921" w:rsidRDefault="00EB0D85" w:rsidP="00EB0D85">
      <w:pPr>
        <w:rPr>
          <w:b/>
          <w:bCs/>
        </w:rPr>
      </w:pPr>
      <w:bookmarkStart w:id="901" w:name="_Toc148025824"/>
      <w:r w:rsidRPr="006D6921">
        <w:t xml:space="preserve">The reporting of key activities in this annual report refers to the deliverables of </w:t>
      </w:r>
      <w:r>
        <w:t>s</w:t>
      </w:r>
      <w:r w:rsidRPr="006D6921">
        <w:t>trategic </w:t>
      </w:r>
      <w:r>
        <w:t>o</w:t>
      </w:r>
      <w:r w:rsidRPr="006D6921">
        <w:t xml:space="preserve">bjective </w:t>
      </w:r>
      <w:r>
        <w:t>f</w:t>
      </w:r>
      <w:r w:rsidRPr="006D6921">
        <w:t xml:space="preserve">our: Determine data requirements and collect data in the IHACPA Work Program and Corporate Plan 2025–26, </w:t>
      </w:r>
      <w:bookmarkEnd w:id="901"/>
      <w:r w:rsidRPr="006D6921">
        <w:t>and Section 1.1 of the Portfolio Budget Statements</w:t>
      </w:r>
      <w:r>
        <w:t xml:space="preserve"> </w:t>
      </w:r>
      <w:r w:rsidRPr="006D6921">
        <w:t xml:space="preserve">2025–26. A summary of each deliverable and the analysis of our performance against the deliverables is outlined in </w:t>
      </w:r>
      <w:r w:rsidRPr="007C7764">
        <w:rPr>
          <w:b/>
          <w:bCs/>
        </w:rPr>
        <w:t>Table 1</w:t>
      </w:r>
      <w:r>
        <w:rPr>
          <w:b/>
          <w:bCs/>
        </w:rPr>
        <w:t>1</w:t>
      </w:r>
      <w:r w:rsidRPr="006D6921">
        <w:t>.</w:t>
      </w:r>
    </w:p>
    <w:p w14:paraId="0224CC65" w14:textId="77777777" w:rsidR="00EB0D85" w:rsidRPr="0093251D" w:rsidRDefault="00EB0D85" w:rsidP="00EB0D85">
      <w:pPr>
        <w:pStyle w:val="TableFigureheading"/>
        <w:rPr>
          <w:b/>
          <w:bCs/>
          <w:color w:val="15272F" w:themeColor="text1"/>
        </w:rPr>
      </w:pPr>
      <w:bookmarkStart w:id="902" w:name="_Toc233023569"/>
      <w:bookmarkStart w:id="903" w:name="_Toc233028745"/>
      <w:r w:rsidRPr="0093251D">
        <w:rPr>
          <w:b/>
          <w:bCs/>
          <w:color w:val="15272F" w:themeColor="text1"/>
        </w:rPr>
        <w:t>Table 1</w:t>
      </w:r>
      <w:r>
        <w:rPr>
          <w:b/>
          <w:bCs/>
          <w:color w:val="15272F" w:themeColor="text1"/>
        </w:rPr>
        <w:t>1:</w:t>
      </w:r>
      <w:r w:rsidRPr="0093251D">
        <w:rPr>
          <w:b/>
          <w:bCs/>
          <w:color w:val="15272F" w:themeColor="text1"/>
        </w:rPr>
        <w:t xml:space="preserve"> Summary of performance for </w:t>
      </w:r>
      <w:r>
        <w:rPr>
          <w:b/>
          <w:bCs/>
          <w:color w:val="15272F" w:themeColor="text1"/>
        </w:rPr>
        <w:t>s</w:t>
      </w:r>
      <w:r w:rsidRPr="0093251D">
        <w:rPr>
          <w:b/>
          <w:bCs/>
          <w:color w:val="15272F" w:themeColor="text1"/>
        </w:rPr>
        <w:t xml:space="preserve">trategic </w:t>
      </w:r>
      <w:r>
        <w:rPr>
          <w:b/>
          <w:bCs/>
          <w:color w:val="15272F" w:themeColor="text1"/>
        </w:rPr>
        <w:t>o</w:t>
      </w:r>
      <w:r w:rsidRPr="0093251D">
        <w:rPr>
          <w:b/>
          <w:bCs/>
          <w:color w:val="15272F" w:themeColor="text1"/>
        </w:rPr>
        <w:t xml:space="preserve">bjective </w:t>
      </w:r>
      <w:r>
        <w:rPr>
          <w:b/>
          <w:bCs/>
          <w:color w:val="15272F" w:themeColor="text1"/>
        </w:rPr>
        <w:t>f</w:t>
      </w:r>
      <w:r w:rsidRPr="0093251D">
        <w:rPr>
          <w:b/>
          <w:bCs/>
          <w:color w:val="15272F" w:themeColor="text1"/>
        </w:rPr>
        <w:t>our: Determine data requirements and collect data in 2025–26</w:t>
      </w:r>
      <w:bookmarkEnd w:id="902"/>
      <w:bookmarkEnd w:id="903"/>
      <w:r>
        <w:rPr>
          <w:b/>
          <w:bCs/>
          <w:color w:val="15272F" w:themeColor="text1"/>
        </w:rPr>
        <w:t xml:space="preserve"> </w:t>
      </w:r>
    </w:p>
    <w:tbl>
      <w:tblPr>
        <w:tblStyle w:val="IHACPATable"/>
        <w:tblW w:w="9647" w:type="dxa"/>
        <w:tblLayout w:type="fixed"/>
        <w:tblLook w:val="0000" w:firstRow="0" w:lastRow="0" w:firstColumn="0" w:lastColumn="0" w:noHBand="0" w:noVBand="0"/>
      </w:tblPr>
      <w:tblGrid>
        <w:gridCol w:w="3410"/>
        <w:gridCol w:w="1134"/>
        <w:gridCol w:w="993"/>
        <w:gridCol w:w="4110"/>
      </w:tblGrid>
      <w:tr w:rsidR="00EB0D85" w:rsidRPr="00FB12C2" w14:paraId="50EB6D26" w14:textId="77777777" w:rsidTr="00ED2732">
        <w:trPr>
          <w:cnfStyle w:val="000000010000" w:firstRow="0" w:lastRow="0" w:firstColumn="0" w:lastColumn="0" w:oddVBand="0" w:evenVBand="0" w:oddHBand="0" w:evenHBand="1" w:firstRowFirstColumn="0" w:firstRowLastColumn="0" w:lastRowFirstColumn="0" w:lastRowLastColumn="0"/>
          <w:trHeight w:val="57"/>
          <w:tblHeader/>
        </w:trPr>
        <w:tc>
          <w:tcPr>
            <w:tcW w:w="3410" w:type="dxa"/>
            <w:shd w:val="clear" w:color="auto" w:fill="15272F" w:themeFill="accent1"/>
          </w:tcPr>
          <w:p w14:paraId="58C1E6C7" w14:textId="77777777" w:rsidR="00EB0D85" w:rsidRPr="00967E55" w:rsidRDefault="00EB0D85" w:rsidP="00ED2732">
            <w:pPr>
              <w:pStyle w:val="TableFigureHeading0"/>
              <w:spacing w:before="60" w:after="60" w:line="288" w:lineRule="auto"/>
              <w:rPr>
                <w:color w:val="FFFFFF" w:themeColor="background2"/>
                <w:sz w:val="16"/>
                <w:szCs w:val="16"/>
              </w:rPr>
            </w:pPr>
            <w:bookmarkStart w:id="904" w:name="_Toc148025826"/>
            <w:r w:rsidRPr="00967E55">
              <w:rPr>
                <w:color w:val="FFFFFF" w:themeColor="background2"/>
                <w:sz w:val="16"/>
                <w:szCs w:val="16"/>
              </w:rPr>
              <w:t>Deliverables</w:t>
            </w:r>
            <w:bookmarkEnd w:id="904"/>
          </w:p>
        </w:tc>
        <w:tc>
          <w:tcPr>
            <w:tcW w:w="1134" w:type="dxa"/>
            <w:shd w:val="clear" w:color="auto" w:fill="15272F" w:themeFill="accent1"/>
          </w:tcPr>
          <w:p w14:paraId="21BF40F4" w14:textId="77777777" w:rsidR="00EB0D85" w:rsidRPr="00967E55" w:rsidRDefault="00EB0D85" w:rsidP="00ED2732">
            <w:pPr>
              <w:pStyle w:val="Tableheadingright"/>
              <w:spacing w:before="60" w:after="60" w:line="288" w:lineRule="auto"/>
              <w:jc w:val="left"/>
              <w:rPr>
                <w:rStyle w:val="WhiteColours"/>
                <w:rFonts w:ascii="Arial" w:hAnsi="Arial" w:cs="Arial"/>
                <w:color w:val="FFFFFF" w:themeColor="background2"/>
                <w:sz w:val="16"/>
                <w:szCs w:val="16"/>
                <w:lang w:val="en-AU"/>
              </w:rPr>
            </w:pPr>
            <w:r w:rsidRPr="00967E55">
              <w:rPr>
                <w:rStyle w:val="WhiteColours"/>
                <w:rFonts w:ascii="Arial" w:hAnsi="Arial" w:cs="Arial"/>
                <w:color w:val="FFFFFF" w:themeColor="background2"/>
                <w:sz w:val="16"/>
                <w:szCs w:val="16"/>
                <w:lang w:val="en-AU"/>
              </w:rPr>
              <w:t>Timeframe</w:t>
            </w:r>
          </w:p>
        </w:tc>
        <w:tc>
          <w:tcPr>
            <w:tcW w:w="993" w:type="dxa"/>
            <w:shd w:val="clear" w:color="auto" w:fill="15272F" w:themeFill="accent1"/>
          </w:tcPr>
          <w:p w14:paraId="412BA742" w14:textId="77777777" w:rsidR="00EB0D85" w:rsidRPr="00967E55" w:rsidRDefault="00EB0D85" w:rsidP="00ED2732">
            <w:pPr>
              <w:pStyle w:val="Tableheadingright"/>
              <w:spacing w:before="60" w:after="60" w:line="288" w:lineRule="auto"/>
              <w:jc w:val="left"/>
              <w:rPr>
                <w:rStyle w:val="WhiteColours"/>
                <w:rFonts w:ascii="Arial" w:hAnsi="Arial" w:cs="Arial"/>
                <w:color w:val="FFFFFF" w:themeColor="background2"/>
                <w:sz w:val="16"/>
                <w:szCs w:val="16"/>
                <w:lang w:val="en-AU"/>
              </w:rPr>
            </w:pPr>
            <w:r w:rsidRPr="00967E55">
              <w:rPr>
                <w:rStyle w:val="WhiteColours"/>
                <w:rFonts w:ascii="Arial" w:hAnsi="Arial" w:cs="Arial"/>
                <w:color w:val="FFFFFF" w:themeColor="background2"/>
                <w:sz w:val="16"/>
                <w:szCs w:val="16"/>
                <w:lang w:val="en-AU"/>
              </w:rPr>
              <w:t>Outcome</w:t>
            </w:r>
          </w:p>
        </w:tc>
        <w:tc>
          <w:tcPr>
            <w:tcW w:w="4110" w:type="dxa"/>
            <w:shd w:val="clear" w:color="auto" w:fill="15272F" w:themeFill="accent1"/>
          </w:tcPr>
          <w:p w14:paraId="42BC67EB" w14:textId="77777777" w:rsidR="00EB0D85" w:rsidRPr="00967E55" w:rsidRDefault="00EB0D85" w:rsidP="00ED2732">
            <w:pPr>
              <w:pStyle w:val="Tableheadingright"/>
              <w:spacing w:before="60" w:after="60" w:line="288" w:lineRule="auto"/>
              <w:jc w:val="left"/>
              <w:rPr>
                <w:rStyle w:val="WhiteColours"/>
                <w:rFonts w:ascii="Arial" w:hAnsi="Arial" w:cs="Arial"/>
                <w:color w:val="FFFFFF" w:themeColor="background2"/>
                <w:sz w:val="16"/>
                <w:szCs w:val="16"/>
                <w:lang w:val="en-AU"/>
              </w:rPr>
            </w:pPr>
            <w:r w:rsidRPr="00967E55">
              <w:rPr>
                <w:rStyle w:val="WhiteColours"/>
                <w:rFonts w:ascii="Arial" w:hAnsi="Arial" w:cs="Arial"/>
                <w:color w:val="FFFFFF" w:themeColor="background2"/>
                <w:sz w:val="16"/>
                <w:szCs w:val="16"/>
                <w:lang w:val="en-AU"/>
              </w:rPr>
              <w:t>Analysis</w:t>
            </w:r>
          </w:p>
        </w:tc>
      </w:tr>
      <w:tr w:rsidR="00EB0D85" w:rsidRPr="00C21045" w14:paraId="00FF12CE"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3410" w:type="dxa"/>
          </w:tcPr>
          <w:p w14:paraId="72C72F48" w14:textId="77777777" w:rsidR="00EB0D85" w:rsidRPr="007734E5" w:rsidRDefault="00EB0D85" w:rsidP="00ED2732">
            <w:pPr>
              <w:pStyle w:val="Financialbodyleft"/>
              <w:numPr>
                <w:ilvl w:val="0"/>
                <w:numId w:val="20"/>
              </w:numPr>
              <w:spacing w:before="60" w:after="60" w:line="288" w:lineRule="auto"/>
              <w:ind w:left="232" w:hanging="232"/>
              <w:rPr>
                <w:rFonts w:ascii="Arial" w:hAnsi="Arial" w:cs="Arial"/>
                <w:sz w:val="16"/>
                <w:szCs w:val="16"/>
                <w:lang w:val="en-AU"/>
              </w:rPr>
            </w:pPr>
            <w:r w:rsidRPr="007734E5">
              <w:rPr>
                <w:rFonts w:ascii="Arial" w:hAnsi="Arial" w:cs="Arial"/>
                <w:sz w:val="16"/>
                <w:szCs w:val="16"/>
                <w:lang w:val="en-AU"/>
              </w:rPr>
              <w:t>Publish the Three Year Data Plan 2026–27 to 2028–29.</w:t>
            </w:r>
          </w:p>
        </w:tc>
        <w:tc>
          <w:tcPr>
            <w:tcW w:w="1134" w:type="dxa"/>
          </w:tcPr>
          <w:p w14:paraId="5E6DCD3F"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sidRPr="007734E5">
              <w:rPr>
                <w:color w:val="15272F" w:themeColor="text1"/>
                <w:sz w:val="16"/>
                <w:szCs w:val="16"/>
              </w:rPr>
              <w:t>June 2026</w:t>
            </w:r>
          </w:p>
        </w:tc>
        <w:tc>
          <w:tcPr>
            <w:tcW w:w="993" w:type="dxa"/>
          </w:tcPr>
          <w:p w14:paraId="3567DFE6"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sidRPr="007734E5">
              <w:rPr>
                <w:color w:val="15272F" w:themeColor="text1"/>
                <w:sz w:val="16"/>
                <w:szCs w:val="16"/>
              </w:rPr>
              <w:t>Delivered</w:t>
            </w:r>
          </w:p>
        </w:tc>
        <w:tc>
          <w:tcPr>
            <w:tcW w:w="4110" w:type="dxa"/>
          </w:tcPr>
          <w:p w14:paraId="6D05579D"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 xml:space="preserve">The </w:t>
            </w:r>
            <w:r w:rsidRPr="007734E5">
              <w:rPr>
                <w:color w:val="15272F" w:themeColor="text1"/>
                <w:sz w:val="16"/>
                <w:szCs w:val="16"/>
              </w:rPr>
              <w:t xml:space="preserve">Three Year Data Plan was published in June 2026. </w:t>
            </w:r>
          </w:p>
        </w:tc>
      </w:tr>
      <w:tr w:rsidR="00EB0D85" w:rsidRPr="00C21045" w14:paraId="1595BD65"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3410" w:type="dxa"/>
          </w:tcPr>
          <w:p w14:paraId="54812A8C" w14:textId="77777777" w:rsidR="00EB0D85" w:rsidRPr="007734E5" w:rsidRDefault="00EB0D85" w:rsidP="00ED2732">
            <w:pPr>
              <w:pStyle w:val="Financialbodyleft"/>
              <w:numPr>
                <w:ilvl w:val="0"/>
                <w:numId w:val="20"/>
              </w:numPr>
              <w:spacing w:before="60" w:after="60" w:line="288" w:lineRule="auto"/>
              <w:ind w:left="232" w:hanging="232"/>
              <w:rPr>
                <w:rFonts w:ascii="Arial" w:hAnsi="Arial" w:cs="Arial"/>
                <w:sz w:val="16"/>
                <w:szCs w:val="16"/>
                <w:lang w:val="en-AU"/>
              </w:rPr>
            </w:pPr>
            <w:r w:rsidRPr="007734E5">
              <w:rPr>
                <w:rFonts w:ascii="Arial" w:hAnsi="Arial" w:cs="Arial"/>
                <w:sz w:val="16"/>
                <w:szCs w:val="16"/>
                <w:lang w:val="en-AU"/>
              </w:rPr>
              <w:t>Complete the annual review of activity-based funding national best endeavours data</w:t>
            </w:r>
            <w:r>
              <w:rPr>
                <w:rFonts w:ascii="Arial" w:hAnsi="Arial" w:cs="Arial"/>
                <w:sz w:val="16"/>
                <w:szCs w:val="16"/>
                <w:lang w:val="en-AU"/>
              </w:rPr>
              <w:t xml:space="preserve"> </w:t>
            </w:r>
            <w:r w:rsidRPr="007734E5">
              <w:rPr>
                <w:rFonts w:ascii="Arial" w:hAnsi="Arial" w:cs="Arial"/>
                <w:sz w:val="16"/>
                <w:szCs w:val="16"/>
                <w:lang w:val="en-AU"/>
              </w:rPr>
              <w:t>sets and national minimum data</w:t>
            </w:r>
            <w:r>
              <w:rPr>
                <w:rFonts w:ascii="Arial" w:hAnsi="Arial" w:cs="Arial"/>
                <w:sz w:val="16"/>
                <w:szCs w:val="16"/>
                <w:lang w:val="en-AU"/>
              </w:rPr>
              <w:t xml:space="preserve"> </w:t>
            </w:r>
            <w:r w:rsidRPr="007734E5">
              <w:rPr>
                <w:rFonts w:ascii="Arial" w:hAnsi="Arial" w:cs="Arial"/>
                <w:sz w:val="16"/>
                <w:szCs w:val="16"/>
                <w:lang w:val="en-AU"/>
              </w:rPr>
              <w:t>sets.</w:t>
            </w:r>
          </w:p>
        </w:tc>
        <w:tc>
          <w:tcPr>
            <w:tcW w:w="1134" w:type="dxa"/>
          </w:tcPr>
          <w:p w14:paraId="7A4A2229"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sidRPr="007734E5">
              <w:rPr>
                <w:color w:val="15272F" w:themeColor="text1"/>
                <w:sz w:val="16"/>
                <w:szCs w:val="16"/>
              </w:rPr>
              <w:t>December 2025</w:t>
            </w:r>
          </w:p>
        </w:tc>
        <w:tc>
          <w:tcPr>
            <w:tcW w:w="993" w:type="dxa"/>
          </w:tcPr>
          <w:p w14:paraId="090D7A61"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sidRPr="007734E5">
              <w:rPr>
                <w:color w:val="15272F" w:themeColor="text1"/>
                <w:sz w:val="16"/>
                <w:szCs w:val="16"/>
              </w:rPr>
              <w:t>Delivered</w:t>
            </w:r>
          </w:p>
        </w:tc>
        <w:tc>
          <w:tcPr>
            <w:tcW w:w="4110" w:type="dxa"/>
          </w:tcPr>
          <w:p w14:paraId="651C9BE6"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sidRPr="007734E5">
              <w:rPr>
                <w:color w:val="15272F" w:themeColor="text1"/>
                <w:sz w:val="16"/>
                <w:szCs w:val="16"/>
              </w:rPr>
              <w:t>The national best endeavours data</w:t>
            </w:r>
            <w:r>
              <w:rPr>
                <w:color w:val="15272F" w:themeColor="text1"/>
                <w:sz w:val="16"/>
                <w:szCs w:val="16"/>
              </w:rPr>
              <w:t xml:space="preserve"> </w:t>
            </w:r>
            <w:r w:rsidRPr="007734E5">
              <w:rPr>
                <w:color w:val="15272F" w:themeColor="text1"/>
                <w:sz w:val="16"/>
                <w:szCs w:val="16"/>
              </w:rPr>
              <w:t>sets and the national minimum data sets for the 2025–26 reporting period were finalised in December 2025 and published in January 2026.</w:t>
            </w:r>
          </w:p>
        </w:tc>
      </w:tr>
      <w:tr w:rsidR="00EB0D85" w:rsidRPr="00353DFA" w14:paraId="56E8C34D"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3410" w:type="dxa"/>
          </w:tcPr>
          <w:p w14:paraId="2C8F8251" w14:textId="77777777" w:rsidR="00EB0D85" w:rsidRPr="007734E5" w:rsidRDefault="00EB0D85" w:rsidP="00ED2732">
            <w:pPr>
              <w:pStyle w:val="Financialbodyleft"/>
              <w:numPr>
                <w:ilvl w:val="0"/>
                <w:numId w:val="20"/>
              </w:numPr>
              <w:spacing w:before="60" w:after="60" w:line="288" w:lineRule="auto"/>
              <w:ind w:left="232" w:hanging="232"/>
              <w:rPr>
                <w:rFonts w:ascii="Arial" w:hAnsi="Arial" w:cs="Arial"/>
                <w:sz w:val="16"/>
                <w:szCs w:val="16"/>
                <w:lang w:val="en-AU"/>
              </w:rPr>
            </w:pPr>
            <w:r w:rsidRPr="007734E5">
              <w:rPr>
                <w:rFonts w:ascii="Arial" w:hAnsi="Arial" w:cs="Arial"/>
                <w:sz w:val="16"/>
                <w:szCs w:val="16"/>
                <w:lang w:val="en-AU"/>
              </w:rPr>
              <w:t>Implement diagnosis cluster identifier</w:t>
            </w:r>
            <w:r>
              <w:rPr>
                <w:rFonts w:ascii="Arial" w:hAnsi="Arial" w:cs="Arial"/>
                <w:sz w:val="16"/>
                <w:szCs w:val="16"/>
                <w:lang w:val="en-AU"/>
              </w:rPr>
              <w:t xml:space="preserve"> (DCID)</w:t>
            </w:r>
            <w:r w:rsidRPr="007734E5">
              <w:rPr>
                <w:rFonts w:ascii="Arial" w:hAnsi="Arial" w:cs="Arial"/>
                <w:sz w:val="16"/>
                <w:szCs w:val="16"/>
                <w:lang w:val="en-AU"/>
              </w:rPr>
              <w:t xml:space="preserve"> into admitted patient care datasets. </w:t>
            </w:r>
          </w:p>
        </w:tc>
        <w:tc>
          <w:tcPr>
            <w:tcW w:w="1134" w:type="dxa"/>
          </w:tcPr>
          <w:p w14:paraId="188720DD"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sidRPr="007734E5">
              <w:rPr>
                <w:color w:val="15272F" w:themeColor="text1"/>
                <w:sz w:val="16"/>
                <w:szCs w:val="16"/>
              </w:rPr>
              <w:t>July 2025</w:t>
            </w:r>
          </w:p>
        </w:tc>
        <w:tc>
          <w:tcPr>
            <w:tcW w:w="993" w:type="dxa"/>
          </w:tcPr>
          <w:p w14:paraId="1304840C"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sidRPr="007734E5">
              <w:rPr>
                <w:color w:val="15272F" w:themeColor="text1"/>
                <w:sz w:val="16"/>
                <w:szCs w:val="16"/>
              </w:rPr>
              <w:t xml:space="preserve">Delivered </w:t>
            </w:r>
          </w:p>
        </w:tc>
        <w:tc>
          <w:tcPr>
            <w:tcW w:w="4110" w:type="dxa"/>
          </w:tcPr>
          <w:p w14:paraId="2F4A77F5"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7734E5">
              <w:rPr>
                <w:color w:val="15272F" w:themeColor="text1"/>
                <w:sz w:val="16"/>
                <w:szCs w:val="16"/>
              </w:rPr>
              <w:t xml:space="preserve"> consulted with state and territory governments and key stakeholders to implement the DCID into the </w:t>
            </w:r>
            <w:r>
              <w:rPr>
                <w:color w:val="15272F" w:themeColor="text1"/>
                <w:sz w:val="16"/>
                <w:szCs w:val="16"/>
              </w:rPr>
              <w:t>a</w:t>
            </w:r>
            <w:r w:rsidRPr="007734E5">
              <w:rPr>
                <w:color w:val="15272F" w:themeColor="text1"/>
                <w:sz w:val="16"/>
                <w:szCs w:val="16"/>
              </w:rPr>
              <w:t>dmitted patient care national minimum data</w:t>
            </w:r>
            <w:r>
              <w:rPr>
                <w:color w:val="15272F" w:themeColor="text1"/>
                <w:sz w:val="16"/>
                <w:szCs w:val="16"/>
              </w:rPr>
              <w:t xml:space="preserve"> </w:t>
            </w:r>
            <w:r w:rsidRPr="007734E5">
              <w:rPr>
                <w:color w:val="15272F" w:themeColor="text1"/>
                <w:sz w:val="16"/>
                <w:szCs w:val="16"/>
              </w:rPr>
              <w:t xml:space="preserve">set for 2025–26. </w:t>
            </w:r>
          </w:p>
        </w:tc>
      </w:tr>
      <w:tr w:rsidR="00EB0D85" w:rsidRPr="00353DFA" w14:paraId="6FD980A3" w14:textId="77777777" w:rsidTr="00ED2732">
        <w:trPr>
          <w:cnfStyle w:val="000000010000" w:firstRow="0" w:lastRow="0" w:firstColumn="0" w:lastColumn="0" w:oddVBand="0" w:evenVBand="0" w:oddHBand="0" w:evenHBand="1" w:firstRowFirstColumn="0" w:firstRowLastColumn="0" w:lastRowFirstColumn="0" w:lastRowLastColumn="0"/>
          <w:trHeight w:val="687"/>
        </w:trPr>
        <w:tc>
          <w:tcPr>
            <w:tcW w:w="3410" w:type="dxa"/>
          </w:tcPr>
          <w:p w14:paraId="3A993DE2" w14:textId="77777777" w:rsidR="00EB0D85" w:rsidRPr="007734E5" w:rsidRDefault="00EB0D85" w:rsidP="00ED2732">
            <w:pPr>
              <w:pStyle w:val="Financialbodyleft"/>
              <w:numPr>
                <w:ilvl w:val="0"/>
                <w:numId w:val="20"/>
              </w:numPr>
              <w:spacing w:before="60" w:after="60" w:line="288" w:lineRule="auto"/>
              <w:ind w:left="232" w:hanging="232"/>
              <w:rPr>
                <w:rFonts w:ascii="Arial" w:hAnsi="Arial" w:cs="Arial"/>
                <w:sz w:val="16"/>
                <w:szCs w:val="16"/>
                <w:lang w:val="en-AU"/>
              </w:rPr>
            </w:pPr>
            <w:r w:rsidRPr="007734E5">
              <w:rPr>
                <w:rFonts w:ascii="Arial" w:hAnsi="Arial" w:cs="Arial"/>
                <w:sz w:val="16"/>
                <w:szCs w:val="16"/>
                <w:lang w:val="en-AU"/>
              </w:rPr>
              <w:lastRenderedPageBreak/>
              <w:t>Further develop the Secure Data Management System functionality.</w:t>
            </w:r>
          </w:p>
        </w:tc>
        <w:tc>
          <w:tcPr>
            <w:tcW w:w="1134" w:type="dxa"/>
          </w:tcPr>
          <w:p w14:paraId="23E7E9EF"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sidRPr="007734E5">
              <w:rPr>
                <w:color w:val="15272F" w:themeColor="text1"/>
                <w:sz w:val="16"/>
                <w:szCs w:val="16"/>
              </w:rPr>
              <w:t>Ongoing</w:t>
            </w:r>
          </w:p>
        </w:tc>
        <w:tc>
          <w:tcPr>
            <w:tcW w:w="993" w:type="dxa"/>
          </w:tcPr>
          <w:p w14:paraId="13063FB5"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sidRPr="007734E5">
              <w:rPr>
                <w:color w:val="15272F" w:themeColor="text1"/>
                <w:sz w:val="16"/>
                <w:szCs w:val="16"/>
              </w:rPr>
              <w:t>Ongoing</w:t>
            </w:r>
          </w:p>
        </w:tc>
        <w:tc>
          <w:tcPr>
            <w:tcW w:w="4110" w:type="dxa"/>
          </w:tcPr>
          <w:p w14:paraId="71C6B9F9"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7734E5">
              <w:rPr>
                <w:color w:val="15272F" w:themeColor="text1"/>
                <w:sz w:val="16"/>
                <w:szCs w:val="16"/>
              </w:rPr>
              <w:t xml:space="preserve"> will continue to develop the Secure Data Management System to support </w:t>
            </w:r>
            <w:r>
              <w:rPr>
                <w:color w:val="15272F" w:themeColor="text1"/>
                <w:sz w:val="16"/>
                <w:szCs w:val="16"/>
              </w:rPr>
              <w:t>our</w:t>
            </w:r>
            <w:r w:rsidRPr="007734E5">
              <w:rPr>
                <w:color w:val="15272F" w:themeColor="text1"/>
                <w:sz w:val="16"/>
                <w:szCs w:val="16"/>
              </w:rPr>
              <w:t xml:space="preserve"> core technical functions.</w:t>
            </w:r>
          </w:p>
        </w:tc>
      </w:tr>
      <w:tr w:rsidR="00EB0D85" w:rsidRPr="00353DFA" w14:paraId="7A4B9BEE"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3410" w:type="dxa"/>
          </w:tcPr>
          <w:p w14:paraId="0628DEBC" w14:textId="77777777" w:rsidR="00EB0D85" w:rsidRPr="007734E5" w:rsidRDefault="00EB0D85" w:rsidP="00ED2732">
            <w:pPr>
              <w:pStyle w:val="Financialbodyleft"/>
              <w:numPr>
                <w:ilvl w:val="0"/>
                <w:numId w:val="20"/>
              </w:numPr>
              <w:tabs>
                <w:tab w:val="left" w:pos="522"/>
              </w:tabs>
              <w:spacing w:before="60" w:after="60" w:line="288" w:lineRule="auto"/>
              <w:ind w:left="232" w:hanging="232"/>
              <w:rPr>
                <w:rFonts w:ascii="Arial" w:hAnsi="Arial" w:cs="Arial"/>
                <w:sz w:val="16"/>
                <w:szCs w:val="16"/>
                <w:lang w:val="en-AU"/>
              </w:rPr>
            </w:pPr>
            <w:r w:rsidRPr="007734E5">
              <w:rPr>
                <w:rFonts w:ascii="Arial" w:hAnsi="Arial" w:cs="Arial"/>
                <w:sz w:val="16"/>
                <w:szCs w:val="16"/>
                <w:lang w:val="en-AU"/>
              </w:rPr>
              <w:t>Maintain the security of the Secure Data Management System.</w:t>
            </w:r>
          </w:p>
        </w:tc>
        <w:tc>
          <w:tcPr>
            <w:tcW w:w="1134" w:type="dxa"/>
          </w:tcPr>
          <w:p w14:paraId="68F58CF7"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sidRPr="007734E5">
              <w:rPr>
                <w:color w:val="15272F" w:themeColor="text1"/>
                <w:sz w:val="16"/>
                <w:szCs w:val="16"/>
              </w:rPr>
              <w:t>Ongoing</w:t>
            </w:r>
          </w:p>
        </w:tc>
        <w:tc>
          <w:tcPr>
            <w:tcW w:w="993" w:type="dxa"/>
          </w:tcPr>
          <w:p w14:paraId="2F2DC230"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sidRPr="007734E5">
              <w:rPr>
                <w:color w:val="15272F" w:themeColor="text1"/>
                <w:sz w:val="16"/>
                <w:szCs w:val="16"/>
              </w:rPr>
              <w:t>Ongoing</w:t>
            </w:r>
          </w:p>
        </w:tc>
        <w:tc>
          <w:tcPr>
            <w:tcW w:w="4110" w:type="dxa"/>
          </w:tcPr>
          <w:p w14:paraId="097F78D8" w14:textId="77777777" w:rsidR="00EB0D85" w:rsidRPr="007734E5"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7734E5">
              <w:rPr>
                <w:color w:val="15272F" w:themeColor="text1"/>
                <w:sz w:val="16"/>
                <w:szCs w:val="16"/>
              </w:rPr>
              <w:t xml:space="preserve"> will continue to </w:t>
            </w:r>
            <w:r>
              <w:rPr>
                <w:color w:val="15272F" w:themeColor="text1"/>
                <w:sz w:val="16"/>
                <w:szCs w:val="16"/>
              </w:rPr>
              <w:t xml:space="preserve">maintain security of </w:t>
            </w:r>
            <w:r w:rsidRPr="007734E5">
              <w:rPr>
                <w:color w:val="15272F" w:themeColor="text1"/>
                <w:sz w:val="16"/>
                <w:szCs w:val="16"/>
              </w:rPr>
              <w:t>the Secure Data Management System</w:t>
            </w:r>
            <w:r>
              <w:rPr>
                <w:color w:val="15272F" w:themeColor="text1"/>
                <w:sz w:val="16"/>
                <w:szCs w:val="16"/>
              </w:rPr>
              <w:t xml:space="preserve"> by ensuring that </w:t>
            </w:r>
            <w:r w:rsidRPr="007734E5">
              <w:rPr>
                <w:color w:val="15272F" w:themeColor="text1"/>
                <w:sz w:val="16"/>
                <w:szCs w:val="16"/>
              </w:rPr>
              <w:t xml:space="preserve">current </w:t>
            </w:r>
            <w:r>
              <w:rPr>
                <w:color w:val="15272F" w:themeColor="text1"/>
                <w:sz w:val="16"/>
                <w:szCs w:val="16"/>
              </w:rPr>
              <w:t>g</w:t>
            </w:r>
            <w:r w:rsidRPr="007734E5">
              <w:rPr>
                <w:color w:val="15272F" w:themeColor="text1"/>
                <w:sz w:val="16"/>
                <w:szCs w:val="16"/>
              </w:rPr>
              <w:t>overnment requirements related to data security are implemented.</w:t>
            </w:r>
          </w:p>
        </w:tc>
      </w:tr>
      <w:tr w:rsidR="00EB0D85" w:rsidRPr="00353DFA" w14:paraId="587DBB5D"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3410" w:type="dxa"/>
          </w:tcPr>
          <w:p w14:paraId="41A9F2C5" w14:textId="77777777" w:rsidR="00EB0D85" w:rsidRPr="003824A4" w:rsidRDefault="00EB0D85" w:rsidP="00ED2732">
            <w:pPr>
              <w:pStyle w:val="Financialbodyleft"/>
              <w:numPr>
                <w:ilvl w:val="0"/>
                <w:numId w:val="20"/>
              </w:numPr>
              <w:spacing w:before="60" w:after="60" w:line="288" w:lineRule="auto"/>
              <w:ind w:left="232" w:hanging="232"/>
              <w:rPr>
                <w:rFonts w:ascii="Arial" w:hAnsi="Arial" w:cs="Arial"/>
                <w:sz w:val="16"/>
                <w:szCs w:val="16"/>
                <w:lang w:val="en-AU"/>
              </w:rPr>
            </w:pPr>
            <w:r w:rsidRPr="003824A4">
              <w:rPr>
                <w:rFonts w:ascii="Arial" w:hAnsi="Arial" w:cs="Arial"/>
                <w:sz w:val="16"/>
                <w:szCs w:val="16"/>
                <w:lang w:val="en-AU"/>
              </w:rPr>
              <w:t>Collect jurisdictional submissions for June quarter 2025 ABF activity data.</w:t>
            </w:r>
          </w:p>
        </w:tc>
        <w:tc>
          <w:tcPr>
            <w:tcW w:w="1134" w:type="dxa"/>
          </w:tcPr>
          <w:p w14:paraId="2FD34C67"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September 2025</w:t>
            </w:r>
          </w:p>
        </w:tc>
        <w:tc>
          <w:tcPr>
            <w:tcW w:w="993" w:type="dxa"/>
          </w:tcPr>
          <w:p w14:paraId="5826E747"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Delivered</w:t>
            </w:r>
          </w:p>
          <w:p w14:paraId="67838328"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p>
        </w:tc>
        <w:tc>
          <w:tcPr>
            <w:tcW w:w="4110" w:type="dxa"/>
          </w:tcPr>
          <w:p w14:paraId="3B4B72BE"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 xml:space="preserve">We </w:t>
            </w:r>
            <w:r w:rsidRPr="003824A4">
              <w:rPr>
                <w:color w:val="15272F" w:themeColor="text1"/>
                <w:sz w:val="16"/>
                <w:szCs w:val="16"/>
              </w:rPr>
              <w:t>collected ABF activity data for June quarter 2025 in line with the Three Year Data Plan 2025–26 to 2027–28.</w:t>
            </w:r>
          </w:p>
        </w:tc>
      </w:tr>
      <w:tr w:rsidR="00EB0D85" w:rsidRPr="00353DFA" w14:paraId="16C006BE"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3410" w:type="dxa"/>
          </w:tcPr>
          <w:p w14:paraId="6A89BE8B" w14:textId="77777777" w:rsidR="00EB0D85" w:rsidRPr="003824A4" w:rsidRDefault="00EB0D85" w:rsidP="00ED2732">
            <w:pPr>
              <w:pStyle w:val="Financialbodyleft"/>
              <w:numPr>
                <w:ilvl w:val="0"/>
                <w:numId w:val="20"/>
              </w:numPr>
              <w:spacing w:before="60" w:after="60" w:line="288" w:lineRule="auto"/>
              <w:ind w:left="232" w:hanging="232"/>
              <w:rPr>
                <w:rFonts w:ascii="Arial" w:hAnsi="Arial" w:cs="Arial"/>
                <w:sz w:val="16"/>
                <w:szCs w:val="16"/>
                <w:lang w:val="en-AU"/>
              </w:rPr>
            </w:pPr>
            <w:r w:rsidRPr="003824A4">
              <w:rPr>
                <w:rFonts w:ascii="Arial" w:hAnsi="Arial" w:cs="Arial"/>
                <w:sz w:val="16"/>
                <w:szCs w:val="16"/>
                <w:lang w:val="en-AU"/>
              </w:rPr>
              <w:t>Collect jurisdictional submissions for September quarter 2025 ABF activity data.</w:t>
            </w:r>
          </w:p>
        </w:tc>
        <w:tc>
          <w:tcPr>
            <w:tcW w:w="1134" w:type="dxa"/>
          </w:tcPr>
          <w:p w14:paraId="415FB995"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December 2025</w:t>
            </w:r>
          </w:p>
        </w:tc>
        <w:tc>
          <w:tcPr>
            <w:tcW w:w="993" w:type="dxa"/>
          </w:tcPr>
          <w:p w14:paraId="105F4FDD"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Delivered</w:t>
            </w:r>
          </w:p>
          <w:p w14:paraId="338796BF"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p>
        </w:tc>
        <w:tc>
          <w:tcPr>
            <w:tcW w:w="4110" w:type="dxa"/>
          </w:tcPr>
          <w:p w14:paraId="73AEDF78"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3824A4">
              <w:rPr>
                <w:color w:val="15272F" w:themeColor="text1"/>
                <w:sz w:val="16"/>
                <w:szCs w:val="16"/>
              </w:rPr>
              <w:t xml:space="preserve"> collected ABF activity data for September quarter 2025 in line with the Three Year Data Plan 2025–26 to 2027–28.</w:t>
            </w:r>
          </w:p>
        </w:tc>
      </w:tr>
      <w:tr w:rsidR="00EB0D85" w:rsidRPr="00353DFA" w14:paraId="12927D73"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3410" w:type="dxa"/>
          </w:tcPr>
          <w:p w14:paraId="5FCF5C25" w14:textId="77777777" w:rsidR="00EB0D85" w:rsidRPr="003824A4" w:rsidRDefault="00EB0D85" w:rsidP="00ED2732">
            <w:pPr>
              <w:pStyle w:val="Financialbodyleft"/>
              <w:numPr>
                <w:ilvl w:val="0"/>
                <w:numId w:val="20"/>
              </w:numPr>
              <w:spacing w:before="60" w:after="60" w:line="288" w:lineRule="auto"/>
              <w:ind w:left="232" w:hanging="232"/>
              <w:rPr>
                <w:rFonts w:ascii="Arial" w:hAnsi="Arial" w:cs="Arial"/>
                <w:sz w:val="16"/>
                <w:szCs w:val="16"/>
                <w:lang w:val="en-AU"/>
              </w:rPr>
            </w:pPr>
            <w:r w:rsidRPr="003824A4">
              <w:rPr>
                <w:rFonts w:ascii="Arial" w:hAnsi="Arial" w:cs="Arial"/>
                <w:sz w:val="16"/>
                <w:szCs w:val="16"/>
                <w:lang w:val="en-AU"/>
              </w:rPr>
              <w:t>Collect jurisdictional submissions for December quarter 2025 ABF activity data.</w:t>
            </w:r>
          </w:p>
        </w:tc>
        <w:tc>
          <w:tcPr>
            <w:tcW w:w="1134" w:type="dxa"/>
          </w:tcPr>
          <w:p w14:paraId="310EEF54"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March 2026</w:t>
            </w:r>
          </w:p>
        </w:tc>
        <w:tc>
          <w:tcPr>
            <w:tcW w:w="993" w:type="dxa"/>
          </w:tcPr>
          <w:p w14:paraId="250034F8"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Delivered</w:t>
            </w:r>
          </w:p>
          <w:p w14:paraId="13FCE490"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p>
        </w:tc>
        <w:tc>
          <w:tcPr>
            <w:tcW w:w="4110" w:type="dxa"/>
          </w:tcPr>
          <w:p w14:paraId="67D93350"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3824A4">
              <w:rPr>
                <w:color w:val="15272F" w:themeColor="text1"/>
                <w:sz w:val="16"/>
                <w:szCs w:val="16"/>
              </w:rPr>
              <w:t xml:space="preserve"> collected ABF activity data for December quarter 2025 in line with the Three Year Data Plan 2025–26 to 2027–28.</w:t>
            </w:r>
          </w:p>
        </w:tc>
      </w:tr>
      <w:tr w:rsidR="00EB0D85" w:rsidRPr="00353DFA" w14:paraId="2E8CE4E8"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3410" w:type="dxa"/>
          </w:tcPr>
          <w:p w14:paraId="18E36225" w14:textId="77777777" w:rsidR="00EB0D85" w:rsidRPr="003824A4" w:rsidRDefault="00EB0D85" w:rsidP="00ED2732">
            <w:pPr>
              <w:pStyle w:val="Financialbodyleft"/>
              <w:numPr>
                <w:ilvl w:val="0"/>
                <w:numId w:val="20"/>
              </w:numPr>
              <w:spacing w:before="60" w:after="60" w:line="288" w:lineRule="auto"/>
              <w:ind w:left="232" w:hanging="232"/>
              <w:rPr>
                <w:rFonts w:ascii="Arial" w:hAnsi="Arial" w:cs="Arial"/>
                <w:sz w:val="16"/>
                <w:szCs w:val="16"/>
                <w:lang w:val="en-AU"/>
              </w:rPr>
            </w:pPr>
            <w:r w:rsidRPr="003824A4">
              <w:rPr>
                <w:rFonts w:ascii="Arial" w:hAnsi="Arial" w:cs="Arial"/>
                <w:sz w:val="16"/>
                <w:szCs w:val="16"/>
                <w:lang w:val="en-AU"/>
              </w:rPr>
              <w:t>Publish data compliance report for March quarter 2025.</w:t>
            </w:r>
          </w:p>
        </w:tc>
        <w:tc>
          <w:tcPr>
            <w:tcW w:w="1134" w:type="dxa"/>
          </w:tcPr>
          <w:p w14:paraId="6638F636"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September 2025</w:t>
            </w:r>
          </w:p>
        </w:tc>
        <w:tc>
          <w:tcPr>
            <w:tcW w:w="993" w:type="dxa"/>
          </w:tcPr>
          <w:p w14:paraId="324A6E7A"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Delivered</w:t>
            </w:r>
          </w:p>
          <w:p w14:paraId="6C7D17A2"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p>
        </w:tc>
        <w:tc>
          <w:tcPr>
            <w:tcW w:w="4110" w:type="dxa"/>
          </w:tcPr>
          <w:p w14:paraId="16008F79"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Data compliance reports were published for the March quarter 2025 in September 2025.</w:t>
            </w:r>
          </w:p>
        </w:tc>
      </w:tr>
      <w:tr w:rsidR="00EB0D85" w:rsidRPr="00353DFA" w14:paraId="663155FB"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3410" w:type="dxa"/>
          </w:tcPr>
          <w:p w14:paraId="6E366ADA" w14:textId="77777777" w:rsidR="00EB0D85" w:rsidRPr="003824A4" w:rsidRDefault="00EB0D85" w:rsidP="00ED2732">
            <w:pPr>
              <w:pStyle w:val="Financialbodyleft"/>
              <w:numPr>
                <w:ilvl w:val="0"/>
                <w:numId w:val="20"/>
              </w:numPr>
              <w:tabs>
                <w:tab w:val="left" w:pos="664"/>
              </w:tabs>
              <w:spacing w:before="60" w:after="60" w:line="288" w:lineRule="auto"/>
              <w:ind w:left="232" w:hanging="232"/>
              <w:rPr>
                <w:rFonts w:ascii="Arial" w:hAnsi="Arial" w:cs="Arial"/>
                <w:sz w:val="16"/>
                <w:szCs w:val="16"/>
                <w:lang w:val="en-AU"/>
              </w:rPr>
            </w:pPr>
            <w:r w:rsidRPr="003824A4">
              <w:rPr>
                <w:rFonts w:ascii="Arial" w:hAnsi="Arial" w:cs="Arial"/>
                <w:sz w:val="16"/>
                <w:szCs w:val="16"/>
                <w:lang w:val="en-AU"/>
              </w:rPr>
              <w:t>Publish data compliance report for June quarter 2025.</w:t>
            </w:r>
          </w:p>
        </w:tc>
        <w:tc>
          <w:tcPr>
            <w:tcW w:w="1134" w:type="dxa"/>
          </w:tcPr>
          <w:p w14:paraId="38AE0D7B"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December 2025</w:t>
            </w:r>
          </w:p>
        </w:tc>
        <w:tc>
          <w:tcPr>
            <w:tcW w:w="993" w:type="dxa"/>
          </w:tcPr>
          <w:p w14:paraId="0847EAE6"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Delivered</w:t>
            </w:r>
          </w:p>
          <w:p w14:paraId="4A0B2A68"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p>
        </w:tc>
        <w:tc>
          <w:tcPr>
            <w:tcW w:w="4110" w:type="dxa"/>
          </w:tcPr>
          <w:p w14:paraId="2966C21B"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Data compliance reports were published for the June quarter 2025 in December 2025.</w:t>
            </w:r>
          </w:p>
        </w:tc>
      </w:tr>
      <w:tr w:rsidR="00EB0D85" w:rsidRPr="00353DFA" w14:paraId="38256B9B"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3410" w:type="dxa"/>
          </w:tcPr>
          <w:p w14:paraId="0DBC65AA" w14:textId="77777777" w:rsidR="00EB0D85" w:rsidRPr="003824A4" w:rsidRDefault="00EB0D85" w:rsidP="00ED2732">
            <w:pPr>
              <w:pStyle w:val="Financialbodyleft"/>
              <w:numPr>
                <w:ilvl w:val="0"/>
                <w:numId w:val="20"/>
              </w:numPr>
              <w:spacing w:before="60" w:after="60" w:line="288" w:lineRule="auto"/>
              <w:ind w:left="232" w:hanging="232"/>
              <w:rPr>
                <w:rFonts w:ascii="Arial" w:hAnsi="Arial" w:cs="Arial"/>
                <w:sz w:val="16"/>
                <w:szCs w:val="16"/>
                <w:lang w:val="en-AU"/>
              </w:rPr>
            </w:pPr>
            <w:r w:rsidRPr="003824A4">
              <w:rPr>
                <w:rFonts w:ascii="Arial" w:hAnsi="Arial" w:cs="Arial"/>
                <w:sz w:val="16"/>
                <w:szCs w:val="16"/>
                <w:lang w:val="en-AU"/>
              </w:rPr>
              <w:t>Publish data compliance report for September quarter 2025.</w:t>
            </w:r>
          </w:p>
        </w:tc>
        <w:tc>
          <w:tcPr>
            <w:tcW w:w="1134" w:type="dxa"/>
          </w:tcPr>
          <w:p w14:paraId="0F94D851"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March 2026</w:t>
            </w:r>
          </w:p>
        </w:tc>
        <w:tc>
          <w:tcPr>
            <w:tcW w:w="993" w:type="dxa"/>
          </w:tcPr>
          <w:p w14:paraId="5C3B5FAF"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Delivered</w:t>
            </w:r>
          </w:p>
          <w:p w14:paraId="6CD2A89E"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p>
        </w:tc>
        <w:tc>
          <w:tcPr>
            <w:tcW w:w="4110" w:type="dxa"/>
          </w:tcPr>
          <w:p w14:paraId="689BB2C0"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Data compliance reports were published for the September quarter 2025 in March 2026.</w:t>
            </w:r>
          </w:p>
        </w:tc>
      </w:tr>
      <w:tr w:rsidR="00EB0D85" w:rsidRPr="00353DFA" w14:paraId="7AE8A152"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3410" w:type="dxa"/>
          </w:tcPr>
          <w:p w14:paraId="0E9DFCD1" w14:textId="77777777" w:rsidR="00EB0D85" w:rsidRPr="003824A4" w:rsidRDefault="00EB0D85" w:rsidP="00ED2732">
            <w:pPr>
              <w:pStyle w:val="Financialbodyleft"/>
              <w:numPr>
                <w:ilvl w:val="0"/>
                <w:numId w:val="20"/>
              </w:numPr>
              <w:spacing w:before="60" w:after="60" w:line="288" w:lineRule="auto"/>
              <w:ind w:left="232" w:hanging="232"/>
              <w:rPr>
                <w:rFonts w:ascii="Arial" w:hAnsi="Arial" w:cs="Arial"/>
                <w:sz w:val="16"/>
                <w:szCs w:val="16"/>
                <w:lang w:val="en-AU"/>
              </w:rPr>
            </w:pPr>
            <w:r w:rsidRPr="003824A4">
              <w:rPr>
                <w:rFonts w:ascii="Arial" w:hAnsi="Arial" w:cs="Arial"/>
                <w:sz w:val="16"/>
                <w:szCs w:val="16"/>
                <w:lang w:val="en-AU"/>
              </w:rPr>
              <w:t>Publish data compliance report for December quarter 2025.</w:t>
            </w:r>
          </w:p>
        </w:tc>
        <w:tc>
          <w:tcPr>
            <w:tcW w:w="1134" w:type="dxa"/>
          </w:tcPr>
          <w:p w14:paraId="5DF899CB"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June 2026</w:t>
            </w:r>
          </w:p>
        </w:tc>
        <w:tc>
          <w:tcPr>
            <w:tcW w:w="993" w:type="dxa"/>
          </w:tcPr>
          <w:p w14:paraId="2530DF9B"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Delivered</w:t>
            </w:r>
          </w:p>
        </w:tc>
        <w:tc>
          <w:tcPr>
            <w:tcW w:w="4110" w:type="dxa"/>
          </w:tcPr>
          <w:p w14:paraId="5EFF157F"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Data compliance reports were published for the December quarter 2025 in June 2026.</w:t>
            </w:r>
          </w:p>
        </w:tc>
      </w:tr>
      <w:tr w:rsidR="00EB0D85" w:rsidRPr="00353DFA" w14:paraId="73CCF7C2"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3410" w:type="dxa"/>
          </w:tcPr>
          <w:p w14:paraId="4981AE1D" w14:textId="77777777" w:rsidR="00EB0D85" w:rsidRPr="003824A4" w:rsidRDefault="00EB0D85" w:rsidP="00ED2732">
            <w:pPr>
              <w:pStyle w:val="Financialbodyleft"/>
              <w:numPr>
                <w:ilvl w:val="0"/>
                <w:numId w:val="20"/>
              </w:numPr>
              <w:spacing w:before="60" w:after="60" w:line="288" w:lineRule="auto"/>
              <w:ind w:left="232" w:hanging="232"/>
              <w:rPr>
                <w:rFonts w:ascii="Arial" w:hAnsi="Arial" w:cs="Arial"/>
                <w:sz w:val="16"/>
                <w:szCs w:val="16"/>
              </w:rPr>
            </w:pPr>
            <w:r>
              <w:rPr>
                <w:rFonts w:ascii="Arial" w:hAnsi="Arial" w:cs="Arial"/>
                <w:sz w:val="16"/>
                <w:szCs w:val="16"/>
              </w:rPr>
              <w:t xml:space="preserve"> </w:t>
            </w:r>
            <w:r w:rsidRPr="52318D2B">
              <w:rPr>
                <w:rFonts w:ascii="Arial" w:hAnsi="Arial" w:cs="Arial"/>
                <w:sz w:val="16"/>
                <w:szCs w:val="16"/>
              </w:rPr>
              <w:t xml:space="preserve">Release the Data Quality Framework.  </w:t>
            </w:r>
          </w:p>
        </w:tc>
        <w:tc>
          <w:tcPr>
            <w:tcW w:w="1134" w:type="dxa"/>
          </w:tcPr>
          <w:p w14:paraId="0F017AF6"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August</w:t>
            </w:r>
            <w:r w:rsidRPr="003824A4">
              <w:rPr>
                <w:color w:val="15272F" w:themeColor="text1"/>
                <w:sz w:val="16"/>
                <w:szCs w:val="16"/>
              </w:rPr>
              <w:t xml:space="preserve"> 2025</w:t>
            </w:r>
          </w:p>
        </w:tc>
        <w:tc>
          <w:tcPr>
            <w:tcW w:w="993" w:type="dxa"/>
          </w:tcPr>
          <w:p w14:paraId="46D6DC79"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Delivered</w:t>
            </w:r>
          </w:p>
        </w:tc>
        <w:tc>
          <w:tcPr>
            <w:tcW w:w="4110" w:type="dxa"/>
          </w:tcPr>
          <w:p w14:paraId="3BD4F522"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 xml:space="preserve">In October 2025, </w:t>
            </w:r>
            <w:r>
              <w:rPr>
                <w:color w:val="15272F" w:themeColor="text1"/>
                <w:sz w:val="16"/>
                <w:szCs w:val="16"/>
              </w:rPr>
              <w:t>we</w:t>
            </w:r>
            <w:r w:rsidRPr="003824A4">
              <w:rPr>
                <w:color w:val="15272F" w:themeColor="text1"/>
                <w:sz w:val="16"/>
                <w:szCs w:val="16"/>
              </w:rPr>
              <w:t xml:space="preserve"> published </w:t>
            </w:r>
            <w:r>
              <w:rPr>
                <w:color w:val="15272F" w:themeColor="text1"/>
                <w:sz w:val="16"/>
                <w:szCs w:val="16"/>
              </w:rPr>
              <w:t xml:space="preserve">our </w:t>
            </w:r>
            <w:r w:rsidRPr="003824A4">
              <w:rPr>
                <w:color w:val="15272F" w:themeColor="text1"/>
                <w:sz w:val="16"/>
                <w:szCs w:val="16"/>
              </w:rPr>
              <w:t xml:space="preserve">Data Quality Framework.  </w:t>
            </w:r>
          </w:p>
        </w:tc>
      </w:tr>
      <w:tr w:rsidR="00EB0D85" w:rsidRPr="00353DFA" w14:paraId="14A956DE"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3410" w:type="dxa"/>
          </w:tcPr>
          <w:p w14:paraId="1949C896" w14:textId="77777777" w:rsidR="00EB0D85" w:rsidRPr="003824A4" w:rsidRDefault="00EB0D85" w:rsidP="00ED2732">
            <w:pPr>
              <w:pStyle w:val="Financialbodyleft"/>
              <w:numPr>
                <w:ilvl w:val="0"/>
                <w:numId w:val="20"/>
              </w:numPr>
              <w:spacing w:before="60" w:after="60" w:line="288" w:lineRule="auto"/>
              <w:ind w:left="232" w:hanging="232"/>
              <w:rPr>
                <w:rFonts w:ascii="Arial" w:hAnsi="Arial" w:cs="Arial"/>
                <w:sz w:val="16"/>
                <w:szCs w:val="16"/>
                <w:lang w:val="en-AU"/>
              </w:rPr>
            </w:pPr>
            <w:r w:rsidRPr="003824A4">
              <w:rPr>
                <w:rFonts w:ascii="Arial" w:hAnsi="Arial" w:cs="Arial"/>
                <w:sz w:val="16"/>
                <w:szCs w:val="16"/>
                <w:lang w:val="en-AU"/>
              </w:rPr>
              <w:t>Continue to promote access to data through the National Benchmarking Portal (NBP).</w:t>
            </w:r>
          </w:p>
        </w:tc>
        <w:tc>
          <w:tcPr>
            <w:tcW w:w="1134" w:type="dxa"/>
          </w:tcPr>
          <w:p w14:paraId="3EA0E6C1"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Ongoing</w:t>
            </w:r>
          </w:p>
        </w:tc>
        <w:tc>
          <w:tcPr>
            <w:tcW w:w="993" w:type="dxa"/>
          </w:tcPr>
          <w:p w14:paraId="3DC13FCC"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Ongoing</w:t>
            </w:r>
          </w:p>
        </w:tc>
        <w:tc>
          <w:tcPr>
            <w:tcW w:w="4110" w:type="dxa"/>
          </w:tcPr>
          <w:p w14:paraId="39B94C1A" w14:textId="77777777" w:rsidR="00EB0D85" w:rsidRPr="003824A4" w:rsidRDefault="00EB0D85" w:rsidP="00ED2732">
            <w:pPr>
              <w:pStyle w:val="TableParagraph"/>
              <w:framePr w:wrap="around"/>
              <w:spacing w:before="60" w:after="60" w:line="288" w:lineRule="auto"/>
              <w:jc w:val="left"/>
              <w:rPr>
                <w:color w:val="15272F" w:themeColor="text1"/>
                <w:sz w:val="16"/>
                <w:szCs w:val="16"/>
              </w:rPr>
            </w:pPr>
            <w:r w:rsidRPr="003824A4">
              <w:rPr>
                <w:color w:val="15272F" w:themeColor="text1"/>
                <w:sz w:val="16"/>
                <w:szCs w:val="16"/>
              </w:rPr>
              <w:t xml:space="preserve">In 2025–26, </w:t>
            </w:r>
            <w:r>
              <w:rPr>
                <w:color w:val="15272F" w:themeColor="text1"/>
                <w:sz w:val="16"/>
                <w:szCs w:val="16"/>
              </w:rPr>
              <w:t>we</w:t>
            </w:r>
            <w:r w:rsidRPr="003824A4">
              <w:rPr>
                <w:color w:val="15272F" w:themeColor="text1"/>
                <w:sz w:val="16"/>
                <w:szCs w:val="16"/>
              </w:rPr>
              <w:t xml:space="preserve"> updated the existing dashboards to include data for 2022–23. </w:t>
            </w:r>
            <w:r>
              <w:rPr>
                <w:color w:val="15272F" w:themeColor="text1"/>
                <w:sz w:val="16"/>
                <w:szCs w:val="16"/>
              </w:rPr>
              <w:t>We</w:t>
            </w:r>
            <w:r w:rsidRPr="003824A4">
              <w:rPr>
                <w:color w:val="15272F" w:themeColor="text1"/>
                <w:sz w:val="16"/>
                <w:szCs w:val="16"/>
              </w:rPr>
              <w:t xml:space="preserve"> will continue to work with jurisdictions and key stakeholders to enhance the functionality of datasets available </w:t>
            </w:r>
            <w:r w:rsidRPr="007803E8">
              <w:rPr>
                <w:color w:val="15272F" w:themeColor="text1"/>
                <w:sz w:val="16"/>
                <w:szCs w:val="16"/>
              </w:rPr>
              <w:t>through</w:t>
            </w:r>
            <w:r w:rsidRPr="003824A4">
              <w:rPr>
                <w:color w:val="15272F" w:themeColor="text1"/>
                <w:sz w:val="16"/>
                <w:szCs w:val="16"/>
              </w:rPr>
              <w:t xml:space="preserve"> the NBP. </w:t>
            </w:r>
          </w:p>
        </w:tc>
      </w:tr>
    </w:tbl>
    <w:p w14:paraId="3F7638D2" w14:textId="77777777" w:rsidR="00EB0D85" w:rsidRDefault="00EB0D85" w:rsidP="00EB0D85"/>
    <w:p w14:paraId="356EB6A4" w14:textId="77777777" w:rsidR="00EB0D85" w:rsidRDefault="00EB0D85" w:rsidP="00EB0D85"/>
    <w:p w14:paraId="7361900F" w14:textId="77777777" w:rsidR="00EB0D85" w:rsidRDefault="00EB0D85" w:rsidP="00EB0D85"/>
    <w:p w14:paraId="00E09187" w14:textId="77777777" w:rsidR="00EB0D85" w:rsidRDefault="00EB0D85" w:rsidP="00EB0D85"/>
    <w:p w14:paraId="423BA81B" w14:textId="77777777" w:rsidR="00EB0D85" w:rsidRDefault="00EB0D85" w:rsidP="00EB0D85"/>
    <w:p w14:paraId="05ACF944" w14:textId="77777777" w:rsidR="00EB0D85" w:rsidRDefault="00EB0D85" w:rsidP="00EB0D85"/>
    <w:p w14:paraId="57E36265" w14:textId="77777777" w:rsidR="00EB0D85" w:rsidRDefault="00EB0D85" w:rsidP="00EB0D85">
      <w:pPr>
        <w:pStyle w:val="Heading1"/>
      </w:pPr>
      <w:bookmarkStart w:id="905" w:name="_Toc233022337"/>
      <w:bookmarkStart w:id="906" w:name="_Toc233023099"/>
      <w:bookmarkStart w:id="907" w:name="_Toc233023427"/>
      <w:bookmarkStart w:id="908" w:name="_Toc233028746"/>
      <w:bookmarkStart w:id="909" w:name="_Toc233028927"/>
      <w:bookmarkStart w:id="910" w:name="_Toc235787482"/>
      <w:bookmarkStart w:id="911" w:name="_Toc235791620"/>
      <w:bookmarkStart w:id="912" w:name="_Toc237872723"/>
      <w:r>
        <w:lastRenderedPageBreak/>
        <w:t>4.7</w:t>
      </w:r>
      <w:r>
        <w:tab/>
        <w:t>Strategic objective five: Investigate and make recommendations concerning cost-shifting and cross-border disputes between states and territories in relation to public hospitals</w:t>
      </w:r>
      <w:bookmarkEnd w:id="905"/>
      <w:bookmarkEnd w:id="906"/>
      <w:bookmarkEnd w:id="907"/>
      <w:bookmarkEnd w:id="908"/>
      <w:bookmarkEnd w:id="909"/>
      <w:bookmarkEnd w:id="910"/>
      <w:bookmarkEnd w:id="911"/>
      <w:bookmarkEnd w:id="912"/>
      <w:r>
        <w:t xml:space="preserve"> </w:t>
      </w:r>
    </w:p>
    <w:p w14:paraId="49429B7A" w14:textId="77777777" w:rsidR="00EB0D85" w:rsidRPr="00026A77" w:rsidRDefault="00EB0D85" w:rsidP="00EB0D85">
      <w:bookmarkStart w:id="913" w:name="_Toc233022338"/>
      <w:bookmarkStart w:id="914" w:name="_Toc233023100"/>
      <w:bookmarkStart w:id="915" w:name="_Toc233023428"/>
      <w:bookmarkStart w:id="916" w:name="_Toc233023571"/>
      <w:bookmarkStart w:id="917" w:name="_Toc233028747"/>
      <w:bookmarkStart w:id="918" w:name="_Toc233028928"/>
      <w:r w:rsidRPr="00026A77">
        <w:t xml:space="preserve">Under the NHR Act, </w:t>
      </w:r>
      <w:r>
        <w:t>we</w:t>
      </w:r>
      <w:r w:rsidRPr="00026A77">
        <w:t xml:space="preserve"> may be required to investigate and make recommendations </w:t>
      </w:r>
      <w:r>
        <w:t>on</w:t>
      </w:r>
      <w:r w:rsidRPr="00026A77">
        <w:t xml:space="preserve"> cross-border disputes between states and territories and assess cost-shifting disputes. During 2025–26, </w:t>
      </w:r>
      <w:r>
        <w:t>we</w:t>
      </w:r>
      <w:r w:rsidRPr="00026A77">
        <w:t xml:space="preserve"> did not receive any cost-shifting or cross-border disputes.</w:t>
      </w:r>
    </w:p>
    <w:p w14:paraId="1B53688C" w14:textId="77777777" w:rsidR="00EB0D85" w:rsidRPr="00026A77" w:rsidRDefault="00EB0D85" w:rsidP="00EB0D85">
      <w:r w:rsidRPr="00026A77">
        <w:t>The Cost-Shifting and Cross Border Dispute Resolution Policy is reviewed regularly</w:t>
      </w:r>
      <w:r>
        <w:t>,</w:t>
      </w:r>
      <w:r w:rsidRPr="00026A77">
        <w:t xml:space="preserve"> in consultation with all jurisdictions</w:t>
      </w:r>
      <w:r>
        <w:t>,</w:t>
      </w:r>
      <w:r w:rsidRPr="00026A77">
        <w:t xml:space="preserve"> to ensure it remains current and fit</w:t>
      </w:r>
      <w:r>
        <w:t>-</w:t>
      </w:r>
      <w:r w:rsidRPr="00026A77">
        <w:t>for</w:t>
      </w:r>
      <w:r>
        <w:t>-</w:t>
      </w:r>
      <w:r w:rsidRPr="00026A77">
        <w:t xml:space="preserve">purpose in supporting </w:t>
      </w:r>
      <w:r>
        <w:t xml:space="preserve">our </w:t>
      </w:r>
      <w:r w:rsidRPr="00026A77">
        <w:t xml:space="preserve">role. </w:t>
      </w:r>
    </w:p>
    <w:p w14:paraId="69DE7270" w14:textId="77777777" w:rsidR="00EB0D85" w:rsidRPr="00051B50" w:rsidRDefault="00EB0D85" w:rsidP="00EB0D85">
      <w:pPr>
        <w:pStyle w:val="Heading3"/>
      </w:pPr>
      <w:bookmarkStart w:id="919" w:name="_Toc235786152"/>
      <w:bookmarkStart w:id="920" w:name="_Toc235787483"/>
      <w:bookmarkStart w:id="921" w:name="_Toc235791621"/>
      <w:bookmarkStart w:id="922" w:name="_Toc237872724"/>
      <w:r w:rsidRPr="00051B50">
        <w:t>Results</w:t>
      </w:r>
      <w:bookmarkEnd w:id="913"/>
      <w:bookmarkEnd w:id="914"/>
      <w:bookmarkEnd w:id="915"/>
      <w:bookmarkEnd w:id="916"/>
      <w:bookmarkEnd w:id="917"/>
      <w:bookmarkEnd w:id="918"/>
      <w:bookmarkEnd w:id="919"/>
      <w:bookmarkEnd w:id="920"/>
      <w:bookmarkEnd w:id="921"/>
      <w:bookmarkEnd w:id="922"/>
    </w:p>
    <w:p w14:paraId="15D919A4" w14:textId="77777777" w:rsidR="00EB0D85" w:rsidRPr="00051B50" w:rsidRDefault="00EB0D85" w:rsidP="00EB0D85">
      <w:pPr>
        <w:rPr>
          <w:b/>
          <w:bCs/>
        </w:rPr>
      </w:pPr>
      <w:bookmarkStart w:id="923" w:name="_Toc148025827"/>
      <w:r w:rsidRPr="00051B50">
        <w:t xml:space="preserve">The reporting of key activities in this annual report refers to the deliverables of </w:t>
      </w:r>
      <w:r>
        <w:t>s</w:t>
      </w:r>
      <w:r w:rsidRPr="00051B50">
        <w:t>trategic </w:t>
      </w:r>
      <w:r>
        <w:t>o</w:t>
      </w:r>
      <w:r w:rsidRPr="00051B50">
        <w:t xml:space="preserve">bjective </w:t>
      </w:r>
      <w:r>
        <w:t>f</w:t>
      </w:r>
      <w:r w:rsidRPr="00051B50">
        <w:t>ive:</w:t>
      </w:r>
      <w:r w:rsidRPr="00051B50">
        <w:rPr>
          <w:kern w:val="2"/>
          <w14:ligatures w14:val="standardContextual"/>
        </w:rPr>
        <w:t xml:space="preserve"> </w:t>
      </w:r>
      <w:r w:rsidRPr="00051B50">
        <w:t>Investigate and make recommendations concerning cost-shifting and cross-border disputes in the IHACPA Work Program and Corporate Plan 2025–26 and Section 1.1 of the Portfolio Budget Statements</w:t>
      </w:r>
      <w:r>
        <w:t xml:space="preserve"> </w:t>
      </w:r>
      <w:r w:rsidRPr="00051B50">
        <w:t xml:space="preserve">2025–26. A summary of each deliverable and the analysis of our performance against the deliverables is outlined in </w:t>
      </w:r>
      <w:r w:rsidRPr="00C21045">
        <w:rPr>
          <w:b/>
          <w:bCs/>
        </w:rPr>
        <w:t>Table 1</w:t>
      </w:r>
      <w:r>
        <w:rPr>
          <w:b/>
          <w:bCs/>
        </w:rPr>
        <w:t>2</w:t>
      </w:r>
      <w:r w:rsidRPr="00051B50">
        <w:t>.</w:t>
      </w:r>
    </w:p>
    <w:p w14:paraId="44B97215" w14:textId="77777777" w:rsidR="00EB0D85" w:rsidRPr="004C4ED2" w:rsidRDefault="00EB0D85" w:rsidP="00EB0D85">
      <w:pPr>
        <w:pStyle w:val="TableFigureheading"/>
        <w:rPr>
          <w:b/>
          <w:bCs/>
          <w:color w:val="15272F" w:themeColor="text1"/>
        </w:rPr>
      </w:pPr>
      <w:bookmarkStart w:id="924" w:name="_Toc233023572"/>
      <w:bookmarkStart w:id="925" w:name="_Toc233028748"/>
      <w:bookmarkEnd w:id="923"/>
      <w:r w:rsidRPr="004C4ED2">
        <w:rPr>
          <w:b/>
          <w:bCs/>
          <w:color w:val="15272F" w:themeColor="text1"/>
        </w:rPr>
        <w:lastRenderedPageBreak/>
        <w:t>Table 1</w:t>
      </w:r>
      <w:r>
        <w:rPr>
          <w:b/>
          <w:bCs/>
          <w:color w:val="15272F" w:themeColor="text1"/>
        </w:rPr>
        <w:t>2:</w:t>
      </w:r>
      <w:r w:rsidRPr="004C4ED2">
        <w:rPr>
          <w:b/>
          <w:bCs/>
          <w:color w:val="15272F" w:themeColor="text1"/>
        </w:rPr>
        <w:t xml:space="preserve"> Summary of performance for </w:t>
      </w:r>
      <w:r>
        <w:rPr>
          <w:b/>
          <w:bCs/>
          <w:color w:val="15272F" w:themeColor="text1"/>
        </w:rPr>
        <w:t>s</w:t>
      </w:r>
      <w:r w:rsidRPr="004C4ED2">
        <w:rPr>
          <w:b/>
          <w:bCs/>
          <w:color w:val="15272F" w:themeColor="text1"/>
        </w:rPr>
        <w:t xml:space="preserve">trategic </w:t>
      </w:r>
      <w:r>
        <w:rPr>
          <w:b/>
          <w:bCs/>
          <w:color w:val="15272F" w:themeColor="text1"/>
        </w:rPr>
        <w:t>o</w:t>
      </w:r>
      <w:r w:rsidRPr="004C4ED2">
        <w:rPr>
          <w:b/>
          <w:bCs/>
          <w:color w:val="15272F" w:themeColor="text1"/>
        </w:rPr>
        <w:t xml:space="preserve">bjective </w:t>
      </w:r>
      <w:r>
        <w:rPr>
          <w:b/>
          <w:bCs/>
          <w:color w:val="15272F" w:themeColor="text1"/>
        </w:rPr>
        <w:t>f</w:t>
      </w:r>
      <w:r w:rsidRPr="004C4ED2">
        <w:rPr>
          <w:b/>
          <w:bCs/>
          <w:color w:val="15272F" w:themeColor="text1"/>
        </w:rPr>
        <w:t>ive: Investigate and make recommendations concerning cost-shifting and cross-border disputes in 2025–26</w:t>
      </w:r>
      <w:bookmarkEnd w:id="924"/>
      <w:bookmarkEnd w:id="925"/>
      <w:r>
        <w:rPr>
          <w:b/>
          <w:bCs/>
          <w:color w:val="15272F" w:themeColor="text1"/>
        </w:rPr>
        <w:t xml:space="preserve"> </w:t>
      </w:r>
    </w:p>
    <w:tbl>
      <w:tblPr>
        <w:tblStyle w:val="IHACPATable"/>
        <w:tblpPr w:leftFromText="180" w:rightFromText="180" w:vertAnchor="text" w:horzAnchor="margin" w:tblpY="-24"/>
        <w:tblW w:w="9781" w:type="dxa"/>
        <w:tblLayout w:type="fixed"/>
        <w:tblLook w:val="0000" w:firstRow="0" w:lastRow="0" w:firstColumn="0" w:lastColumn="0" w:noHBand="0" w:noVBand="0"/>
      </w:tblPr>
      <w:tblGrid>
        <w:gridCol w:w="3402"/>
        <w:gridCol w:w="1134"/>
        <w:gridCol w:w="1843"/>
        <w:gridCol w:w="3402"/>
      </w:tblGrid>
      <w:tr w:rsidR="00EB0D85" w:rsidRPr="00C21045" w14:paraId="61854C75" w14:textId="77777777" w:rsidTr="00ED2732">
        <w:trPr>
          <w:cnfStyle w:val="000000100000" w:firstRow="0" w:lastRow="0" w:firstColumn="0" w:lastColumn="0" w:oddVBand="0" w:evenVBand="0" w:oddHBand="1" w:evenHBand="0" w:firstRowFirstColumn="0" w:firstRowLastColumn="0" w:lastRowFirstColumn="0" w:lastRowLastColumn="0"/>
          <w:trHeight w:val="57"/>
        </w:trPr>
        <w:tc>
          <w:tcPr>
            <w:tcW w:w="3402" w:type="dxa"/>
            <w:shd w:val="clear" w:color="auto" w:fill="15272F" w:themeFill="text1"/>
          </w:tcPr>
          <w:p w14:paraId="195A70BD" w14:textId="77777777" w:rsidR="00EB0D85" w:rsidRPr="000763A4" w:rsidRDefault="00EB0D85" w:rsidP="00ED2732">
            <w:pPr>
              <w:pStyle w:val="TableFigureHeading0"/>
              <w:spacing w:before="80" w:after="80" w:line="288" w:lineRule="auto"/>
              <w:rPr>
                <w:color w:val="FFFFFF" w:themeColor="background2"/>
                <w:sz w:val="16"/>
                <w:szCs w:val="16"/>
              </w:rPr>
            </w:pPr>
            <w:bookmarkStart w:id="926" w:name="_Toc148025829"/>
            <w:r w:rsidRPr="000763A4">
              <w:rPr>
                <w:color w:val="FFFFFF" w:themeColor="background2"/>
                <w:sz w:val="16"/>
                <w:szCs w:val="16"/>
              </w:rPr>
              <w:t>Deliverable</w:t>
            </w:r>
            <w:bookmarkEnd w:id="926"/>
          </w:p>
        </w:tc>
        <w:tc>
          <w:tcPr>
            <w:tcW w:w="1134" w:type="dxa"/>
            <w:shd w:val="clear" w:color="auto" w:fill="15272F" w:themeFill="text1"/>
          </w:tcPr>
          <w:p w14:paraId="3DA3C5B9" w14:textId="77777777" w:rsidR="00EB0D85" w:rsidRPr="000763A4" w:rsidRDefault="00EB0D85" w:rsidP="00ED2732">
            <w:pPr>
              <w:pStyle w:val="Tableheadingright"/>
              <w:spacing w:before="80" w:after="80" w:line="288" w:lineRule="auto"/>
              <w:jc w:val="left"/>
              <w:rPr>
                <w:rStyle w:val="WhiteColours"/>
                <w:rFonts w:ascii="Arial" w:hAnsi="Arial" w:cs="Arial"/>
                <w:color w:val="FFFFFF" w:themeColor="background2"/>
                <w:sz w:val="16"/>
                <w:szCs w:val="16"/>
                <w:lang w:val="en-AU"/>
              </w:rPr>
            </w:pPr>
            <w:r w:rsidRPr="000763A4">
              <w:rPr>
                <w:rStyle w:val="WhiteColours"/>
                <w:rFonts w:ascii="Arial" w:hAnsi="Arial" w:cs="Arial"/>
                <w:color w:val="FFFFFF" w:themeColor="background2"/>
                <w:sz w:val="16"/>
                <w:szCs w:val="16"/>
                <w:lang w:val="en-AU"/>
              </w:rPr>
              <w:t>Timeframe</w:t>
            </w:r>
          </w:p>
        </w:tc>
        <w:tc>
          <w:tcPr>
            <w:tcW w:w="1843" w:type="dxa"/>
            <w:shd w:val="clear" w:color="auto" w:fill="15272F" w:themeFill="text1"/>
          </w:tcPr>
          <w:p w14:paraId="4EE5137C" w14:textId="77777777" w:rsidR="00EB0D85" w:rsidRPr="000763A4" w:rsidRDefault="00EB0D85" w:rsidP="00ED2732">
            <w:pPr>
              <w:pStyle w:val="Tableheadingright"/>
              <w:spacing w:before="80" w:after="80" w:line="288" w:lineRule="auto"/>
              <w:jc w:val="left"/>
              <w:rPr>
                <w:rStyle w:val="WhiteColours"/>
                <w:rFonts w:ascii="Arial" w:hAnsi="Arial" w:cs="Arial"/>
                <w:color w:val="FFFFFF" w:themeColor="background2"/>
                <w:sz w:val="16"/>
                <w:szCs w:val="16"/>
                <w:lang w:val="en-AU"/>
              </w:rPr>
            </w:pPr>
            <w:r w:rsidRPr="000763A4">
              <w:rPr>
                <w:rStyle w:val="WhiteColours"/>
                <w:rFonts w:ascii="Arial" w:hAnsi="Arial" w:cs="Arial"/>
                <w:color w:val="FFFFFF" w:themeColor="background2"/>
                <w:sz w:val="16"/>
                <w:szCs w:val="16"/>
                <w:lang w:val="en-AU"/>
              </w:rPr>
              <w:t>Outcome</w:t>
            </w:r>
          </w:p>
        </w:tc>
        <w:tc>
          <w:tcPr>
            <w:tcW w:w="3402" w:type="dxa"/>
            <w:shd w:val="clear" w:color="auto" w:fill="15272F" w:themeFill="text1"/>
          </w:tcPr>
          <w:p w14:paraId="45296E9D" w14:textId="77777777" w:rsidR="00EB0D85" w:rsidRPr="000763A4" w:rsidRDefault="00EB0D85" w:rsidP="00ED2732">
            <w:pPr>
              <w:pStyle w:val="Tableheadingright"/>
              <w:spacing w:before="80" w:after="80" w:line="288" w:lineRule="auto"/>
              <w:ind w:right="152"/>
              <w:jc w:val="left"/>
              <w:rPr>
                <w:rStyle w:val="WhiteColours"/>
                <w:rFonts w:ascii="Arial" w:hAnsi="Arial" w:cs="Arial"/>
                <w:color w:val="FFFFFF" w:themeColor="background2"/>
                <w:sz w:val="16"/>
                <w:szCs w:val="16"/>
                <w:lang w:val="en-AU"/>
              </w:rPr>
            </w:pPr>
            <w:r w:rsidRPr="000763A4">
              <w:rPr>
                <w:rStyle w:val="WhiteColours"/>
                <w:rFonts w:ascii="Arial" w:hAnsi="Arial" w:cs="Arial"/>
                <w:color w:val="FFFFFF" w:themeColor="background2"/>
                <w:sz w:val="16"/>
                <w:szCs w:val="16"/>
                <w:lang w:val="en-AU"/>
              </w:rPr>
              <w:t>Analysis</w:t>
            </w:r>
          </w:p>
        </w:tc>
      </w:tr>
      <w:tr w:rsidR="00EB0D85" w:rsidRPr="00C21045" w14:paraId="2E538E63"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3402" w:type="dxa"/>
          </w:tcPr>
          <w:p w14:paraId="51D31306" w14:textId="77777777" w:rsidR="00EB0D85" w:rsidRPr="00DD5448" w:rsidRDefault="00EB0D85" w:rsidP="00ED2732">
            <w:pPr>
              <w:pStyle w:val="Financialbodyleft"/>
              <w:numPr>
                <w:ilvl w:val="0"/>
                <w:numId w:val="21"/>
              </w:numPr>
              <w:spacing w:before="80" w:after="80" w:line="288" w:lineRule="auto"/>
              <w:ind w:left="230" w:hanging="230"/>
              <w:rPr>
                <w:rFonts w:ascii="Arial" w:hAnsi="Arial" w:cs="Arial"/>
                <w:sz w:val="16"/>
                <w:szCs w:val="16"/>
                <w:lang w:val="en-AU"/>
              </w:rPr>
            </w:pPr>
            <w:r w:rsidRPr="00DD5448">
              <w:rPr>
                <w:rFonts w:ascii="Arial" w:hAnsi="Arial" w:cs="Arial"/>
                <w:sz w:val="16"/>
                <w:szCs w:val="16"/>
                <w:lang w:val="en-AU"/>
              </w:rPr>
              <w:t>Investigate and make recommendations on cross-border disputes.</w:t>
            </w:r>
          </w:p>
        </w:tc>
        <w:tc>
          <w:tcPr>
            <w:tcW w:w="1134" w:type="dxa"/>
          </w:tcPr>
          <w:p w14:paraId="298DA3F3" w14:textId="77777777" w:rsidR="00EB0D85" w:rsidRPr="00DD5448" w:rsidRDefault="00EB0D85" w:rsidP="00ED2732">
            <w:pPr>
              <w:pStyle w:val="TableParagraph"/>
              <w:framePr w:hSpace="0" w:wrap="auto" w:vAnchor="margin" w:hAnchor="text" w:yAlign="inline"/>
              <w:spacing w:before="80" w:after="80" w:line="288" w:lineRule="auto"/>
              <w:jc w:val="left"/>
              <w:rPr>
                <w:color w:val="15272F" w:themeColor="text1"/>
                <w:sz w:val="16"/>
                <w:szCs w:val="16"/>
              </w:rPr>
            </w:pPr>
            <w:r w:rsidRPr="00DD5448">
              <w:rPr>
                <w:color w:val="15272F" w:themeColor="text1"/>
                <w:sz w:val="16"/>
                <w:szCs w:val="16"/>
              </w:rPr>
              <w:t>Ongoing</w:t>
            </w:r>
          </w:p>
        </w:tc>
        <w:tc>
          <w:tcPr>
            <w:tcW w:w="1843" w:type="dxa"/>
          </w:tcPr>
          <w:p w14:paraId="39D761CB" w14:textId="77777777" w:rsidR="00EB0D85" w:rsidRPr="00DD5448" w:rsidRDefault="00EB0D85" w:rsidP="00ED2732">
            <w:pPr>
              <w:pStyle w:val="TableParagraph"/>
              <w:framePr w:hSpace="0" w:wrap="auto" w:vAnchor="margin" w:hAnchor="text" w:yAlign="inline"/>
              <w:spacing w:before="80" w:after="80" w:line="288" w:lineRule="auto"/>
              <w:jc w:val="left"/>
              <w:rPr>
                <w:color w:val="15272F" w:themeColor="text1"/>
                <w:sz w:val="16"/>
                <w:szCs w:val="16"/>
              </w:rPr>
            </w:pPr>
            <w:r w:rsidRPr="00DD5448">
              <w:rPr>
                <w:color w:val="15272F" w:themeColor="text1"/>
                <w:sz w:val="16"/>
                <w:szCs w:val="16"/>
              </w:rPr>
              <w:t xml:space="preserve">Not required </w:t>
            </w:r>
          </w:p>
        </w:tc>
        <w:tc>
          <w:tcPr>
            <w:tcW w:w="3402" w:type="dxa"/>
          </w:tcPr>
          <w:p w14:paraId="16CF6B49" w14:textId="77777777" w:rsidR="00EB0D85" w:rsidRPr="00DD5448" w:rsidRDefault="00EB0D85" w:rsidP="00ED2732">
            <w:pPr>
              <w:pStyle w:val="TableParagraph"/>
              <w:framePr w:hSpace="0" w:wrap="auto" w:vAnchor="margin" w:hAnchor="text" w:yAlign="inline"/>
              <w:spacing w:before="80" w:after="80" w:line="288" w:lineRule="auto"/>
              <w:jc w:val="left"/>
              <w:rPr>
                <w:color w:val="15272F" w:themeColor="text1"/>
                <w:sz w:val="16"/>
                <w:szCs w:val="16"/>
              </w:rPr>
            </w:pPr>
            <w:r>
              <w:rPr>
                <w:color w:val="15272F" w:themeColor="text1"/>
                <w:sz w:val="16"/>
                <w:szCs w:val="16"/>
              </w:rPr>
              <w:t>We</w:t>
            </w:r>
            <w:r w:rsidRPr="00DD5448">
              <w:rPr>
                <w:color w:val="15272F" w:themeColor="text1"/>
                <w:sz w:val="16"/>
                <w:szCs w:val="16"/>
              </w:rPr>
              <w:t xml:space="preserve"> did not receive submissions to investigate cross-border disputes in 2025–26.</w:t>
            </w:r>
          </w:p>
        </w:tc>
      </w:tr>
      <w:tr w:rsidR="00EB0D85" w:rsidRPr="00C21045" w14:paraId="59E938DB"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3402" w:type="dxa"/>
          </w:tcPr>
          <w:p w14:paraId="568A2EA6" w14:textId="77777777" w:rsidR="00EB0D85" w:rsidRPr="00DD5448" w:rsidRDefault="00EB0D85" w:rsidP="00ED2732">
            <w:pPr>
              <w:pStyle w:val="Financialbodyleft"/>
              <w:numPr>
                <w:ilvl w:val="0"/>
                <w:numId w:val="21"/>
              </w:numPr>
              <w:spacing w:before="80" w:after="80" w:line="288" w:lineRule="auto"/>
              <w:ind w:left="230" w:hanging="230"/>
              <w:rPr>
                <w:rFonts w:ascii="Arial" w:hAnsi="Arial" w:cs="Arial"/>
                <w:sz w:val="16"/>
                <w:szCs w:val="16"/>
                <w:lang w:val="en-AU"/>
              </w:rPr>
            </w:pPr>
            <w:r w:rsidRPr="00DD5448">
              <w:rPr>
                <w:rFonts w:ascii="Arial" w:hAnsi="Arial" w:cs="Arial"/>
                <w:sz w:val="16"/>
                <w:szCs w:val="16"/>
                <w:lang w:val="en-AU"/>
              </w:rPr>
              <w:t>Investigate and make an assessment on cost-shifting disputes.</w:t>
            </w:r>
          </w:p>
        </w:tc>
        <w:tc>
          <w:tcPr>
            <w:tcW w:w="1134" w:type="dxa"/>
          </w:tcPr>
          <w:p w14:paraId="0E2C8979" w14:textId="77777777" w:rsidR="00EB0D85" w:rsidRPr="00DD5448" w:rsidRDefault="00EB0D85" w:rsidP="00ED2732">
            <w:pPr>
              <w:pStyle w:val="TableParagraph"/>
              <w:framePr w:hSpace="0" w:wrap="auto" w:vAnchor="margin" w:hAnchor="text" w:yAlign="inline"/>
              <w:spacing w:before="80" w:after="80" w:line="288" w:lineRule="auto"/>
              <w:jc w:val="left"/>
              <w:rPr>
                <w:color w:val="15272F" w:themeColor="text1"/>
                <w:sz w:val="16"/>
                <w:szCs w:val="16"/>
              </w:rPr>
            </w:pPr>
            <w:r w:rsidRPr="00DD5448">
              <w:rPr>
                <w:color w:val="15272F" w:themeColor="text1"/>
                <w:sz w:val="16"/>
                <w:szCs w:val="16"/>
              </w:rPr>
              <w:t>Ongoing</w:t>
            </w:r>
          </w:p>
        </w:tc>
        <w:tc>
          <w:tcPr>
            <w:tcW w:w="1843" w:type="dxa"/>
          </w:tcPr>
          <w:p w14:paraId="5DA2A166" w14:textId="77777777" w:rsidR="00EB0D85" w:rsidRPr="00DD5448" w:rsidRDefault="00EB0D85" w:rsidP="00ED2732">
            <w:pPr>
              <w:pStyle w:val="TableParagraph"/>
              <w:framePr w:hSpace="0" w:wrap="auto" w:vAnchor="margin" w:hAnchor="text" w:yAlign="inline"/>
              <w:spacing w:before="80" w:after="80" w:line="288" w:lineRule="auto"/>
              <w:jc w:val="left"/>
              <w:rPr>
                <w:color w:val="15272F" w:themeColor="text1"/>
                <w:sz w:val="16"/>
                <w:szCs w:val="16"/>
              </w:rPr>
            </w:pPr>
            <w:r w:rsidRPr="00DD5448">
              <w:rPr>
                <w:color w:val="15272F" w:themeColor="text1"/>
                <w:sz w:val="16"/>
                <w:szCs w:val="16"/>
              </w:rPr>
              <w:t xml:space="preserve">Not required </w:t>
            </w:r>
          </w:p>
        </w:tc>
        <w:tc>
          <w:tcPr>
            <w:tcW w:w="3402" w:type="dxa"/>
          </w:tcPr>
          <w:p w14:paraId="4316B9F8" w14:textId="77777777" w:rsidR="00EB0D85" w:rsidRPr="00DD5448" w:rsidRDefault="00EB0D85" w:rsidP="00ED2732">
            <w:pPr>
              <w:pStyle w:val="TableParagraph"/>
              <w:framePr w:hSpace="0" w:wrap="auto" w:vAnchor="margin" w:hAnchor="text" w:yAlign="inline"/>
              <w:spacing w:before="80" w:after="80" w:line="288" w:lineRule="auto"/>
              <w:jc w:val="left"/>
              <w:rPr>
                <w:color w:val="15272F" w:themeColor="text1"/>
                <w:sz w:val="16"/>
                <w:szCs w:val="16"/>
              </w:rPr>
            </w:pPr>
            <w:r>
              <w:rPr>
                <w:color w:val="15272F" w:themeColor="text1"/>
                <w:sz w:val="16"/>
                <w:szCs w:val="16"/>
              </w:rPr>
              <w:t xml:space="preserve">We </w:t>
            </w:r>
            <w:r w:rsidRPr="00DD5448">
              <w:rPr>
                <w:color w:val="15272F" w:themeColor="text1"/>
                <w:sz w:val="16"/>
                <w:szCs w:val="16"/>
              </w:rPr>
              <w:t>did not receive submissions to investigate cost-shifting disputes in 2025–26.</w:t>
            </w:r>
          </w:p>
        </w:tc>
      </w:tr>
    </w:tbl>
    <w:p w14:paraId="63371AA0" w14:textId="77777777" w:rsidR="00EB0D85" w:rsidRDefault="00EB0D85" w:rsidP="00EB0D85"/>
    <w:p w14:paraId="540549A2" w14:textId="77777777" w:rsidR="00EB0D85" w:rsidRDefault="00EB0D85" w:rsidP="00EB0D85"/>
    <w:p w14:paraId="69E6C010" w14:textId="77777777" w:rsidR="00EB0D85" w:rsidRDefault="00EB0D85" w:rsidP="00EB0D85"/>
    <w:p w14:paraId="54631B73" w14:textId="77777777" w:rsidR="00EB0D85" w:rsidRDefault="00EB0D85" w:rsidP="00EB0D85"/>
    <w:p w14:paraId="7920EB5B" w14:textId="77777777" w:rsidR="00EB0D85" w:rsidRDefault="00EB0D85" w:rsidP="00EB0D85"/>
    <w:p w14:paraId="7EF2076D" w14:textId="77777777" w:rsidR="00EB0D85" w:rsidRDefault="00EB0D85" w:rsidP="00EB0D85"/>
    <w:p w14:paraId="2613ED17" w14:textId="77777777" w:rsidR="00EB0D85" w:rsidRDefault="00EB0D85" w:rsidP="00EB0D85"/>
    <w:p w14:paraId="657B5502" w14:textId="77777777" w:rsidR="00EB0D85" w:rsidRDefault="00EB0D85" w:rsidP="00EB0D85"/>
    <w:p w14:paraId="47791CC5" w14:textId="77777777" w:rsidR="00EB0D85" w:rsidRDefault="00EB0D85" w:rsidP="00EB0D85"/>
    <w:p w14:paraId="0C5192C0" w14:textId="77777777" w:rsidR="00EB0D85" w:rsidRDefault="00EB0D85" w:rsidP="00EB0D85"/>
    <w:p w14:paraId="307799C8" w14:textId="77777777" w:rsidR="00EB0D85" w:rsidRDefault="00EB0D85" w:rsidP="00EB0D85"/>
    <w:p w14:paraId="775352D0" w14:textId="77777777" w:rsidR="00EB0D85" w:rsidRDefault="00EB0D85" w:rsidP="00EB0D85"/>
    <w:p w14:paraId="529CE880" w14:textId="77777777" w:rsidR="00EB0D85" w:rsidRDefault="00EB0D85" w:rsidP="00EB0D85">
      <w:pPr>
        <w:pStyle w:val="Heading1"/>
      </w:pPr>
    </w:p>
    <w:p w14:paraId="689068EA" w14:textId="77777777" w:rsidR="00EB0D85" w:rsidRPr="00AB4D1C" w:rsidRDefault="00EB0D85" w:rsidP="00EB0D85"/>
    <w:p w14:paraId="0715C0DD" w14:textId="77777777" w:rsidR="00EB0D85" w:rsidRDefault="00EB0D85" w:rsidP="00EB0D85">
      <w:pPr>
        <w:rPr>
          <w:rFonts w:cs="Arial"/>
        </w:rPr>
      </w:pPr>
    </w:p>
    <w:p w14:paraId="68948851" w14:textId="77777777" w:rsidR="00EB0D85" w:rsidRDefault="00EB0D85" w:rsidP="00EB0D85">
      <w:pPr>
        <w:rPr>
          <w:rFonts w:cs="Arial"/>
        </w:rPr>
      </w:pPr>
    </w:p>
    <w:p w14:paraId="253E87CF" w14:textId="77777777" w:rsidR="00EB0D85" w:rsidRDefault="00EB0D85" w:rsidP="00EB0D85">
      <w:pPr>
        <w:rPr>
          <w:rFonts w:cs="Arial"/>
        </w:rPr>
      </w:pPr>
    </w:p>
    <w:p w14:paraId="6AECD7C1" w14:textId="77777777" w:rsidR="00EB0D85" w:rsidRDefault="00EB0D85" w:rsidP="00EB0D85">
      <w:pPr>
        <w:rPr>
          <w:rFonts w:cs="Arial"/>
        </w:rPr>
      </w:pPr>
    </w:p>
    <w:p w14:paraId="1B1DF2DD" w14:textId="77777777" w:rsidR="00EB0D85" w:rsidRDefault="00EB0D85" w:rsidP="00EB0D85"/>
    <w:p w14:paraId="66FAC38D" w14:textId="77777777" w:rsidR="00EB0D85" w:rsidRDefault="00EB0D85" w:rsidP="00EB0D85"/>
    <w:p w14:paraId="3D2CEC10" w14:textId="77777777" w:rsidR="00EB0D85" w:rsidRDefault="00EB0D85" w:rsidP="00EB0D85"/>
    <w:p w14:paraId="7F68F49B" w14:textId="77777777" w:rsidR="00EB0D85" w:rsidRDefault="00EB0D85" w:rsidP="00EB0D85"/>
    <w:p w14:paraId="787CD37E" w14:textId="77777777" w:rsidR="00EB0D85" w:rsidRPr="00545CD8" w:rsidRDefault="00EB0D85" w:rsidP="00EB0D85">
      <w:pPr>
        <w:pStyle w:val="Heading1"/>
      </w:pPr>
      <w:bookmarkStart w:id="927" w:name="_Toc233022339"/>
      <w:bookmarkStart w:id="928" w:name="_Toc233023101"/>
      <w:bookmarkStart w:id="929" w:name="_Toc233023429"/>
      <w:bookmarkStart w:id="930" w:name="_Toc233028749"/>
      <w:bookmarkStart w:id="931" w:name="_Toc233028929"/>
      <w:bookmarkStart w:id="932" w:name="_Toc235787484"/>
      <w:bookmarkStart w:id="933" w:name="_Toc235791622"/>
      <w:bookmarkStart w:id="934" w:name="_Toc237872725"/>
      <w:r>
        <w:lastRenderedPageBreak/>
        <w:t>4.8</w:t>
      </w:r>
      <w:r>
        <w:tab/>
        <w:t xml:space="preserve">Strategic objective six:  Conduct independent and transparent decision-making and engage with </w:t>
      </w:r>
      <w:r w:rsidRPr="00545CD8">
        <w:t>stakeholders</w:t>
      </w:r>
      <w:bookmarkEnd w:id="927"/>
      <w:bookmarkEnd w:id="928"/>
      <w:bookmarkEnd w:id="929"/>
      <w:bookmarkEnd w:id="930"/>
      <w:bookmarkEnd w:id="931"/>
      <w:bookmarkEnd w:id="932"/>
      <w:bookmarkEnd w:id="933"/>
      <w:bookmarkEnd w:id="934"/>
    </w:p>
    <w:p w14:paraId="67CA8C45" w14:textId="77777777" w:rsidR="00EB0D85" w:rsidRPr="00545CD8" w:rsidRDefault="00EB0D85" w:rsidP="00EB0D85">
      <w:r>
        <w:t>We</w:t>
      </w:r>
      <w:r w:rsidRPr="00545CD8">
        <w:t xml:space="preserve"> conduct</w:t>
      </w:r>
      <w:r>
        <w:t xml:space="preserve"> our</w:t>
      </w:r>
      <w:r w:rsidRPr="00545CD8">
        <w:t xml:space="preserve"> work independently, which allows the agency to deliver impartial, evidence-based decisions and advice. IHACPA is</w:t>
      </w:r>
      <w:r>
        <w:t xml:space="preserve"> also</w:t>
      </w:r>
      <w:r w:rsidRPr="00545CD8">
        <w:t xml:space="preserve"> transparent in </w:t>
      </w:r>
      <w:r>
        <w:t>our</w:t>
      </w:r>
      <w:r w:rsidRPr="00545CD8">
        <w:t xml:space="preserve"> decision-making processes</w:t>
      </w:r>
      <w:r>
        <w:t>. We</w:t>
      </w:r>
      <w:r w:rsidRPr="00545CD8">
        <w:t xml:space="preserve"> consult extensively with the Australian Government, state and territory governments, </w:t>
      </w:r>
      <w:r>
        <w:t xml:space="preserve">the health and </w:t>
      </w:r>
      <w:r w:rsidRPr="00545CD8">
        <w:t>aged care sector</w:t>
      </w:r>
      <w:r>
        <w:t>s,</w:t>
      </w:r>
      <w:r w:rsidRPr="00545CD8">
        <w:t xml:space="preserve"> and other stakeholders</w:t>
      </w:r>
      <w:r>
        <w:t>,</w:t>
      </w:r>
      <w:r w:rsidRPr="00545CD8">
        <w:t xml:space="preserve"> to inform the methodology that underpins </w:t>
      </w:r>
      <w:r>
        <w:t>our</w:t>
      </w:r>
      <w:r w:rsidRPr="00545CD8">
        <w:t xml:space="preserve"> work. </w:t>
      </w:r>
    </w:p>
    <w:p w14:paraId="60742AE0" w14:textId="77777777" w:rsidR="00EB0D85" w:rsidRPr="00545CD8" w:rsidRDefault="00EB0D85" w:rsidP="00EB0D85">
      <w:r>
        <w:t>Through ongoing</w:t>
      </w:r>
      <w:r w:rsidRPr="00545CD8">
        <w:t xml:space="preserve"> </w:t>
      </w:r>
      <w:r>
        <w:t>stakeholder engagement, including</w:t>
      </w:r>
      <w:r w:rsidRPr="008D721C">
        <w:t xml:space="preserve"> </w:t>
      </w:r>
      <w:r w:rsidRPr="00545CD8">
        <w:t xml:space="preserve">input from </w:t>
      </w:r>
      <w:r>
        <w:t>our</w:t>
      </w:r>
      <w:r w:rsidRPr="00545CD8">
        <w:t xml:space="preserve"> advisory committees and working groups</w:t>
      </w:r>
      <w:r>
        <w:t>, we can</w:t>
      </w:r>
      <w:r w:rsidRPr="00545CD8">
        <w:t xml:space="preserve"> draw on an extensive range of expertise in undertaking </w:t>
      </w:r>
      <w:r>
        <w:t>our</w:t>
      </w:r>
      <w:r w:rsidRPr="00545CD8">
        <w:t xml:space="preserve"> functions. </w:t>
      </w:r>
      <w:r>
        <w:t>This ensures</w:t>
      </w:r>
      <w:r w:rsidRPr="00545CD8">
        <w:t xml:space="preserve"> </w:t>
      </w:r>
      <w:r>
        <w:t>our</w:t>
      </w:r>
      <w:r w:rsidRPr="00545CD8">
        <w:t xml:space="preserve"> work is informed by expert advice</w:t>
      </w:r>
      <w:r>
        <w:t xml:space="preserve"> and maintains </w:t>
      </w:r>
      <w:r w:rsidRPr="00545CD8">
        <w:t xml:space="preserve">credibility </w:t>
      </w:r>
      <w:r>
        <w:t>across</w:t>
      </w:r>
      <w:r w:rsidRPr="00545CD8">
        <w:t xml:space="preserve"> the </w:t>
      </w:r>
      <w:r>
        <w:t>care economy</w:t>
      </w:r>
      <w:r w:rsidRPr="00545CD8">
        <w:t>.</w:t>
      </w:r>
    </w:p>
    <w:p w14:paraId="639DBE39" w14:textId="77777777" w:rsidR="00EB0D85" w:rsidRPr="00DD5448" w:rsidRDefault="00EB0D85" w:rsidP="00EB0D85">
      <w:pPr>
        <w:rPr>
          <w:rFonts w:cs="Arial"/>
        </w:rPr>
      </w:pPr>
      <w:r w:rsidRPr="00DD5448">
        <w:rPr>
          <w:rFonts w:cs="Arial"/>
        </w:rPr>
        <w:t xml:space="preserve">In 2025–26, </w:t>
      </w:r>
      <w:r>
        <w:rPr>
          <w:rFonts w:cs="Arial"/>
        </w:rPr>
        <w:t xml:space="preserve">we </w:t>
      </w:r>
      <w:r w:rsidRPr="00DD5448">
        <w:rPr>
          <w:rFonts w:cs="Arial"/>
        </w:rPr>
        <w:t xml:space="preserve">continued to provide a transparent account of </w:t>
      </w:r>
      <w:r>
        <w:rPr>
          <w:rFonts w:cs="Arial"/>
        </w:rPr>
        <w:t>our</w:t>
      </w:r>
      <w:r w:rsidRPr="00DD5448">
        <w:rPr>
          <w:rFonts w:cs="Arial"/>
        </w:rPr>
        <w:t xml:space="preserve"> decision-making through </w:t>
      </w:r>
      <w:r>
        <w:rPr>
          <w:rFonts w:cs="Arial"/>
        </w:rPr>
        <w:t>our</w:t>
      </w:r>
      <w:r w:rsidRPr="00DD5448">
        <w:rPr>
          <w:rFonts w:cs="Arial"/>
        </w:rPr>
        <w:t xml:space="preserve"> committees and working groups, public consultations and polic</w:t>
      </w:r>
      <w:r>
        <w:rPr>
          <w:rFonts w:cs="Arial"/>
        </w:rPr>
        <w:t>y updates</w:t>
      </w:r>
      <w:r w:rsidRPr="00DD5448">
        <w:rPr>
          <w:rFonts w:cs="Arial"/>
        </w:rPr>
        <w:t xml:space="preserve">. This included the release of a consultation report alongside </w:t>
      </w:r>
      <w:r>
        <w:rPr>
          <w:rFonts w:cs="Arial"/>
        </w:rPr>
        <w:t>our</w:t>
      </w:r>
      <w:r w:rsidRPr="00DD5448">
        <w:rPr>
          <w:rFonts w:cs="Arial"/>
        </w:rPr>
        <w:t xml:space="preserve"> key strategic policy documents, the Pricing Framework for Australian Public Hospital Services 2026–27 and the Pricing Framework for Australian Residential Aged Care Services 2026–27. These consultation reports detail feedback received during public consultations and</w:t>
      </w:r>
      <w:r>
        <w:rPr>
          <w:rFonts w:cs="Arial"/>
        </w:rPr>
        <w:t xml:space="preserve"> the</w:t>
      </w:r>
      <w:r w:rsidRPr="00DD5448">
        <w:rPr>
          <w:rFonts w:cs="Arial"/>
        </w:rPr>
        <w:t xml:space="preserve"> rationale behind </w:t>
      </w:r>
      <w:r>
        <w:rPr>
          <w:rFonts w:cs="Arial"/>
        </w:rPr>
        <w:t xml:space="preserve">our </w:t>
      </w:r>
      <w:r w:rsidRPr="00DD5448">
        <w:rPr>
          <w:rFonts w:cs="Arial"/>
        </w:rPr>
        <w:t>policy decisions and pricing advice.</w:t>
      </w:r>
    </w:p>
    <w:p w14:paraId="35976B4C" w14:textId="77777777" w:rsidR="00EB0D85" w:rsidRPr="00DD5448" w:rsidRDefault="00EB0D85" w:rsidP="00EB0D85">
      <w:pPr>
        <w:rPr>
          <w:rFonts w:cs="Arial"/>
        </w:rPr>
      </w:pPr>
      <w:r>
        <w:rPr>
          <w:rFonts w:cs="Arial"/>
        </w:rPr>
        <w:t>From</w:t>
      </w:r>
      <w:r w:rsidRPr="00DD5448">
        <w:rPr>
          <w:rFonts w:cs="Arial"/>
        </w:rPr>
        <w:t xml:space="preserve"> 5 to 7 August 2025</w:t>
      </w:r>
      <w:r>
        <w:rPr>
          <w:rFonts w:cs="Arial"/>
        </w:rPr>
        <w:t>,</w:t>
      </w:r>
      <w:r w:rsidRPr="00DD5448">
        <w:rPr>
          <w:rFonts w:cs="Arial"/>
        </w:rPr>
        <w:t xml:space="preserve"> </w:t>
      </w:r>
      <w:r>
        <w:rPr>
          <w:rFonts w:cs="Arial"/>
        </w:rPr>
        <w:t>we held t</w:t>
      </w:r>
      <w:r w:rsidRPr="00DD5448">
        <w:rPr>
          <w:rFonts w:cs="Arial"/>
        </w:rPr>
        <w:t>he IHACPA Conference 2025 at the Adelaide Convention Centre</w:t>
      </w:r>
      <w:r>
        <w:rPr>
          <w:rFonts w:cs="Arial"/>
        </w:rPr>
        <w:t xml:space="preserve">, with </w:t>
      </w:r>
      <w:r w:rsidRPr="00DD5448">
        <w:rPr>
          <w:rFonts w:cs="Arial"/>
        </w:rPr>
        <w:t xml:space="preserve">over 550 </w:t>
      </w:r>
      <w:r>
        <w:rPr>
          <w:rFonts w:cs="Arial"/>
        </w:rPr>
        <w:t>attendees</w:t>
      </w:r>
      <w:r w:rsidRPr="00DD5448">
        <w:rPr>
          <w:rFonts w:cs="Arial"/>
        </w:rPr>
        <w:t xml:space="preserve"> in person and online. The conference theme was ‘Integrating resilience in the care economy and the role of pricing’. An expert line up of speakers led the conversation on reform, innovation, pricing, and the opportunities for harmonisation across different sectors, including hospitals, health care and aged care. The program included keynote presentations, abstract presentations, panel sessions and workshops.  </w:t>
      </w:r>
    </w:p>
    <w:p w14:paraId="0CFC0D3E" w14:textId="77777777" w:rsidR="00EB0D85" w:rsidRPr="00976C60" w:rsidRDefault="00EB0D85" w:rsidP="00EB0D85">
      <w:pPr>
        <w:pStyle w:val="Heading3"/>
      </w:pPr>
      <w:bookmarkStart w:id="935" w:name="_Toc233022340"/>
      <w:bookmarkStart w:id="936" w:name="_Toc233023102"/>
      <w:bookmarkStart w:id="937" w:name="_Toc233023430"/>
      <w:bookmarkStart w:id="938" w:name="_Toc233023574"/>
      <w:bookmarkStart w:id="939" w:name="_Toc233028750"/>
      <w:bookmarkStart w:id="940" w:name="_Toc233028930"/>
      <w:bookmarkStart w:id="941" w:name="_Toc235786154"/>
      <w:bookmarkStart w:id="942" w:name="_Toc235787485"/>
      <w:bookmarkStart w:id="943" w:name="_Toc235791623"/>
      <w:bookmarkStart w:id="944" w:name="_Toc237872726"/>
      <w:r w:rsidRPr="00976C60">
        <w:t>Results</w:t>
      </w:r>
      <w:bookmarkEnd w:id="935"/>
      <w:bookmarkEnd w:id="936"/>
      <w:bookmarkEnd w:id="937"/>
      <w:bookmarkEnd w:id="938"/>
      <w:bookmarkEnd w:id="939"/>
      <w:bookmarkEnd w:id="940"/>
      <w:bookmarkEnd w:id="941"/>
      <w:bookmarkEnd w:id="942"/>
      <w:bookmarkEnd w:id="943"/>
      <w:bookmarkEnd w:id="944"/>
    </w:p>
    <w:p w14:paraId="3C94B3B4" w14:textId="77777777" w:rsidR="00EB0D85" w:rsidRPr="00976C60" w:rsidRDefault="00EB0D85" w:rsidP="00EB0D85">
      <w:pPr>
        <w:rPr>
          <w:b/>
          <w:bCs/>
        </w:rPr>
      </w:pPr>
      <w:bookmarkStart w:id="945" w:name="_Toc148025830"/>
      <w:r w:rsidRPr="00976C60">
        <w:t xml:space="preserve">The reporting of key activities in this annual report refers to the deliverables of </w:t>
      </w:r>
      <w:r>
        <w:t>s</w:t>
      </w:r>
      <w:r w:rsidRPr="00976C60">
        <w:t>trategic </w:t>
      </w:r>
      <w:r>
        <w:t>o</w:t>
      </w:r>
      <w:r w:rsidRPr="00976C60">
        <w:t xml:space="preserve">bjective </w:t>
      </w:r>
      <w:r>
        <w:t>s</w:t>
      </w:r>
      <w:r w:rsidRPr="00976C60">
        <w:t>ix: Conduct independent and transparent decision-making and engage with stakeholders in the IHACPA Work Program and Corporate Plan 2025–26, and Section 1.1 of the Portfolio Budget Statements</w:t>
      </w:r>
      <w:r>
        <w:t xml:space="preserve"> </w:t>
      </w:r>
      <w:r w:rsidRPr="00976C60">
        <w:t xml:space="preserve">2025–26. A summary of each deliverable and the analysis of our performance against the deliverables is outlined in </w:t>
      </w:r>
      <w:r w:rsidRPr="00C21045">
        <w:rPr>
          <w:b/>
          <w:bCs/>
        </w:rPr>
        <w:t xml:space="preserve">Table </w:t>
      </w:r>
      <w:bookmarkEnd w:id="945"/>
      <w:r w:rsidRPr="00C21045">
        <w:rPr>
          <w:b/>
          <w:bCs/>
        </w:rPr>
        <w:t>1</w:t>
      </w:r>
      <w:r>
        <w:rPr>
          <w:b/>
          <w:bCs/>
        </w:rPr>
        <w:t>3</w:t>
      </w:r>
      <w:r w:rsidRPr="00976C60">
        <w:t>.</w:t>
      </w:r>
    </w:p>
    <w:p w14:paraId="2FBED25D" w14:textId="77777777" w:rsidR="00EB0D85" w:rsidRDefault="00EB0D85" w:rsidP="00EB0D85">
      <w:pPr>
        <w:pStyle w:val="TableFigureheading"/>
        <w:rPr>
          <w:b/>
          <w:bCs/>
          <w:color w:val="15272F" w:themeColor="text1"/>
        </w:rPr>
      </w:pPr>
      <w:bookmarkStart w:id="946" w:name="_Toc233023575"/>
      <w:bookmarkStart w:id="947" w:name="_Toc233028751"/>
      <w:r w:rsidRPr="00BB5154">
        <w:rPr>
          <w:b/>
          <w:bCs/>
          <w:color w:val="15272F" w:themeColor="text1"/>
        </w:rPr>
        <w:lastRenderedPageBreak/>
        <w:t>Table 1</w:t>
      </w:r>
      <w:r>
        <w:rPr>
          <w:b/>
          <w:bCs/>
          <w:color w:val="15272F" w:themeColor="text1"/>
        </w:rPr>
        <w:t>3:</w:t>
      </w:r>
      <w:r w:rsidRPr="00BB5154">
        <w:rPr>
          <w:b/>
          <w:bCs/>
          <w:color w:val="15272F" w:themeColor="text1"/>
        </w:rPr>
        <w:t xml:space="preserve"> Summary of </w:t>
      </w:r>
      <w:r>
        <w:rPr>
          <w:b/>
          <w:bCs/>
          <w:color w:val="15272F" w:themeColor="text1"/>
        </w:rPr>
        <w:t>p</w:t>
      </w:r>
      <w:r w:rsidRPr="00BB5154">
        <w:rPr>
          <w:b/>
          <w:bCs/>
          <w:color w:val="15272F" w:themeColor="text1"/>
        </w:rPr>
        <w:t xml:space="preserve">erformance for </w:t>
      </w:r>
      <w:r>
        <w:rPr>
          <w:b/>
          <w:bCs/>
          <w:color w:val="15272F" w:themeColor="text1"/>
        </w:rPr>
        <w:t>s</w:t>
      </w:r>
      <w:r w:rsidRPr="00BB5154">
        <w:rPr>
          <w:b/>
          <w:bCs/>
          <w:color w:val="15272F" w:themeColor="text1"/>
        </w:rPr>
        <w:t xml:space="preserve">trategic </w:t>
      </w:r>
      <w:r>
        <w:rPr>
          <w:b/>
          <w:bCs/>
          <w:color w:val="15272F" w:themeColor="text1"/>
        </w:rPr>
        <w:t>o</w:t>
      </w:r>
      <w:r w:rsidRPr="00BB5154">
        <w:rPr>
          <w:b/>
          <w:bCs/>
          <w:color w:val="15272F" w:themeColor="text1"/>
        </w:rPr>
        <w:t xml:space="preserve">bjective </w:t>
      </w:r>
      <w:r>
        <w:rPr>
          <w:b/>
          <w:bCs/>
          <w:color w:val="15272F" w:themeColor="text1"/>
        </w:rPr>
        <w:t>s</w:t>
      </w:r>
      <w:r w:rsidRPr="00BB5154">
        <w:rPr>
          <w:b/>
          <w:bCs/>
          <w:color w:val="15272F" w:themeColor="text1"/>
        </w:rPr>
        <w:t>ix: Conduct independent and transparent decision-making and engage with stakeholders in 2025–26</w:t>
      </w:r>
      <w:bookmarkEnd w:id="946"/>
      <w:bookmarkEnd w:id="947"/>
      <w:r>
        <w:rPr>
          <w:b/>
          <w:bCs/>
          <w:color w:val="15272F" w:themeColor="text1"/>
        </w:rPr>
        <w:t xml:space="preserve"> </w:t>
      </w:r>
    </w:p>
    <w:tbl>
      <w:tblPr>
        <w:tblStyle w:val="IHACPATable"/>
        <w:tblW w:w="9647" w:type="dxa"/>
        <w:tblLayout w:type="fixed"/>
        <w:tblLook w:val="0000" w:firstRow="0" w:lastRow="0" w:firstColumn="0" w:lastColumn="0" w:noHBand="0" w:noVBand="0"/>
      </w:tblPr>
      <w:tblGrid>
        <w:gridCol w:w="2843"/>
        <w:gridCol w:w="1126"/>
        <w:gridCol w:w="993"/>
        <w:gridCol w:w="4685"/>
      </w:tblGrid>
      <w:tr w:rsidR="00EB0D85" w:rsidRPr="00E214FE" w14:paraId="567AC052" w14:textId="77777777" w:rsidTr="00ED2732">
        <w:trPr>
          <w:cnfStyle w:val="000000010000" w:firstRow="0" w:lastRow="0" w:firstColumn="0" w:lastColumn="0" w:oddVBand="0" w:evenVBand="0" w:oddHBand="0" w:evenHBand="1" w:firstRowFirstColumn="0" w:firstRowLastColumn="0" w:lastRowFirstColumn="0" w:lastRowLastColumn="0"/>
          <w:trHeight w:val="57"/>
          <w:tblHeader/>
        </w:trPr>
        <w:tc>
          <w:tcPr>
            <w:tcW w:w="2843" w:type="dxa"/>
            <w:shd w:val="clear" w:color="auto" w:fill="15272F" w:themeFill="text1"/>
          </w:tcPr>
          <w:p w14:paraId="469908AF" w14:textId="77777777" w:rsidR="00EB0D85" w:rsidRPr="00C00630" w:rsidRDefault="00EB0D85" w:rsidP="00ED2732">
            <w:pPr>
              <w:pStyle w:val="TableFigureHeading0"/>
              <w:spacing w:before="60" w:after="60" w:line="288" w:lineRule="auto"/>
              <w:rPr>
                <w:color w:val="FFFFFF" w:themeColor="background2"/>
                <w:sz w:val="16"/>
                <w:szCs w:val="16"/>
              </w:rPr>
            </w:pPr>
            <w:bookmarkStart w:id="948" w:name="_Toc148025832"/>
            <w:r w:rsidRPr="00C00630">
              <w:rPr>
                <w:color w:val="FFFFFF" w:themeColor="background2"/>
                <w:sz w:val="16"/>
                <w:szCs w:val="16"/>
              </w:rPr>
              <w:t>Deliverables</w:t>
            </w:r>
            <w:bookmarkEnd w:id="948"/>
          </w:p>
        </w:tc>
        <w:tc>
          <w:tcPr>
            <w:tcW w:w="1126" w:type="dxa"/>
            <w:shd w:val="clear" w:color="auto" w:fill="15272F" w:themeFill="text1"/>
          </w:tcPr>
          <w:p w14:paraId="77EF05AD" w14:textId="77777777" w:rsidR="00EB0D85" w:rsidRPr="00C00630" w:rsidRDefault="00EB0D85" w:rsidP="00ED2732">
            <w:pPr>
              <w:pStyle w:val="Tableheadingright"/>
              <w:spacing w:before="60" w:after="60" w:line="288" w:lineRule="auto"/>
              <w:jc w:val="left"/>
              <w:rPr>
                <w:rStyle w:val="WhiteColours"/>
                <w:rFonts w:ascii="Arial" w:hAnsi="Arial" w:cs="Arial"/>
                <w:color w:val="FFFFFF" w:themeColor="background2"/>
                <w:sz w:val="16"/>
                <w:szCs w:val="16"/>
                <w:lang w:val="en-AU"/>
              </w:rPr>
            </w:pPr>
            <w:r w:rsidRPr="00C00630">
              <w:rPr>
                <w:rStyle w:val="WhiteColours"/>
                <w:rFonts w:ascii="Arial" w:hAnsi="Arial" w:cs="Arial"/>
                <w:color w:val="FFFFFF" w:themeColor="background2"/>
                <w:sz w:val="16"/>
                <w:szCs w:val="16"/>
                <w:lang w:val="en-AU"/>
              </w:rPr>
              <w:t>Timeframe</w:t>
            </w:r>
          </w:p>
        </w:tc>
        <w:tc>
          <w:tcPr>
            <w:tcW w:w="993" w:type="dxa"/>
            <w:shd w:val="clear" w:color="auto" w:fill="15272F" w:themeFill="text1"/>
          </w:tcPr>
          <w:p w14:paraId="27B9B177" w14:textId="77777777" w:rsidR="00EB0D85" w:rsidRPr="00C00630" w:rsidRDefault="00EB0D85" w:rsidP="00ED2732">
            <w:pPr>
              <w:pStyle w:val="Tableheadingright"/>
              <w:spacing w:before="60" w:after="60" w:line="288" w:lineRule="auto"/>
              <w:jc w:val="left"/>
              <w:rPr>
                <w:rStyle w:val="WhiteColours"/>
                <w:rFonts w:ascii="Arial" w:hAnsi="Arial" w:cs="Arial"/>
                <w:color w:val="FFFFFF" w:themeColor="background2"/>
                <w:sz w:val="16"/>
                <w:szCs w:val="16"/>
                <w:lang w:val="en-AU"/>
              </w:rPr>
            </w:pPr>
            <w:r w:rsidRPr="00C00630">
              <w:rPr>
                <w:rStyle w:val="WhiteColours"/>
                <w:rFonts w:ascii="Arial" w:hAnsi="Arial" w:cs="Arial"/>
                <w:color w:val="FFFFFF" w:themeColor="background2"/>
                <w:sz w:val="16"/>
                <w:szCs w:val="16"/>
                <w:lang w:val="en-AU"/>
              </w:rPr>
              <w:t>Outcome</w:t>
            </w:r>
          </w:p>
        </w:tc>
        <w:tc>
          <w:tcPr>
            <w:tcW w:w="4685" w:type="dxa"/>
            <w:shd w:val="clear" w:color="auto" w:fill="15272F" w:themeFill="text1"/>
          </w:tcPr>
          <w:p w14:paraId="19D9E033" w14:textId="77777777" w:rsidR="00EB0D85" w:rsidRPr="00C00630" w:rsidRDefault="00EB0D85" w:rsidP="00ED2732">
            <w:pPr>
              <w:pStyle w:val="Tableheadingright"/>
              <w:spacing w:before="60" w:after="60" w:line="288" w:lineRule="auto"/>
              <w:jc w:val="left"/>
              <w:rPr>
                <w:rStyle w:val="WhiteColours"/>
                <w:rFonts w:ascii="Arial" w:hAnsi="Arial" w:cs="Arial"/>
                <w:color w:val="FFFFFF" w:themeColor="background2"/>
                <w:sz w:val="16"/>
                <w:szCs w:val="16"/>
                <w:lang w:val="en-AU"/>
              </w:rPr>
            </w:pPr>
            <w:r w:rsidRPr="00C00630">
              <w:rPr>
                <w:rStyle w:val="WhiteColours"/>
                <w:rFonts w:ascii="Arial" w:hAnsi="Arial" w:cs="Arial"/>
                <w:color w:val="FFFFFF" w:themeColor="background2"/>
                <w:sz w:val="16"/>
                <w:szCs w:val="16"/>
                <w:lang w:val="en-AU"/>
              </w:rPr>
              <w:t>Analysis</w:t>
            </w:r>
          </w:p>
        </w:tc>
      </w:tr>
      <w:tr w:rsidR="00EB0D85" w:rsidRPr="00E214FE" w14:paraId="4220EC6B"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2843" w:type="dxa"/>
          </w:tcPr>
          <w:p w14:paraId="3E30E1AE" w14:textId="77777777" w:rsidR="00EB0D85" w:rsidRPr="00DD5448" w:rsidRDefault="00EB0D85" w:rsidP="00ED2732">
            <w:pPr>
              <w:pStyle w:val="Financialbodyleft"/>
              <w:numPr>
                <w:ilvl w:val="0"/>
                <w:numId w:val="22"/>
              </w:numPr>
              <w:spacing w:before="60" w:after="60" w:line="288" w:lineRule="auto"/>
              <w:ind w:left="230" w:hanging="230"/>
              <w:rPr>
                <w:rFonts w:ascii="Arial" w:hAnsi="Arial" w:cs="Arial"/>
                <w:sz w:val="16"/>
                <w:szCs w:val="16"/>
                <w:lang w:val="en-AU"/>
              </w:rPr>
            </w:pPr>
            <w:r w:rsidRPr="00DD5448">
              <w:rPr>
                <w:rFonts w:ascii="Arial" w:hAnsi="Arial" w:cs="Arial"/>
                <w:sz w:val="16"/>
                <w:szCs w:val="16"/>
                <w:lang w:val="en-AU"/>
              </w:rPr>
              <w:t xml:space="preserve">Provide quarterly </w:t>
            </w:r>
            <w:r>
              <w:rPr>
                <w:rFonts w:ascii="Arial" w:hAnsi="Arial" w:cs="Arial"/>
                <w:sz w:val="16"/>
                <w:szCs w:val="16"/>
                <w:lang w:val="en-AU"/>
              </w:rPr>
              <w:t>ABF</w:t>
            </w:r>
            <w:r w:rsidRPr="00DD5448">
              <w:rPr>
                <w:rFonts w:ascii="Arial" w:hAnsi="Arial" w:cs="Arial"/>
                <w:sz w:val="16"/>
                <w:szCs w:val="16"/>
                <w:lang w:val="en-AU"/>
              </w:rPr>
              <w:t xml:space="preserve"> </w:t>
            </w:r>
            <w:r>
              <w:rPr>
                <w:rFonts w:ascii="Arial" w:hAnsi="Arial" w:cs="Arial"/>
                <w:sz w:val="16"/>
                <w:szCs w:val="16"/>
                <w:lang w:val="en-AU"/>
              </w:rPr>
              <w:t xml:space="preserve">activity </w:t>
            </w:r>
            <w:r w:rsidRPr="00DD5448">
              <w:rPr>
                <w:rFonts w:ascii="Arial" w:hAnsi="Arial" w:cs="Arial"/>
                <w:sz w:val="16"/>
                <w:szCs w:val="16"/>
                <w:lang w:val="en-AU"/>
              </w:rPr>
              <w:t>data reports to the Pricing Authority and Jurisdictional Advisory Committee.</w:t>
            </w:r>
          </w:p>
        </w:tc>
        <w:tc>
          <w:tcPr>
            <w:tcW w:w="1126" w:type="dxa"/>
          </w:tcPr>
          <w:p w14:paraId="744EAC85"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Ongoing</w:t>
            </w:r>
          </w:p>
        </w:tc>
        <w:tc>
          <w:tcPr>
            <w:tcW w:w="993" w:type="dxa"/>
          </w:tcPr>
          <w:p w14:paraId="093D6221"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Ongoing</w:t>
            </w:r>
          </w:p>
        </w:tc>
        <w:tc>
          <w:tcPr>
            <w:tcW w:w="4685" w:type="dxa"/>
          </w:tcPr>
          <w:p w14:paraId="12EA508D"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DD5448">
              <w:rPr>
                <w:color w:val="15272F" w:themeColor="text1"/>
                <w:sz w:val="16"/>
                <w:szCs w:val="16"/>
              </w:rPr>
              <w:t xml:space="preserve"> provided quarterly ABF</w:t>
            </w:r>
            <w:r>
              <w:rPr>
                <w:color w:val="15272F" w:themeColor="text1"/>
                <w:sz w:val="16"/>
                <w:szCs w:val="16"/>
              </w:rPr>
              <w:t xml:space="preserve"> activity</w:t>
            </w:r>
            <w:r w:rsidRPr="00DD5448">
              <w:rPr>
                <w:color w:val="15272F" w:themeColor="text1"/>
                <w:sz w:val="16"/>
                <w:szCs w:val="16"/>
              </w:rPr>
              <w:t xml:space="preserve"> data reports to the Pricing Authority, Jurisdictional Advisory Committee and Technical Advisory Committee.</w:t>
            </w:r>
          </w:p>
        </w:tc>
      </w:tr>
      <w:tr w:rsidR="00EB0D85" w:rsidRPr="00E214FE" w14:paraId="43920E15"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2843" w:type="dxa"/>
          </w:tcPr>
          <w:p w14:paraId="041A8B62" w14:textId="77777777" w:rsidR="00EB0D85" w:rsidRPr="00DD5448" w:rsidRDefault="00EB0D85" w:rsidP="00ED2732">
            <w:pPr>
              <w:pStyle w:val="Financialbodyleft"/>
              <w:numPr>
                <w:ilvl w:val="0"/>
                <w:numId w:val="22"/>
              </w:numPr>
              <w:spacing w:before="60" w:after="60" w:line="288" w:lineRule="auto"/>
              <w:ind w:left="230" w:hanging="230"/>
              <w:rPr>
                <w:rFonts w:ascii="Arial" w:hAnsi="Arial" w:cs="Arial"/>
                <w:sz w:val="16"/>
                <w:szCs w:val="16"/>
                <w:lang w:val="en-AU"/>
              </w:rPr>
            </w:pPr>
            <w:r w:rsidRPr="00DD5448">
              <w:rPr>
                <w:rFonts w:ascii="Arial" w:hAnsi="Arial" w:cs="Arial"/>
                <w:sz w:val="16"/>
                <w:szCs w:val="16"/>
                <w:lang w:val="en-AU"/>
              </w:rPr>
              <w:t>Publish evidence-based activity-based funding related research and analysis.</w:t>
            </w:r>
          </w:p>
        </w:tc>
        <w:tc>
          <w:tcPr>
            <w:tcW w:w="1126" w:type="dxa"/>
          </w:tcPr>
          <w:p w14:paraId="0961DF29"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Ongoing</w:t>
            </w:r>
          </w:p>
        </w:tc>
        <w:tc>
          <w:tcPr>
            <w:tcW w:w="993" w:type="dxa"/>
          </w:tcPr>
          <w:p w14:paraId="0ABACFFC"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Ongoing</w:t>
            </w:r>
          </w:p>
        </w:tc>
        <w:tc>
          <w:tcPr>
            <w:tcW w:w="4685" w:type="dxa"/>
          </w:tcPr>
          <w:p w14:paraId="3BC9B0D7"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 xml:space="preserve">As required, </w:t>
            </w:r>
            <w:r>
              <w:rPr>
                <w:color w:val="15272F" w:themeColor="text1"/>
                <w:sz w:val="16"/>
                <w:szCs w:val="16"/>
              </w:rPr>
              <w:t>we</w:t>
            </w:r>
            <w:r w:rsidRPr="00DD5448">
              <w:rPr>
                <w:color w:val="15272F" w:themeColor="text1"/>
                <w:sz w:val="16"/>
                <w:szCs w:val="16"/>
              </w:rPr>
              <w:t xml:space="preserve"> conducted ABF-related research that furthers the understanding and implementation of ABF</w:t>
            </w:r>
            <w:r>
              <w:rPr>
                <w:color w:val="15272F" w:themeColor="text1"/>
                <w:sz w:val="16"/>
                <w:szCs w:val="16"/>
              </w:rPr>
              <w:t>,</w:t>
            </w:r>
            <w:r w:rsidRPr="00DD5448">
              <w:rPr>
                <w:color w:val="15272F" w:themeColor="text1"/>
                <w:sz w:val="16"/>
                <w:szCs w:val="16"/>
              </w:rPr>
              <w:t xml:space="preserve"> </w:t>
            </w:r>
            <w:r>
              <w:rPr>
                <w:color w:val="15272F" w:themeColor="text1"/>
                <w:sz w:val="16"/>
                <w:szCs w:val="16"/>
              </w:rPr>
              <w:t>p</w:t>
            </w:r>
            <w:r w:rsidRPr="00DD5448">
              <w:rPr>
                <w:color w:val="15272F" w:themeColor="text1"/>
                <w:sz w:val="16"/>
                <w:szCs w:val="16"/>
              </w:rPr>
              <w:t xml:space="preserve">articularly </w:t>
            </w:r>
            <w:r>
              <w:rPr>
                <w:color w:val="15272F" w:themeColor="text1"/>
                <w:sz w:val="16"/>
                <w:szCs w:val="16"/>
              </w:rPr>
              <w:t>for</w:t>
            </w:r>
            <w:r w:rsidRPr="00DD5448">
              <w:rPr>
                <w:color w:val="15272F" w:themeColor="text1"/>
                <w:sz w:val="16"/>
                <w:szCs w:val="16"/>
              </w:rPr>
              <w:t xml:space="preserve"> classifications, coding standards and pricing methodologies</w:t>
            </w:r>
            <w:r>
              <w:rPr>
                <w:color w:val="15272F" w:themeColor="text1"/>
                <w:sz w:val="16"/>
                <w:szCs w:val="16"/>
              </w:rPr>
              <w:t>.</w:t>
            </w:r>
            <w:r w:rsidRPr="00DD5448">
              <w:rPr>
                <w:color w:val="15272F" w:themeColor="text1"/>
                <w:sz w:val="16"/>
                <w:szCs w:val="16"/>
              </w:rPr>
              <w:t xml:space="preserve"> </w:t>
            </w:r>
            <w:r>
              <w:rPr>
                <w:color w:val="15272F" w:themeColor="text1"/>
                <w:sz w:val="16"/>
                <w:szCs w:val="16"/>
              </w:rPr>
              <w:t>We</w:t>
            </w:r>
            <w:r w:rsidRPr="00DD5448">
              <w:rPr>
                <w:color w:val="15272F" w:themeColor="text1"/>
                <w:sz w:val="16"/>
                <w:szCs w:val="16"/>
              </w:rPr>
              <w:t xml:space="preserve"> will continue to work with stakeholders to improve access to hospital data, including developing appropriate safeguards and identifying opportunities that all parties are agreeable to in the release of data and/or publications to third parties. </w:t>
            </w:r>
          </w:p>
        </w:tc>
      </w:tr>
      <w:tr w:rsidR="00EB0D85" w:rsidRPr="00E214FE" w14:paraId="3A27D0E3" w14:textId="77777777" w:rsidTr="00ED2732">
        <w:trPr>
          <w:cnfStyle w:val="000000100000" w:firstRow="0" w:lastRow="0" w:firstColumn="0" w:lastColumn="0" w:oddVBand="0" w:evenVBand="0" w:oddHBand="1" w:evenHBand="0" w:firstRowFirstColumn="0" w:firstRowLastColumn="0" w:lastRowFirstColumn="0" w:lastRowLastColumn="0"/>
          <w:trHeight w:val="1428"/>
        </w:trPr>
        <w:tc>
          <w:tcPr>
            <w:tcW w:w="2843" w:type="dxa"/>
          </w:tcPr>
          <w:p w14:paraId="55331DA2" w14:textId="77777777" w:rsidR="00EB0D85" w:rsidRPr="00DD5448" w:rsidRDefault="00EB0D85" w:rsidP="00ED2732">
            <w:pPr>
              <w:pStyle w:val="Financialbodyleft"/>
              <w:numPr>
                <w:ilvl w:val="0"/>
                <w:numId w:val="22"/>
              </w:numPr>
              <w:spacing w:before="60" w:after="60" w:line="288" w:lineRule="auto"/>
              <w:ind w:left="230" w:hanging="230"/>
              <w:rPr>
                <w:rFonts w:ascii="Arial" w:hAnsi="Arial" w:cs="Arial"/>
                <w:sz w:val="16"/>
                <w:szCs w:val="16"/>
                <w:lang w:val="en-AU"/>
              </w:rPr>
            </w:pPr>
            <w:r w:rsidRPr="00DD5448">
              <w:rPr>
                <w:rFonts w:ascii="Arial" w:hAnsi="Arial" w:cs="Arial"/>
                <w:sz w:val="16"/>
                <w:szCs w:val="16"/>
                <w:lang w:val="en-AU"/>
              </w:rPr>
              <w:t>Provide advice to states and territories on proposals for the trial of innovative funding models and models of care.</w:t>
            </w:r>
          </w:p>
        </w:tc>
        <w:tc>
          <w:tcPr>
            <w:tcW w:w="1126" w:type="dxa"/>
          </w:tcPr>
          <w:p w14:paraId="2504C02C"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Ongoing</w:t>
            </w:r>
          </w:p>
        </w:tc>
        <w:tc>
          <w:tcPr>
            <w:tcW w:w="993" w:type="dxa"/>
          </w:tcPr>
          <w:p w14:paraId="424D162D"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Ongoing</w:t>
            </w:r>
          </w:p>
        </w:tc>
        <w:tc>
          <w:tcPr>
            <w:tcW w:w="4685" w:type="dxa"/>
          </w:tcPr>
          <w:p w14:paraId="22588D0C"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DD5448">
              <w:rPr>
                <w:color w:val="15272F" w:themeColor="text1"/>
                <w:sz w:val="16"/>
                <w:szCs w:val="16"/>
              </w:rPr>
              <w:t xml:space="preserve"> continued to work with the Australian Government and New South Wales to facilitate the trialling of innovative models</w:t>
            </w:r>
            <w:r>
              <w:rPr>
                <w:color w:val="15272F" w:themeColor="text1"/>
                <w:sz w:val="16"/>
                <w:szCs w:val="16"/>
              </w:rPr>
              <w:t>,</w:t>
            </w:r>
            <w:r w:rsidRPr="00DD5448">
              <w:rPr>
                <w:color w:val="15272F" w:themeColor="text1"/>
                <w:sz w:val="16"/>
                <w:szCs w:val="16"/>
              </w:rPr>
              <w:t xml:space="preserve"> through a bilateral agreement under clauses A82-84, I33-34 and Schedule D of the 2026–31 Addendum to the National Health Reform Agreement 2020–26. </w:t>
            </w:r>
            <w:r>
              <w:rPr>
                <w:color w:val="15272F" w:themeColor="text1"/>
                <w:sz w:val="16"/>
                <w:szCs w:val="16"/>
              </w:rPr>
              <w:t>We</w:t>
            </w:r>
            <w:r w:rsidRPr="00DD5448">
              <w:rPr>
                <w:color w:val="15272F" w:themeColor="text1"/>
                <w:sz w:val="16"/>
                <w:szCs w:val="16"/>
              </w:rPr>
              <w:t xml:space="preserve"> also provided advice to other jurisdictions and clinical experts considering such trials. </w:t>
            </w:r>
          </w:p>
        </w:tc>
      </w:tr>
      <w:tr w:rsidR="00EB0D85" w:rsidRPr="00E214FE" w14:paraId="1F8D2017" w14:textId="77777777" w:rsidTr="00ED2732">
        <w:trPr>
          <w:cnfStyle w:val="000000010000" w:firstRow="0" w:lastRow="0" w:firstColumn="0" w:lastColumn="0" w:oddVBand="0" w:evenVBand="0" w:oddHBand="0" w:evenHBand="1" w:firstRowFirstColumn="0" w:firstRowLastColumn="0" w:lastRowFirstColumn="0" w:lastRowLastColumn="0"/>
          <w:trHeight w:val="561"/>
        </w:trPr>
        <w:tc>
          <w:tcPr>
            <w:tcW w:w="2843" w:type="dxa"/>
          </w:tcPr>
          <w:p w14:paraId="248571E7" w14:textId="77777777" w:rsidR="00EB0D85" w:rsidRPr="00DD5448" w:rsidRDefault="00EB0D85" w:rsidP="00ED2732">
            <w:pPr>
              <w:pStyle w:val="Financialbodyleft"/>
              <w:numPr>
                <w:ilvl w:val="0"/>
                <w:numId w:val="22"/>
              </w:numPr>
              <w:spacing w:before="60" w:after="60" w:line="288" w:lineRule="auto"/>
              <w:ind w:left="230" w:hanging="230"/>
              <w:rPr>
                <w:rFonts w:ascii="Arial" w:hAnsi="Arial" w:cs="Arial"/>
                <w:sz w:val="16"/>
                <w:szCs w:val="16"/>
                <w:lang w:val="en-AU"/>
              </w:rPr>
            </w:pPr>
            <w:r w:rsidRPr="00DD5448">
              <w:rPr>
                <w:rFonts w:ascii="Arial" w:hAnsi="Arial" w:cs="Arial"/>
                <w:sz w:val="16"/>
                <w:szCs w:val="16"/>
                <w:lang w:val="en-AU"/>
              </w:rPr>
              <w:t xml:space="preserve">Consider recommendations arising from the investigation into virtual models of service delivery and care, and associated funding arrangements. </w:t>
            </w:r>
          </w:p>
        </w:tc>
        <w:tc>
          <w:tcPr>
            <w:tcW w:w="1126" w:type="dxa"/>
          </w:tcPr>
          <w:p w14:paraId="2E6F71CD"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December 2025</w:t>
            </w:r>
          </w:p>
        </w:tc>
        <w:tc>
          <w:tcPr>
            <w:tcW w:w="993" w:type="dxa"/>
          </w:tcPr>
          <w:p w14:paraId="046D98DF"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Delivered</w:t>
            </w:r>
          </w:p>
        </w:tc>
        <w:tc>
          <w:tcPr>
            <w:tcW w:w="4685" w:type="dxa"/>
          </w:tcPr>
          <w:p w14:paraId="7B8E5CDA"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DD5448">
              <w:rPr>
                <w:color w:val="15272F" w:themeColor="text1"/>
                <w:sz w:val="16"/>
                <w:szCs w:val="16"/>
              </w:rPr>
              <w:t xml:space="preserve"> commenced the Virtual Care Project to understand the current state of virtual care, including funding in Australia and internationally. The Virtual Care Project – Final Report was released in February 2025. In 2025–26, </w:t>
            </w:r>
            <w:r>
              <w:rPr>
                <w:color w:val="15272F" w:themeColor="text1"/>
                <w:sz w:val="16"/>
                <w:szCs w:val="16"/>
              </w:rPr>
              <w:t>we</w:t>
            </w:r>
            <w:r w:rsidRPr="00DD5448">
              <w:rPr>
                <w:color w:val="15272F" w:themeColor="text1"/>
                <w:sz w:val="16"/>
                <w:szCs w:val="16"/>
              </w:rPr>
              <w:t xml:space="preserve"> worked with jurisdictions to develop a program of work to respond to the findings and recommendations identified in the report. </w:t>
            </w:r>
          </w:p>
        </w:tc>
      </w:tr>
      <w:tr w:rsidR="00EB0D85" w:rsidRPr="00E214FE" w14:paraId="5274AEF3"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2843" w:type="dxa"/>
          </w:tcPr>
          <w:p w14:paraId="0414E6CE" w14:textId="77777777" w:rsidR="00EB0D85" w:rsidRPr="00DD5448" w:rsidRDefault="00EB0D85" w:rsidP="00ED2732">
            <w:pPr>
              <w:pStyle w:val="Financialbodyleft"/>
              <w:numPr>
                <w:ilvl w:val="0"/>
                <w:numId w:val="22"/>
              </w:numPr>
              <w:spacing w:before="60" w:after="60" w:line="288" w:lineRule="auto"/>
              <w:ind w:left="230" w:hanging="230"/>
              <w:rPr>
                <w:rFonts w:ascii="Arial" w:hAnsi="Arial" w:cs="Arial"/>
                <w:sz w:val="16"/>
                <w:szCs w:val="16"/>
                <w:lang w:val="en-AU"/>
              </w:rPr>
            </w:pPr>
            <w:r w:rsidRPr="00DD5448">
              <w:rPr>
                <w:rFonts w:ascii="Arial" w:hAnsi="Arial" w:cs="Arial"/>
                <w:sz w:val="16"/>
                <w:szCs w:val="16"/>
                <w:lang w:val="en-AU"/>
              </w:rPr>
              <w:t xml:space="preserve">Continue to investigate issues relating to the impact of activity-based funding on small jurisdictions. </w:t>
            </w:r>
          </w:p>
        </w:tc>
        <w:tc>
          <w:tcPr>
            <w:tcW w:w="1126" w:type="dxa"/>
          </w:tcPr>
          <w:p w14:paraId="30E71526"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June 2026</w:t>
            </w:r>
          </w:p>
        </w:tc>
        <w:tc>
          <w:tcPr>
            <w:tcW w:w="993" w:type="dxa"/>
          </w:tcPr>
          <w:p w14:paraId="2C232201"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Delivered</w:t>
            </w:r>
          </w:p>
        </w:tc>
        <w:tc>
          <w:tcPr>
            <w:tcW w:w="4685" w:type="dxa"/>
          </w:tcPr>
          <w:p w14:paraId="5ADC59FA"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DD5448">
              <w:rPr>
                <w:color w:val="15272F" w:themeColor="text1"/>
                <w:sz w:val="16"/>
                <w:szCs w:val="16"/>
              </w:rPr>
              <w:t xml:space="preserve"> commenced work with jurisdictions and key stakeholders to better understand the underlying cost drivers in smaller jurisdictions. </w:t>
            </w:r>
            <w:r>
              <w:rPr>
                <w:color w:val="15272F" w:themeColor="text1"/>
                <w:sz w:val="16"/>
                <w:szCs w:val="16"/>
              </w:rPr>
              <w:t>We</w:t>
            </w:r>
            <w:r w:rsidRPr="00DD5448">
              <w:rPr>
                <w:color w:val="15272F" w:themeColor="text1"/>
                <w:sz w:val="16"/>
                <w:szCs w:val="16"/>
              </w:rPr>
              <w:t xml:space="preserve"> will continue to work with all jurisdictions to determine possible opportunities to address the cost variations. </w:t>
            </w:r>
          </w:p>
        </w:tc>
      </w:tr>
      <w:tr w:rsidR="00EB0D85" w:rsidRPr="00E214FE" w14:paraId="7067EDDC"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2843" w:type="dxa"/>
          </w:tcPr>
          <w:p w14:paraId="61688607" w14:textId="77777777" w:rsidR="00EB0D85" w:rsidRPr="00DD5448" w:rsidRDefault="00EB0D85" w:rsidP="00ED2732">
            <w:pPr>
              <w:pStyle w:val="Financialbodyleft"/>
              <w:numPr>
                <w:ilvl w:val="0"/>
                <w:numId w:val="22"/>
              </w:numPr>
              <w:spacing w:before="60" w:after="60" w:line="288" w:lineRule="auto"/>
              <w:ind w:left="230" w:hanging="230"/>
              <w:rPr>
                <w:rFonts w:ascii="Arial" w:hAnsi="Arial" w:cs="Arial"/>
                <w:sz w:val="16"/>
                <w:szCs w:val="16"/>
                <w:lang w:val="en-AU"/>
              </w:rPr>
            </w:pPr>
            <w:r w:rsidRPr="00DD5448">
              <w:rPr>
                <w:rFonts w:ascii="Arial" w:hAnsi="Arial" w:cs="Arial"/>
                <w:sz w:val="16"/>
                <w:szCs w:val="16"/>
                <w:lang w:val="en-AU"/>
              </w:rPr>
              <w:t xml:space="preserve">Continue to investigate the impact and occurrence of long-stay patients in public hospitals. </w:t>
            </w:r>
          </w:p>
        </w:tc>
        <w:tc>
          <w:tcPr>
            <w:tcW w:w="1126" w:type="dxa"/>
          </w:tcPr>
          <w:p w14:paraId="01EAAE03"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June 2026</w:t>
            </w:r>
          </w:p>
        </w:tc>
        <w:tc>
          <w:tcPr>
            <w:tcW w:w="993" w:type="dxa"/>
          </w:tcPr>
          <w:p w14:paraId="2322590C" w14:textId="77777777" w:rsidR="00EB0D85" w:rsidRPr="00DD5448" w:rsidRDefault="00EB0D85" w:rsidP="00ED2732">
            <w:pPr>
              <w:pStyle w:val="Financialbodyright"/>
              <w:spacing w:before="60" w:after="60" w:line="288" w:lineRule="auto"/>
              <w:jc w:val="left"/>
              <w:rPr>
                <w:rFonts w:ascii="Arial" w:hAnsi="Arial" w:cs="Arial"/>
                <w:sz w:val="16"/>
                <w:szCs w:val="16"/>
                <w:lang w:val="en-AU"/>
              </w:rPr>
            </w:pPr>
            <w:r w:rsidRPr="00DD5448">
              <w:rPr>
                <w:rFonts w:ascii="Arial" w:hAnsi="Arial" w:cs="Arial"/>
                <w:sz w:val="16"/>
                <w:szCs w:val="16"/>
                <w:lang w:val="en-AU"/>
              </w:rPr>
              <w:t>Ongoing</w:t>
            </w:r>
          </w:p>
        </w:tc>
        <w:tc>
          <w:tcPr>
            <w:tcW w:w="4685" w:type="dxa"/>
          </w:tcPr>
          <w:p w14:paraId="77BEDE6D"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DD5448">
              <w:rPr>
                <w:color w:val="15272F" w:themeColor="text1"/>
                <w:sz w:val="16"/>
                <w:szCs w:val="16"/>
              </w:rPr>
              <w:t xml:space="preserve"> commenced exploratory work to investigate the occurrence of long-stay patients in public hospitals as part of the 2024–25 work program</w:t>
            </w:r>
            <w:r>
              <w:rPr>
                <w:color w:val="15272F" w:themeColor="text1"/>
                <w:sz w:val="16"/>
                <w:szCs w:val="16"/>
              </w:rPr>
              <w:t>. T</w:t>
            </w:r>
            <w:r w:rsidRPr="00DD5448">
              <w:rPr>
                <w:color w:val="15272F" w:themeColor="text1"/>
                <w:sz w:val="16"/>
                <w:szCs w:val="16"/>
              </w:rPr>
              <w:t xml:space="preserve">his work </w:t>
            </w:r>
            <w:r>
              <w:rPr>
                <w:color w:val="15272F" w:themeColor="text1"/>
                <w:sz w:val="16"/>
                <w:szCs w:val="16"/>
              </w:rPr>
              <w:t>has progressed</w:t>
            </w:r>
            <w:r w:rsidRPr="00DD5448">
              <w:rPr>
                <w:color w:val="15272F" w:themeColor="text1"/>
                <w:sz w:val="16"/>
                <w:szCs w:val="16"/>
              </w:rPr>
              <w:t xml:space="preserve"> through </w:t>
            </w:r>
            <w:r>
              <w:rPr>
                <w:color w:val="15272F" w:themeColor="text1"/>
                <w:sz w:val="16"/>
                <w:szCs w:val="16"/>
              </w:rPr>
              <w:t>our</w:t>
            </w:r>
            <w:r w:rsidRPr="00DD5448">
              <w:rPr>
                <w:color w:val="15272F" w:themeColor="text1"/>
                <w:sz w:val="16"/>
                <w:szCs w:val="16"/>
              </w:rPr>
              <w:t xml:space="preserve"> advisory committees and working groups in 2025–26.  </w:t>
            </w:r>
          </w:p>
        </w:tc>
      </w:tr>
      <w:tr w:rsidR="00EB0D85" w:rsidRPr="00E214FE" w14:paraId="6C8128D6"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2843" w:type="dxa"/>
          </w:tcPr>
          <w:p w14:paraId="5E1D1146" w14:textId="77777777" w:rsidR="00EB0D85" w:rsidRPr="00DD5448" w:rsidRDefault="00EB0D85" w:rsidP="00ED2732">
            <w:pPr>
              <w:pStyle w:val="Financialbodyleft"/>
              <w:numPr>
                <w:ilvl w:val="0"/>
                <w:numId w:val="22"/>
              </w:numPr>
              <w:spacing w:before="60" w:after="60" w:line="288" w:lineRule="auto"/>
              <w:ind w:left="230" w:hanging="230"/>
              <w:rPr>
                <w:rFonts w:ascii="Arial" w:hAnsi="Arial" w:cs="Arial"/>
                <w:sz w:val="16"/>
                <w:szCs w:val="16"/>
                <w:lang w:val="en-AU"/>
              </w:rPr>
            </w:pPr>
            <w:r w:rsidRPr="00DD5448">
              <w:rPr>
                <w:rFonts w:ascii="Arial" w:hAnsi="Arial" w:cs="Arial"/>
                <w:sz w:val="16"/>
                <w:szCs w:val="16"/>
                <w:lang w:val="en-AU"/>
              </w:rPr>
              <w:t xml:space="preserve">Implement strategies, tools and working papers to ensure that IHACPA is providing information that will support </w:t>
            </w:r>
            <w:r>
              <w:rPr>
                <w:rFonts w:ascii="Arial" w:hAnsi="Arial" w:cs="Arial"/>
                <w:sz w:val="16"/>
                <w:szCs w:val="16"/>
                <w:lang w:val="en-AU"/>
              </w:rPr>
              <w:t>our</w:t>
            </w:r>
            <w:r w:rsidRPr="00DD5448">
              <w:rPr>
                <w:rFonts w:ascii="Arial" w:hAnsi="Arial" w:cs="Arial"/>
                <w:sz w:val="16"/>
                <w:szCs w:val="16"/>
                <w:lang w:val="en-AU"/>
              </w:rPr>
              <w:t xml:space="preserve"> advisory committees, working groups and jurisdictions.</w:t>
            </w:r>
          </w:p>
        </w:tc>
        <w:tc>
          <w:tcPr>
            <w:tcW w:w="1126" w:type="dxa"/>
          </w:tcPr>
          <w:p w14:paraId="1C2C8A1E"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Ongoing</w:t>
            </w:r>
          </w:p>
        </w:tc>
        <w:tc>
          <w:tcPr>
            <w:tcW w:w="993" w:type="dxa"/>
          </w:tcPr>
          <w:p w14:paraId="73BB52A6"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Ongoing</w:t>
            </w:r>
          </w:p>
        </w:tc>
        <w:tc>
          <w:tcPr>
            <w:tcW w:w="4685" w:type="dxa"/>
          </w:tcPr>
          <w:p w14:paraId="745E9B85"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DD5448">
              <w:rPr>
                <w:color w:val="15272F" w:themeColor="text1"/>
                <w:sz w:val="16"/>
                <w:szCs w:val="16"/>
              </w:rPr>
              <w:t xml:space="preserve"> continued to prepare committee papers, policy documents and technical specifications to support communication of the work program to </w:t>
            </w:r>
            <w:r>
              <w:rPr>
                <w:color w:val="15272F" w:themeColor="text1"/>
                <w:sz w:val="16"/>
                <w:szCs w:val="16"/>
              </w:rPr>
              <w:t>our</w:t>
            </w:r>
            <w:r w:rsidRPr="00DD5448">
              <w:rPr>
                <w:color w:val="15272F" w:themeColor="text1"/>
                <w:sz w:val="16"/>
                <w:szCs w:val="16"/>
              </w:rPr>
              <w:t xml:space="preserve"> stakeholders.</w:t>
            </w:r>
          </w:p>
        </w:tc>
      </w:tr>
      <w:tr w:rsidR="00EB0D85" w:rsidRPr="00E214FE" w14:paraId="4B429A87"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2843" w:type="dxa"/>
          </w:tcPr>
          <w:p w14:paraId="32088CC2" w14:textId="77777777" w:rsidR="00EB0D85" w:rsidRPr="00DD5448" w:rsidRDefault="00EB0D85" w:rsidP="00ED2732">
            <w:pPr>
              <w:pStyle w:val="Financialbodyleft"/>
              <w:numPr>
                <w:ilvl w:val="0"/>
                <w:numId w:val="22"/>
              </w:numPr>
              <w:spacing w:before="60" w:after="60" w:line="288" w:lineRule="auto"/>
              <w:ind w:left="230" w:hanging="230"/>
              <w:rPr>
                <w:rFonts w:ascii="Arial" w:hAnsi="Arial" w:cs="Arial"/>
                <w:sz w:val="16"/>
                <w:szCs w:val="16"/>
                <w:lang w:val="en-AU"/>
              </w:rPr>
            </w:pPr>
            <w:r w:rsidRPr="00DD5448">
              <w:rPr>
                <w:rFonts w:ascii="Arial" w:hAnsi="Arial" w:cs="Arial"/>
                <w:sz w:val="16"/>
                <w:szCs w:val="16"/>
                <w:lang w:val="en-AU"/>
              </w:rPr>
              <w:t>Deliver the IHACPA Conference 2025.</w:t>
            </w:r>
          </w:p>
        </w:tc>
        <w:tc>
          <w:tcPr>
            <w:tcW w:w="1126" w:type="dxa"/>
          </w:tcPr>
          <w:p w14:paraId="0D0CC16D"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August 2025</w:t>
            </w:r>
          </w:p>
        </w:tc>
        <w:tc>
          <w:tcPr>
            <w:tcW w:w="993" w:type="dxa"/>
          </w:tcPr>
          <w:p w14:paraId="3D6528FF"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Delivered</w:t>
            </w:r>
          </w:p>
        </w:tc>
        <w:tc>
          <w:tcPr>
            <w:tcW w:w="4685" w:type="dxa"/>
          </w:tcPr>
          <w:p w14:paraId="6CE29387"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Pr>
                <w:color w:val="15272F" w:themeColor="text1"/>
                <w:sz w:val="16"/>
                <w:szCs w:val="16"/>
              </w:rPr>
              <w:t>We</w:t>
            </w:r>
            <w:r w:rsidRPr="00DD5448">
              <w:rPr>
                <w:color w:val="15272F" w:themeColor="text1"/>
                <w:sz w:val="16"/>
                <w:szCs w:val="16"/>
              </w:rPr>
              <w:t xml:space="preserve"> held </w:t>
            </w:r>
            <w:r>
              <w:rPr>
                <w:color w:val="15272F" w:themeColor="text1"/>
                <w:sz w:val="16"/>
                <w:szCs w:val="16"/>
              </w:rPr>
              <w:t>a</w:t>
            </w:r>
            <w:r w:rsidRPr="00DD5448">
              <w:rPr>
                <w:color w:val="15272F" w:themeColor="text1"/>
                <w:sz w:val="16"/>
                <w:szCs w:val="16"/>
              </w:rPr>
              <w:t xml:space="preserve"> conference in Adelaide, South Australia, enabling continue</w:t>
            </w:r>
            <w:r>
              <w:rPr>
                <w:color w:val="15272F" w:themeColor="text1"/>
                <w:sz w:val="16"/>
                <w:szCs w:val="16"/>
              </w:rPr>
              <w:t>d</w:t>
            </w:r>
            <w:r w:rsidRPr="00DD5448">
              <w:rPr>
                <w:color w:val="15272F" w:themeColor="text1"/>
                <w:sz w:val="16"/>
                <w:szCs w:val="16"/>
              </w:rPr>
              <w:t xml:space="preserve"> engagement with a wide range of health and aged care stakeholders.  </w:t>
            </w:r>
          </w:p>
        </w:tc>
      </w:tr>
      <w:tr w:rsidR="00EB0D85" w:rsidRPr="00E214FE" w14:paraId="13B8D40C" w14:textId="77777777" w:rsidTr="00ED2732">
        <w:trPr>
          <w:cnfStyle w:val="000000100000" w:firstRow="0" w:lastRow="0" w:firstColumn="0" w:lastColumn="0" w:oddVBand="0" w:evenVBand="0" w:oddHBand="1" w:evenHBand="0" w:firstRowFirstColumn="0" w:firstRowLastColumn="0" w:lastRowFirstColumn="0" w:lastRowLastColumn="0"/>
          <w:cantSplit/>
          <w:trHeight w:val="113"/>
        </w:trPr>
        <w:tc>
          <w:tcPr>
            <w:tcW w:w="2843" w:type="dxa"/>
          </w:tcPr>
          <w:p w14:paraId="552F09E1" w14:textId="77777777" w:rsidR="00EB0D85" w:rsidRPr="00DD5448" w:rsidRDefault="00EB0D85" w:rsidP="00ED2732">
            <w:pPr>
              <w:pStyle w:val="Financialbodyleft"/>
              <w:numPr>
                <w:ilvl w:val="0"/>
                <w:numId w:val="22"/>
              </w:numPr>
              <w:spacing w:before="60" w:after="60" w:line="288" w:lineRule="auto"/>
              <w:ind w:left="230" w:hanging="230"/>
              <w:rPr>
                <w:rFonts w:ascii="Arial" w:hAnsi="Arial" w:cs="Arial"/>
                <w:sz w:val="16"/>
                <w:szCs w:val="16"/>
                <w:lang w:val="en-AU"/>
              </w:rPr>
            </w:pPr>
            <w:r w:rsidRPr="00DD5448">
              <w:rPr>
                <w:rFonts w:ascii="Arial" w:hAnsi="Arial" w:cs="Arial"/>
                <w:sz w:val="16"/>
                <w:szCs w:val="16"/>
                <w:lang w:val="en-AU"/>
              </w:rPr>
              <w:t>Develop and promote educational materials and resources to educate, inform and engage stakeholders about IHACPA’s work program and our role in the health and aged care systems.</w:t>
            </w:r>
          </w:p>
          <w:p w14:paraId="089AD89B" w14:textId="77777777" w:rsidR="00EB0D85" w:rsidRPr="00DD5448" w:rsidRDefault="00EB0D85" w:rsidP="00ED2732">
            <w:pPr>
              <w:pStyle w:val="Financialbodyleft"/>
              <w:spacing w:before="60" w:after="60" w:line="288" w:lineRule="auto"/>
              <w:ind w:left="230" w:hanging="230"/>
              <w:rPr>
                <w:rFonts w:ascii="Arial" w:hAnsi="Arial" w:cs="Arial"/>
                <w:sz w:val="16"/>
                <w:szCs w:val="16"/>
                <w:lang w:val="en-AU"/>
              </w:rPr>
            </w:pPr>
          </w:p>
        </w:tc>
        <w:tc>
          <w:tcPr>
            <w:tcW w:w="1126" w:type="dxa"/>
          </w:tcPr>
          <w:p w14:paraId="377459F2"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Ongoing</w:t>
            </w:r>
          </w:p>
        </w:tc>
        <w:tc>
          <w:tcPr>
            <w:tcW w:w="993" w:type="dxa"/>
          </w:tcPr>
          <w:p w14:paraId="05AB7621"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Ongoing</w:t>
            </w:r>
          </w:p>
        </w:tc>
        <w:tc>
          <w:tcPr>
            <w:tcW w:w="4685" w:type="dxa"/>
          </w:tcPr>
          <w:p w14:paraId="1DDF81F8" w14:textId="77777777" w:rsidR="00EB0D85" w:rsidRPr="00DD5448" w:rsidRDefault="00EB0D85" w:rsidP="00ED2732">
            <w:pPr>
              <w:pStyle w:val="TableParagraph"/>
              <w:framePr w:wrap="around"/>
              <w:spacing w:before="60" w:after="60" w:line="288" w:lineRule="auto"/>
              <w:contextualSpacing/>
              <w:jc w:val="left"/>
              <w:rPr>
                <w:color w:val="15272F" w:themeColor="text1"/>
                <w:sz w:val="16"/>
                <w:szCs w:val="16"/>
              </w:rPr>
            </w:pPr>
            <w:r>
              <w:rPr>
                <w:color w:val="15272F" w:themeColor="text1"/>
                <w:sz w:val="16"/>
                <w:szCs w:val="16"/>
              </w:rPr>
              <w:t>We</w:t>
            </w:r>
            <w:r w:rsidRPr="00DD5448">
              <w:rPr>
                <w:color w:val="15272F" w:themeColor="text1"/>
                <w:sz w:val="16"/>
                <w:szCs w:val="16"/>
              </w:rPr>
              <w:t xml:space="preserve"> continue</w:t>
            </w:r>
            <w:r>
              <w:rPr>
                <w:color w:val="15272F" w:themeColor="text1"/>
                <w:sz w:val="16"/>
                <w:szCs w:val="16"/>
              </w:rPr>
              <w:t>d</w:t>
            </w:r>
            <w:r w:rsidRPr="00DD5448">
              <w:rPr>
                <w:color w:val="15272F" w:themeColor="text1"/>
                <w:sz w:val="16"/>
                <w:szCs w:val="16"/>
              </w:rPr>
              <w:t xml:space="preserve"> to release a number of educational materials and resources, including:</w:t>
            </w:r>
          </w:p>
          <w:p w14:paraId="2289C07E" w14:textId="77777777" w:rsidR="00EB0D85" w:rsidRPr="00DD5448" w:rsidRDefault="00EB0D85" w:rsidP="00ED2732">
            <w:pPr>
              <w:pStyle w:val="TableParagraph"/>
              <w:framePr w:wrap="around"/>
              <w:numPr>
                <w:ilvl w:val="0"/>
                <w:numId w:val="23"/>
              </w:numPr>
              <w:spacing w:before="60" w:after="60" w:line="288" w:lineRule="auto"/>
              <w:contextualSpacing/>
              <w:jc w:val="left"/>
              <w:rPr>
                <w:color w:val="15272F" w:themeColor="text1"/>
                <w:sz w:val="16"/>
                <w:szCs w:val="16"/>
              </w:rPr>
            </w:pPr>
            <w:r w:rsidRPr="00DD5448">
              <w:rPr>
                <w:color w:val="15272F" w:themeColor="text1"/>
                <w:sz w:val="16"/>
                <w:szCs w:val="16"/>
              </w:rPr>
              <w:t xml:space="preserve">webinars </w:t>
            </w:r>
          </w:p>
          <w:p w14:paraId="19AA5A7F" w14:textId="77777777" w:rsidR="00EB0D85" w:rsidRPr="00DD5448" w:rsidRDefault="00EB0D85" w:rsidP="00ED2732">
            <w:pPr>
              <w:pStyle w:val="TableParagraph"/>
              <w:framePr w:wrap="around"/>
              <w:numPr>
                <w:ilvl w:val="0"/>
                <w:numId w:val="23"/>
              </w:numPr>
              <w:spacing w:before="60" w:after="60" w:line="288" w:lineRule="auto"/>
              <w:contextualSpacing/>
              <w:jc w:val="left"/>
              <w:rPr>
                <w:color w:val="15272F" w:themeColor="text1"/>
                <w:sz w:val="16"/>
                <w:szCs w:val="16"/>
              </w:rPr>
            </w:pPr>
            <w:r w:rsidRPr="00DD5448">
              <w:rPr>
                <w:color w:val="15272F" w:themeColor="text1"/>
                <w:sz w:val="16"/>
                <w:szCs w:val="16"/>
              </w:rPr>
              <w:t xml:space="preserve">fact sheets </w:t>
            </w:r>
          </w:p>
          <w:p w14:paraId="375E80DF" w14:textId="77777777" w:rsidR="00EB0D85" w:rsidRPr="00DD5448" w:rsidRDefault="00EB0D85" w:rsidP="00ED2732">
            <w:pPr>
              <w:pStyle w:val="TableParagraph"/>
              <w:framePr w:wrap="around"/>
              <w:numPr>
                <w:ilvl w:val="0"/>
                <w:numId w:val="23"/>
              </w:numPr>
              <w:spacing w:before="60" w:after="60" w:line="288" w:lineRule="auto"/>
              <w:jc w:val="left"/>
              <w:rPr>
                <w:color w:val="15272F" w:themeColor="text1"/>
                <w:sz w:val="16"/>
                <w:szCs w:val="16"/>
              </w:rPr>
            </w:pPr>
            <w:r w:rsidRPr="00DD5448">
              <w:rPr>
                <w:color w:val="15272F" w:themeColor="text1"/>
                <w:sz w:val="16"/>
                <w:szCs w:val="16"/>
              </w:rPr>
              <w:t xml:space="preserve">education modules. </w:t>
            </w:r>
          </w:p>
          <w:p w14:paraId="3F82B078" w14:textId="77777777" w:rsidR="00EB0D85" w:rsidRPr="00DD5448" w:rsidRDefault="00EB0D85" w:rsidP="00ED2732">
            <w:pPr>
              <w:pStyle w:val="TableParagraph"/>
              <w:framePr w:wrap="around"/>
              <w:spacing w:before="60" w:after="60" w:line="288" w:lineRule="auto"/>
              <w:jc w:val="left"/>
              <w:rPr>
                <w:color w:val="15272F" w:themeColor="text1"/>
                <w:sz w:val="16"/>
                <w:szCs w:val="16"/>
              </w:rPr>
            </w:pPr>
            <w:r w:rsidRPr="00DD5448">
              <w:rPr>
                <w:color w:val="15272F" w:themeColor="text1"/>
                <w:sz w:val="16"/>
                <w:szCs w:val="16"/>
              </w:rPr>
              <w:t xml:space="preserve">In 2025–26, </w:t>
            </w:r>
            <w:r>
              <w:rPr>
                <w:color w:val="15272F" w:themeColor="text1"/>
                <w:sz w:val="16"/>
                <w:szCs w:val="16"/>
              </w:rPr>
              <w:t>we</w:t>
            </w:r>
            <w:r w:rsidRPr="00DD5448">
              <w:rPr>
                <w:color w:val="15272F" w:themeColor="text1"/>
                <w:sz w:val="16"/>
                <w:szCs w:val="16"/>
              </w:rPr>
              <w:t xml:space="preserve"> </w:t>
            </w:r>
            <w:r>
              <w:rPr>
                <w:color w:val="15272F" w:themeColor="text1"/>
                <w:sz w:val="16"/>
                <w:szCs w:val="16"/>
              </w:rPr>
              <w:t>released</w:t>
            </w:r>
            <w:r w:rsidRPr="00DD5448">
              <w:rPr>
                <w:color w:val="15272F" w:themeColor="text1"/>
                <w:sz w:val="16"/>
                <w:szCs w:val="16"/>
              </w:rPr>
              <w:t xml:space="preserve"> education modules for AR-DRG Version 12.0 on IHACPA Learn</w:t>
            </w:r>
            <w:r>
              <w:rPr>
                <w:color w:val="15272F" w:themeColor="text1"/>
                <w:sz w:val="16"/>
                <w:szCs w:val="16"/>
              </w:rPr>
              <w:t>. We</w:t>
            </w:r>
            <w:r w:rsidRPr="00DD5448">
              <w:rPr>
                <w:color w:val="15272F" w:themeColor="text1"/>
                <w:sz w:val="16"/>
                <w:szCs w:val="16"/>
              </w:rPr>
              <w:t xml:space="preserve"> will continue to develop and promote other educational materials and resources for health and aged care stakeholders.  </w:t>
            </w:r>
          </w:p>
        </w:tc>
      </w:tr>
    </w:tbl>
    <w:p w14:paraId="34AB8BC7" w14:textId="77777777" w:rsidR="00EB0D85" w:rsidRPr="00EA27FE" w:rsidRDefault="00EB0D85" w:rsidP="00EB0D85">
      <w:bookmarkStart w:id="949" w:name="_Toc233022341"/>
      <w:bookmarkStart w:id="950" w:name="_Toc233023103"/>
      <w:bookmarkStart w:id="951" w:name="_Toc233023431"/>
      <w:bookmarkStart w:id="952" w:name="_Toc233028752"/>
      <w:bookmarkStart w:id="953" w:name="_Toc233028931"/>
    </w:p>
    <w:p w14:paraId="341E2CB5" w14:textId="77777777" w:rsidR="00EB0D85" w:rsidRDefault="00EB0D85" w:rsidP="00EB0D85">
      <w:pPr>
        <w:pStyle w:val="Heading1"/>
      </w:pPr>
      <w:bookmarkStart w:id="954" w:name="_Toc235787486"/>
      <w:bookmarkStart w:id="955" w:name="_Toc235791624"/>
      <w:bookmarkStart w:id="956" w:name="_Toc237872727"/>
      <w:r>
        <w:lastRenderedPageBreak/>
        <w:t>4.9</w:t>
      </w:r>
      <w:r>
        <w:tab/>
        <w:t>IHACPA’s assessment of refundable accommodation deposits</w:t>
      </w:r>
      <w:bookmarkEnd w:id="949"/>
      <w:bookmarkEnd w:id="950"/>
      <w:bookmarkEnd w:id="951"/>
      <w:bookmarkEnd w:id="952"/>
      <w:bookmarkEnd w:id="953"/>
      <w:bookmarkEnd w:id="954"/>
      <w:bookmarkEnd w:id="955"/>
      <w:bookmarkEnd w:id="956"/>
      <w:r>
        <w:t xml:space="preserve"> </w:t>
      </w:r>
    </w:p>
    <w:p w14:paraId="04A5E650" w14:textId="77777777" w:rsidR="00EB0D85" w:rsidRPr="005B3908" w:rsidRDefault="00EB0D85" w:rsidP="00EB0D85">
      <w:bookmarkStart w:id="957" w:name="_Toc233022342"/>
      <w:bookmarkStart w:id="958" w:name="_Toc233023104"/>
      <w:bookmarkStart w:id="959" w:name="_Toc233023432"/>
      <w:bookmarkStart w:id="960" w:name="_Toc233023577"/>
      <w:bookmarkStart w:id="961" w:name="_Toc233028753"/>
      <w:bookmarkStart w:id="962" w:name="_Toc233028932"/>
      <w:bookmarkStart w:id="963" w:name="_Toc235786156"/>
      <w:bookmarkStart w:id="964" w:name="_Toc235787487"/>
      <w:bookmarkStart w:id="965" w:name="_Toc235791625"/>
      <w:r w:rsidRPr="005B3908">
        <w:t xml:space="preserve">IHACPA assesses applications from registered aged care providers to charge accommodation payment amounts above the maximum amount determined by the Minister for Health and Ageing. </w:t>
      </w:r>
    </w:p>
    <w:p w14:paraId="6B813445" w14:textId="77777777" w:rsidR="00EB0D85" w:rsidRPr="005B3908" w:rsidRDefault="00EB0D85" w:rsidP="00EB0D85">
      <w:r w:rsidRPr="005B3908">
        <w:t xml:space="preserve">The maximum accommodation payment amount is indexed annually in line with the CPI from 1 July each year. </w:t>
      </w:r>
    </w:p>
    <w:p w14:paraId="56BF3785" w14:textId="77777777" w:rsidR="00EB0D85" w:rsidRPr="005B3908" w:rsidRDefault="00EB0D85" w:rsidP="00EB0D85">
      <w:r w:rsidRPr="005B3908">
        <w:t>In compliance with relevant legislation, we provide the following information about our functions in this area.</w:t>
      </w:r>
    </w:p>
    <w:p w14:paraId="00C1DE49" w14:textId="77777777" w:rsidR="00EB0D85" w:rsidRPr="005A2D57" w:rsidRDefault="00EB0D85" w:rsidP="00EB0D85">
      <w:pPr>
        <w:pStyle w:val="Heading3"/>
      </w:pPr>
      <w:bookmarkStart w:id="966" w:name="_Toc237872728"/>
      <w:r w:rsidRPr="005A2D57">
        <w:t>Refundable accommodation deposit</w:t>
      </w:r>
      <w:bookmarkEnd w:id="957"/>
      <w:bookmarkEnd w:id="958"/>
      <w:bookmarkEnd w:id="959"/>
      <w:bookmarkEnd w:id="960"/>
      <w:bookmarkEnd w:id="961"/>
      <w:bookmarkEnd w:id="962"/>
      <w:bookmarkEnd w:id="963"/>
      <w:bookmarkEnd w:id="964"/>
      <w:bookmarkEnd w:id="965"/>
      <w:bookmarkEnd w:id="966"/>
    </w:p>
    <w:p w14:paraId="28793864" w14:textId="77777777" w:rsidR="00EB0D85" w:rsidRDefault="00EB0D85" w:rsidP="00EB0D85">
      <w:pPr>
        <w:rPr>
          <w:rFonts w:cs="Arial"/>
          <w:color w:val="auto"/>
        </w:rPr>
      </w:pPr>
      <w:r w:rsidRPr="00C21045">
        <w:rPr>
          <w:rFonts w:cs="Arial"/>
          <w:b/>
          <w:bCs/>
          <w:color w:val="auto"/>
        </w:rPr>
        <w:t>Table 1</w:t>
      </w:r>
      <w:r>
        <w:rPr>
          <w:rFonts w:cs="Arial"/>
          <w:b/>
          <w:bCs/>
          <w:color w:val="auto"/>
        </w:rPr>
        <w:t>4</w:t>
      </w:r>
      <w:r w:rsidRPr="006B53A7">
        <w:rPr>
          <w:rFonts w:cs="Arial"/>
          <w:color w:val="auto"/>
        </w:rPr>
        <w:t xml:space="preserve"> outlines the number of accommodation groups that were assessed by IHACPA in 2025</w:t>
      </w:r>
      <w:r w:rsidRPr="00FE3C88">
        <w:t>–</w:t>
      </w:r>
      <w:r w:rsidRPr="006B53A7">
        <w:rPr>
          <w:rFonts w:cs="Arial"/>
          <w:color w:val="auto"/>
        </w:rPr>
        <w:t xml:space="preserve">26. </w:t>
      </w:r>
    </w:p>
    <w:p w14:paraId="4D750BB3" w14:textId="77777777" w:rsidR="00EB0D85" w:rsidRPr="000701CB" w:rsidRDefault="00EB0D85" w:rsidP="00EB0D85">
      <w:pPr>
        <w:pStyle w:val="TableFigureheading"/>
        <w:rPr>
          <w:b/>
          <w:bCs/>
          <w:color w:val="15272F" w:themeColor="text1"/>
        </w:rPr>
      </w:pPr>
      <w:bookmarkStart w:id="967" w:name="_Toc233023578"/>
      <w:bookmarkStart w:id="968" w:name="_Toc233028754"/>
      <w:r w:rsidRPr="006363B5">
        <w:rPr>
          <w:b/>
          <w:bCs/>
          <w:color w:val="15272F" w:themeColor="text1"/>
        </w:rPr>
        <w:t>Table 1</w:t>
      </w:r>
      <w:r>
        <w:rPr>
          <w:b/>
          <w:bCs/>
          <w:color w:val="15272F" w:themeColor="text1"/>
        </w:rPr>
        <w:t>4:</w:t>
      </w:r>
      <w:r w:rsidRPr="006363B5">
        <w:rPr>
          <w:b/>
          <w:bCs/>
          <w:color w:val="15272F" w:themeColor="text1"/>
        </w:rPr>
        <w:t xml:space="preserve"> Refundable accommodation deposit </w:t>
      </w:r>
      <w:r>
        <w:rPr>
          <w:b/>
          <w:bCs/>
          <w:color w:val="15272F" w:themeColor="text1"/>
        </w:rPr>
        <w:t>(RAD)</w:t>
      </w:r>
      <w:r w:rsidRPr="006363B5">
        <w:rPr>
          <w:b/>
          <w:bCs/>
          <w:color w:val="15272F" w:themeColor="text1"/>
        </w:rPr>
        <w:t xml:space="preserve"> data for financial year 2025–26</w:t>
      </w:r>
      <w:bookmarkEnd w:id="967"/>
      <w:bookmarkEnd w:id="968"/>
      <w:r>
        <w:rPr>
          <w:b/>
          <w:bCs/>
          <w:color w:val="15272F" w:themeColor="text1"/>
        </w:rPr>
        <w:t xml:space="preserve"> </w:t>
      </w:r>
    </w:p>
    <w:tbl>
      <w:tblPr>
        <w:tblStyle w:val="IHACPATable"/>
        <w:tblW w:w="9752" w:type="dxa"/>
        <w:tblLayout w:type="fixed"/>
        <w:tblLook w:val="01E0" w:firstRow="1" w:lastRow="1" w:firstColumn="1" w:lastColumn="1" w:noHBand="0" w:noVBand="0"/>
      </w:tblPr>
      <w:tblGrid>
        <w:gridCol w:w="2146"/>
        <w:gridCol w:w="1299"/>
        <w:gridCol w:w="1730"/>
        <w:gridCol w:w="1325"/>
        <w:gridCol w:w="1626"/>
        <w:gridCol w:w="1626"/>
      </w:tblGrid>
      <w:tr w:rsidR="00EB0D85" w:rsidRPr="005A2D57" w14:paraId="1EE2796F" w14:textId="77777777" w:rsidTr="00ED2732">
        <w:trPr>
          <w:cnfStyle w:val="100000000000" w:firstRow="1" w:lastRow="0" w:firstColumn="0" w:lastColumn="0" w:oddVBand="0" w:evenVBand="0" w:oddHBand="0"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2146" w:type="dxa"/>
          </w:tcPr>
          <w:p w14:paraId="1E4EC049" w14:textId="77777777" w:rsidR="00EB0D85" w:rsidRPr="00EF3BF9" w:rsidRDefault="00EB0D85" w:rsidP="00ED2732">
            <w:pPr>
              <w:spacing w:before="120" w:after="120" w:line="259" w:lineRule="auto"/>
              <w:rPr>
                <w:rFonts w:cs="Arial"/>
                <w:b/>
                <w:bCs/>
                <w:color w:val="auto"/>
                <w:sz w:val="18"/>
                <w:szCs w:val="18"/>
              </w:rPr>
            </w:pPr>
            <w:r w:rsidRPr="00EF3BF9">
              <w:rPr>
                <w:rFonts w:cs="Arial"/>
                <w:b/>
                <w:bCs/>
                <w:color w:val="auto"/>
                <w:sz w:val="18"/>
                <w:szCs w:val="18"/>
              </w:rPr>
              <w:t>Time period</w:t>
            </w:r>
          </w:p>
        </w:tc>
        <w:tc>
          <w:tcPr>
            <w:tcW w:w="1299" w:type="dxa"/>
          </w:tcPr>
          <w:p w14:paraId="4E33820A" w14:textId="77777777" w:rsidR="00EB0D85" w:rsidRPr="00EF3BF9" w:rsidRDefault="00EB0D85" w:rsidP="00ED2732">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cs="Arial"/>
                <w:b/>
                <w:bCs/>
                <w:color w:val="auto"/>
                <w:szCs w:val="18"/>
              </w:rPr>
            </w:pPr>
            <w:r w:rsidRPr="00EF3BF9">
              <w:rPr>
                <w:rFonts w:cs="Arial"/>
                <w:b/>
                <w:bCs/>
                <w:color w:val="auto"/>
                <w:szCs w:val="18"/>
              </w:rPr>
              <w:t>Received</w:t>
            </w:r>
          </w:p>
        </w:tc>
        <w:tc>
          <w:tcPr>
            <w:tcW w:w="1730" w:type="dxa"/>
          </w:tcPr>
          <w:p w14:paraId="2910AB73" w14:textId="77777777" w:rsidR="00EB0D85" w:rsidRPr="00EF3BF9" w:rsidRDefault="00EB0D85" w:rsidP="00ED2732">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cs="Arial"/>
                <w:b/>
                <w:bCs/>
                <w:color w:val="auto"/>
                <w:szCs w:val="18"/>
              </w:rPr>
            </w:pPr>
            <w:r w:rsidRPr="00EF3BF9">
              <w:rPr>
                <w:rFonts w:cs="Arial"/>
                <w:b/>
                <w:bCs/>
                <w:color w:val="auto"/>
                <w:szCs w:val="18"/>
              </w:rPr>
              <w:t>Approved</w:t>
            </w:r>
          </w:p>
        </w:tc>
        <w:tc>
          <w:tcPr>
            <w:tcW w:w="1325" w:type="dxa"/>
          </w:tcPr>
          <w:p w14:paraId="7F8E313E" w14:textId="77777777" w:rsidR="00EB0D85" w:rsidRPr="00EF3BF9" w:rsidRDefault="00EB0D85" w:rsidP="00ED2732">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cs="Arial"/>
                <w:b/>
                <w:bCs/>
                <w:color w:val="auto"/>
                <w:szCs w:val="18"/>
              </w:rPr>
            </w:pPr>
            <w:r>
              <w:rPr>
                <w:rFonts w:cs="Arial"/>
                <w:b/>
                <w:bCs/>
                <w:color w:val="auto"/>
                <w:szCs w:val="18"/>
              </w:rPr>
              <w:t>Not Approved</w:t>
            </w:r>
          </w:p>
        </w:tc>
        <w:tc>
          <w:tcPr>
            <w:tcW w:w="1626" w:type="dxa"/>
          </w:tcPr>
          <w:p w14:paraId="0D0408E5" w14:textId="77777777" w:rsidR="00EB0D85" w:rsidRPr="00EF3BF9" w:rsidRDefault="00EB0D85" w:rsidP="00ED2732">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cs="Arial"/>
                <w:b/>
                <w:bCs/>
                <w:color w:val="auto"/>
                <w:szCs w:val="18"/>
              </w:rPr>
            </w:pPr>
            <w:r>
              <w:rPr>
                <w:rFonts w:cs="Arial"/>
                <w:b/>
                <w:bCs/>
                <w:color w:val="auto"/>
                <w:szCs w:val="18"/>
              </w:rPr>
              <w:t>Withdrawn</w:t>
            </w:r>
          </w:p>
        </w:tc>
        <w:tc>
          <w:tcPr>
            <w:tcW w:w="1626" w:type="dxa"/>
          </w:tcPr>
          <w:p w14:paraId="6ED5E5EC" w14:textId="77777777" w:rsidR="00EB0D85" w:rsidRDefault="00EB0D85" w:rsidP="00ED2732">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cs="Arial"/>
                <w:b/>
                <w:bCs/>
                <w:color w:val="auto"/>
                <w:szCs w:val="18"/>
              </w:rPr>
            </w:pPr>
            <w:r>
              <w:rPr>
                <w:rFonts w:cs="Arial"/>
                <w:b/>
                <w:bCs/>
                <w:color w:val="auto"/>
                <w:szCs w:val="18"/>
              </w:rPr>
              <w:t>Extra Service Fee Approval (prior 1 November 2025)</w:t>
            </w:r>
            <w:r>
              <w:rPr>
                <w:rStyle w:val="FootnoteReference"/>
                <w:rFonts w:cs="Arial"/>
                <w:b/>
                <w:bCs/>
                <w:color w:val="auto"/>
                <w:szCs w:val="18"/>
              </w:rPr>
              <w:footnoteReference w:id="6"/>
            </w:r>
          </w:p>
        </w:tc>
      </w:tr>
      <w:tr w:rsidR="00EB0D85" w:rsidRPr="00803AF9" w14:paraId="1B50C8E7" w14:textId="77777777" w:rsidTr="00ED2732">
        <w:trPr>
          <w:cnfStyle w:val="010000000000" w:firstRow="0" w:lastRow="1" w:firstColumn="0" w:lastColumn="0" w:oddVBand="0" w:evenVBand="0" w:oddHBand="0"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2146" w:type="dxa"/>
          </w:tcPr>
          <w:p w14:paraId="715963F9" w14:textId="77777777" w:rsidR="00EB0D85" w:rsidRPr="004E352D" w:rsidRDefault="00EB0D85" w:rsidP="00ED2732">
            <w:pPr>
              <w:spacing w:before="120" w:after="120" w:line="259" w:lineRule="auto"/>
              <w:rPr>
                <w:rFonts w:cs="Arial"/>
                <w:sz w:val="18"/>
                <w:szCs w:val="18"/>
              </w:rPr>
            </w:pPr>
            <w:r w:rsidRPr="004E352D">
              <w:rPr>
                <w:rFonts w:cs="Arial"/>
                <w:sz w:val="18"/>
                <w:szCs w:val="18"/>
              </w:rPr>
              <w:t>Financial Year 2025–26</w:t>
            </w:r>
          </w:p>
        </w:tc>
        <w:tc>
          <w:tcPr>
            <w:tcW w:w="1299" w:type="dxa"/>
          </w:tcPr>
          <w:p w14:paraId="0D5D40B2" w14:textId="77777777" w:rsidR="00EB0D85" w:rsidRPr="004E352D" w:rsidRDefault="00EB0D85" w:rsidP="00ED2732">
            <w:pPr>
              <w:spacing w:before="120" w:after="120" w:line="259" w:lineRule="auto"/>
              <w:jc w:val="center"/>
              <w:cnfStyle w:val="010000000000" w:firstRow="0" w:lastRow="1" w:firstColumn="0" w:lastColumn="0" w:oddVBand="0" w:evenVBand="0" w:oddHBand="0" w:evenHBand="0" w:firstRowFirstColumn="0" w:firstRowLastColumn="0" w:lastRowFirstColumn="0" w:lastRowLastColumn="0"/>
              <w:rPr>
                <w:rFonts w:cs="Arial"/>
                <w:sz w:val="18"/>
                <w:szCs w:val="18"/>
              </w:rPr>
            </w:pPr>
            <w:r w:rsidRPr="004E352D">
              <w:rPr>
                <w:rFonts w:cs="Arial"/>
                <w:sz w:val="18"/>
                <w:szCs w:val="18"/>
              </w:rPr>
              <w:t>649</w:t>
            </w:r>
          </w:p>
        </w:tc>
        <w:tc>
          <w:tcPr>
            <w:tcW w:w="1730" w:type="dxa"/>
          </w:tcPr>
          <w:p w14:paraId="4D879C3E" w14:textId="77777777" w:rsidR="00EB0D85" w:rsidRPr="004E352D" w:rsidRDefault="00EB0D85" w:rsidP="00ED2732">
            <w:pPr>
              <w:spacing w:before="120" w:after="120" w:line="259" w:lineRule="auto"/>
              <w:jc w:val="center"/>
              <w:cnfStyle w:val="010000000000" w:firstRow="0" w:lastRow="1" w:firstColumn="0" w:lastColumn="0" w:oddVBand="0" w:evenVBand="0" w:oddHBand="0" w:evenHBand="0" w:firstRowFirstColumn="0" w:firstRowLastColumn="0" w:lastRowFirstColumn="0" w:lastRowLastColumn="0"/>
              <w:rPr>
                <w:rFonts w:cs="Arial"/>
                <w:sz w:val="18"/>
                <w:szCs w:val="18"/>
              </w:rPr>
            </w:pPr>
            <w:r w:rsidRPr="004E352D">
              <w:rPr>
                <w:rFonts w:cs="Arial"/>
                <w:sz w:val="18"/>
                <w:szCs w:val="18"/>
              </w:rPr>
              <w:t>578</w:t>
            </w:r>
          </w:p>
        </w:tc>
        <w:tc>
          <w:tcPr>
            <w:tcW w:w="1325" w:type="dxa"/>
          </w:tcPr>
          <w:p w14:paraId="6681DD79" w14:textId="77777777" w:rsidR="00EB0D85" w:rsidRPr="004E352D" w:rsidRDefault="00EB0D85" w:rsidP="00ED2732">
            <w:pPr>
              <w:spacing w:before="120" w:after="120" w:line="259" w:lineRule="auto"/>
              <w:jc w:val="center"/>
              <w:cnfStyle w:val="010000000000" w:firstRow="0" w:lastRow="1" w:firstColumn="0" w:lastColumn="0" w:oddVBand="0" w:evenVBand="0" w:oddHBand="0" w:evenHBand="0" w:firstRowFirstColumn="0" w:firstRowLastColumn="0" w:lastRowFirstColumn="0" w:lastRowLastColumn="0"/>
              <w:rPr>
                <w:rFonts w:cs="Arial"/>
                <w:sz w:val="18"/>
                <w:szCs w:val="18"/>
              </w:rPr>
            </w:pPr>
            <w:r w:rsidRPr="004E352D">
              <w:rPr>
                <w:rFonts w:cs="Arial"/>
                <w:sz w:val="18"/>
                <w:szCs w:val="18"/>
              </w:rPr>
              <w:t>18</w:t>
            </w:r>
          </w:p>
        </w:tc>
        <w:tc>
          <w:tcPr>
            <w:tcW w:w="1626" w:type="dxa"/>
          </w:tcPr>
          <w:p w14:paraId="1F1A5AD4" w14:textId="77777777" w:rsidR="00EB0D85" w:rsidRPr="004E352D" w:rsidRDefault="00EB0D85" w:rsidP="00ED2732">
            <w:pPr>
              <w:spacing w:before="120" w:after="120" w:line="259" w:lineRule="auto"/>
              <w:jc w:val="center"/>
              <w:cnfStyle w:val="010000000000" w:firstRow="0" w:lastRow="1" w:firstColumn="0" w:lastColumn="0" w:oddVBand="0" w:evenVBand="0" w:oddHBand="0" w:evenHBand="0" w:firstRowFirstColumn="0" w:firstRowLastColumn="0" w:lastRowFirstColumn="0" w:lastRowLastColumn="0"/>
              <w:rPr>
                <w:rFonts w:cs="Arial"/>
                <w:sz w:val="18"/>
                <w:szCs w:val="18"/>
              </w:rPr>
            </w:pPr>
            <w:r w:rsidRPr="004E352D">
              <w:rPr>
                <w:rFonts w:cs="Arial"/>
                <w:sz w:val="18"/>
                <w:szCs w:val="18"/>
              </w:rPr>
              <w:t>69</w:t>
            </w:r>
          </w:p>
        </w:tc>
        <w:tc>
          <w:tcPr>
            <w:tcW w:w="1626" w:type="dxa"/>
          </w:tcPr>
          <w:p w14:paraId="511B31C2" w14:textId="77777777" w:rsidR="00EB0D85" w:rsidRPr="004E352D" w:rsidRDefault="00EB0D85" w:rsidP="00ED2732">
            <w:pPr>
              <w:spacing w:before="120" w:after="120" w:line="259" w:lineRule="auto"/>
              <w:jc w:val="center"/>
              <w:cnfStyle w:val="010000000000" w:firstRow="0" w:lastRow="1" w:firstColumn="0" w:lastColumn="0" w:oddVBand="0" w:evenVBand="0" w:oddHBand="0" w:evenHBand="0" w:firstRowFirstColumn="0" w:firstRowLastColumn="0" w:lastRowFirstColumn="0" w:lastRowLastColumn="0"/>
              <w:rPr>
                <w:rFonts w:cs="Arial"/>
                <w:sz w:val="18"/>
                <w:szCs w:val="18"/>
              </w:rPr>
            </w:pPr>
            <w:r w:rsidRPr="004E352D">
              <w:rPr>
                <w:rFonts w:cs="Arial"/>
                <w:sz w:val="18"/>
                <w:szCs w:val="18"/>
              </w:rPr>
              <w:t>1</w:t>
            </w:r>
          </w:p>
        </w:tc>
      </w:tr>
    </w:tbl>
    <w:p w14:paraId="05380F34" w14:textId="77777777" w:rsidR="00EB0D85" w:rsidRDefault="00EB0D85" w:rsidP="00EB0D85"/>
    <w:p w14:paraId="52ABE3BB" w14:textId="77777777" w:rsidR="00EB0D85" w:rsidRPr="004E352D" w:rsidRDefault="00EB0D85" w:rsidP="00EB0D85">
      <w:pPr>
        <w:rPr>
          <w:rFonts w:cs="Arial"/>
        </w:rPr>
      </w:pPr>
      <w:r w:rsidRPr="004E352D">
        <w:rPr>
          <w:rFonts w:cs="Arial"/>
        </w:rPr>
        <w:t>An accommodation group is a group of rooms with similar offerings at the same price point. A single submission by a provider will generally have between one and 10 accommodation groups. An accommodation group may have from one to all of the rooms in a service included within it.</w:t>
      </w:r>
    </w:p>
    <w:p w14:paraId="274C4C5C" w14:textId="77777777" w:rsidR="00EB0D85" w:rsidRPr="004E352D" w:rsidRDefault="00EB0D85" w:rsidP="00EB0D85">
      <w:pPr>
        <w:rPr>
          <w:rFonts w:cs="Arial"/>
        </w:rPr>
      </w:pPr>
      <w:r w:rsidRPr="004E352D">
        <w:rPr>
          <w:rFonts w:cs="Arial"/>
        </w:rPr>
        <w:t>During 2025–26, we received applications for 649 accommodation groups. 578 accommodation groups were approved. The number of approved accommodation groups in 2025–26 includes those within applications that may have been received prior to 2025–26.</w:t>
      </w:r>
    </w:p>
    <w:p w14:paraId="351A2D94" w14:textId="77777777" w:rsidR="00EB0D85" w:rsidRPr="00E007F2" w:rsidRDefault="00EB0D85" w:rsidP="00EB0D85"/>
    <w:p w14:paraId="48535D88" w14:textId="77777777" w:rsidR="00EB0D85" w:rsidRDefault="00EB0D85" w:rsidP="00EB0D85"/>
    <w:p w14:paraId="2526D8DB" w14:textId="77777777" w:rsidR="00EB0D85" w:rsidRDefault="00EB0D85" w:rsidP="00EB0D85">
      <w:pPr>
        <w:pStyle w:val="Sectionnumber"/>
        <w:rPr>
          <w:rFonts w:ascii="Arial" w:hAnsi="Arial" w:cs="Arial"/>
          <w:color w:val="15272F" w:themeColor="text1"/>
        </w:rPr>
      </w:pPr>
      <w:r w:rsidRPr="007C342E">
        <w:rPr>
          <w:rFonts w:ascii="Arial" w:hAnsi="Arial" w:cs="Arial"/>
          <w:color w:val="15272F" w:themeColor="text1"/>
        </w:rPr>
        <w:lastRenderedPageBreak/>
        <w:t>0</w:t>
      </w:r>
      <w:r>
        <w:rPr>
          <w:rFonts w:ascii="Arial" w:hAnsi="Arial" w:cs="Arial"/>
          <w:color w:val="15272F" w:themeColor="text1"/>
        </w:rPr>
        <w:t>5</w:t>
      </w:r>
    </w:p>
    <w:p w14:paraId="5E5A01AE" w14:textId="77777777" w:rsidR="00EB0D85" w:rsidRPr="00F94020" w:rsidRDefault="00EB0D85" w:rsidP="00EB0D85">
      <w:pPr>
        <w:pStyle w:val="Sectionnumber"/>
        <w:rPr>
          <w:b/>
          <w:bCs/>
          <w:sz w:val="72"/>
          <w:szCs w:val="72"/>
          <w:lang w:val="en-AU"/>
        </w:rPr>
      </w:pPr>
      <w:r w:rsidRPr="52318D2B">
        <w:rPr>
          <w:rFonts w:ascii="Arial" w:hAnsi="Arial" w:cs="Arial"/>
          <w:color w:val="15272F" w:themeColor="accent1"/>
          <w:sz w:val="72"/>
          <w:szCs w:val="72"/>
          <w:lang w:val="en-AU"/>
        </w:rPr>
        <w:t xml:space="preserve">Financial management </w:t>
      </w:r>
    </w:p>
    <w:p w14:paraId="29649EC3" w14:textId="77777777" w:rsidR="00EB0D85" w:rsidRDefault="00EB0D85" w:rsidP="00EB0D85">
      <w:pPr>
        <w:pStyle w:val="Heading1"/>
      </w:pPr>
      <w:bookmarkStart w:id="969" w:name="_Toc235787488"/>
      <w:bookmarkStart w:id="970" w:name="_Toc235791626"/>
      <w:bookmarkStart w:id="971" w:name="_Toc237872729"/>
      <w:r>
        <w:lastRenderedPageBreak/>
        <w:t>5.1</w:t>
      </w:r>
      <w:r>
        <w:tab/>
        <w:t>Financial statements</w:t>
      </w:r>
      <w:bookmarkEnd w:id="969"/>
      <w:bookmarkEnd w:id="970"/>
      <w:bookmarkEnd w:id="971"/>
      <w:r>
        <w:t xml:space="preserve"> </w:t>
      </w:r>
    </w:p>
    <w:p w14:paraId="142B71DD" w14:textId="3DFC4A0F" w:rsidR="00EB0D85" w:rsidRDefault="00EB0D85" w:rsidP="00EB0D85">
      <w:pPr>
        <w:pStyle w:val="TableFigureheading"/>
        <w:rPr>
          <w:b/>
          <w:bCs/>
          <w:color w:val="15272F" w:themeColor="text1"/>
        </w:rPr>
      </w:pPr>
      <w:r w:rsidRPr="004360D5">
        <w:rPr>
          <w:b/>
          <w:bCs/>
          <w:color w:val="15272F" w:themeColor="text1"/>
        </w:rPr>
        <w:t>Independent auditor’s report</w:t>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t>7</w:t>
      </w:r>
      <w:r w:rsidR="00E5063C">
        <w:rPr>
          <w:b/>
          <w:bCs/>
          <w:color w:val="15272F" w:themeColor="text1"/>
        </w:rPr>
        <w:t>5</w:t>
      </w:r>
    </w:p>
    <w:p w14:paraId="61BBE8A6" w14:textId="1B28D213" w:rsidR="00EB0D85" w:rsidRDefault="00EB0D85" w:rsidP="00EB0D85">
      <w:pPr>
        <w:pStyle w:val="TableFigureheading"/>
        <w:rPr>
          <w:b/>
          <w:bCs/>
          <w:color w:val="15272F" w:themeColor="text1"/>
        </w:rPr>
      </w:pPr>
      <w:r>
        <w:rPr>
          <w:b/>
          <w:bCs/>
          <w:color w:val="15272F" w:themeColor="text1"/>
        </w:rPr>
        <w:t>Statement by the Chief Executive Officer and Chief Financial Officer</w:t>
      </w:r>
      <w:r>
        <w:rPr>
          <w:b/>
          <w:bCs/>
          <w:color w:val="15272F" w:themeColor="text1"/>
        </w:rPr>
        <w:tab/>
      </w:r>
      <w:r>
        <w:rPr>
          <w:b/>
          <w:bCs/>
          <w:color w:val="15272F" w:themeColor="text1"/>
        </w:rPr>
        <w:tab/>
      </w:r>
      <w:r>
        <w:rPr>
          <w:b/>
          <w:bCs/>
          <w:color w:val="15272F" w:themeColor="text1"/>
        </w:rPr>
        <w:tab/>
      </w:r>
      <w:r>
        <w:rPr>
          <w:b/>
          <w:bCs/>
          <w:color w:val="15272F" w:themeColor="text1"/>
        </w:rPr>
        <w:tab/>
      </w:r>
      <w:r w:rsidR="00E5063C">
        <w:rPr>
          <w:b/>
          <w:bCs/>
          <w:color w:val="15272F" w:themeColor="text1"/>
        </w:rPr>
        <w:t>76</w:t>
      </w:r>
    </w:p>
    <w:p w14:paraId="00D91F72" w14:textId="3C8A0D76" w:rsidR="00EB0D85" w:rsidRDefault="00EB0D85" w:rsidP="00EB0D85">
      <w:pPr>
        <w:pStyle w:val="TableFigureheading"/>
        <w:rPr>
          <w:b/>
          <w:bCs/>
          <w:color w:val="15272F" w:themeColor="text1"/>
        </w:rPr>
      </w:pPr>
      <w:r>
        <w:rPr>
          <w:b/>
          <w:bCs/>
          <w:color w:val="15272F" w:themeColor="text1"/>
        </w:rPr>
        <w:t>Primary financial statements</w:t>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sidR="00E5063C">
        <w:rPr>
          <w:b/>
          <w:bCs/>
          <w:color w:val="15272F" w:themeColor="text1"/>
        </w:rPr>
        <w:t>77</w:t>
      </w:r>
    </w:p>
    <w:p w14:paraId="2498048D" w14:textId="5252B70C" w:rsidR="00EB0D85" w:rsidRPr="006B7409" w:rsidRDefault="00EB0D85" w:rsidP="00EB0D85">
      <w:pPr>
        <w:pStyle w:val="TableFigureheading"/>
        <w:rPr>
          <w:color w:val="15272F" w:themeColor="text1"/>
        </w:rPr>
      </w:pPr>
      <w:r>
        <w:rPr>
          <w:b/>
          <w:bCs/>
          <w:color w:val="15272F" w:themeColor="text1"/>
        </w:rPr>
        <w:tab/>
      </w:r>
      <w:r w:rsidRPr="006B7409">
        <w:rPr>
          <w:color w:val="15272F" w:themeColor="text1"/>
        </w:rPr>
        <w:t>Statement of comprehensive income</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sidR="00E5063C">
        <w:rPr>
          <w:color w:val="15272F" w:themeColor="text1"/>
        </w:rPr>
        <w:t>77</w:t>
      </w:r>
    </w:p>
    <w:p w14:paraId="76F3482C" w14:textId="319EC99B" w:rsidR="00EB0D85" w:rsidRPr="006B7409" w:rsidRDefault="00EB0D85" w:rsidP="00EB0D85">
      <w:pPr>
        <w:pStyle w:val="TableFigureheading"/>
        <w:rPr>
          <w:color w:val="15272F" w:themeColor="text1"/>
        </w:rPr>
      </w:pPr>
      <w:r w:rsidRPr="006B7409">
        <w:rPr>
          <w:color w:val="15272F" w:themeColor="text1"/>
        </w:rPr>
        <w:tab/>
        <w:t>Statement of financial position</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sidR="00835905">
        <w:rPr>
          <w:color w:val="15272F" w:themeColor="text1"/>
        </w:rPr>
        <w:t>79</w:t>
      </w:r>
    </w:p>
    <w:p w14:paraId="6E24B91A" w14:textId="5CB0C956" w:rsidR="00EB0D85" w:rsidRDefault="00EB0D85" w:rsidP="00EB0D85">
      <w:pPr>
        <w:pStyle w:val="TableFigureheading"/>
        <w:rPr>
          <w:color w:val="15272F" w:themeColor="text1"/>
        </w:rPr>
      </w:pPr>
      <w:r w:rsidRPr="006B7409">
        <w:rPr>
          <w:color w:val="15272F" w:themeColor="text1"/>
        </w:rPr>
        <w:tab/>
        <w:t xml:space="preserve">Statement </w:t>
      </w:r>
      <w:r>
        <w:rPr>
          <w:color w:val="15272F" w:themeColor="text1"/>
        </w:rPr>
        <w:t>of changes in equity</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sidR="00AC7F22">
        <w:rPr>
          <w:color w:val="15272F" w:themeColor="text1"/>
        </w:rPr>
        <w:t>80</w:t>
      </w:r>
    </w:p>
    <w:p w14:paraId="11DE1F72" w14:textId="08A1A62F" w:rsidR="00EB0D85" w:rsidRDefault="00EB0D85" w:rsidP="00EB0D85">
      <w:pPr>
        <w:pStyle w:val="TableFigureheading"/>
        <w:rPr>
          <w:color w:val="15272F" w:themeColor="text1"/>
        </w:rPr>
      </w:pPr>
      <w:r>
        <w:rPr>
          <w:color w:val="15272F" w:themeColor="text1"/>
        </w:rPr>
        <w:tab/>
        <w:t xml:space="preserve">Cash flow statement </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t>8</w:t>
      </w:r>
      <w:r w:rsidR="00AC7F22">
        <w:rPr>
          <w:color w:val="15272F" w:themeColor="text1"/>
        </w:rPr>
        <w:t>1</w:t>
      </w:r>
    </w:p>
    <w:p w14:paraId="11691BC7" w14:textId="0A8F1F3A" w:rsidR="00EB0D85" w:rsidRDefault="00EB0D85" w:rsidP="00EB0D85">
      <w:pPr>
        <w:pStyle w:val="TableFigureheading"/>
        <w:rPr>
          <w:b/>
          <w:bCs/>
          <w:color w:val="15272F" w:themeColor="text1"/>
        </w:rPr>
      </w:pPr>
      <w:r w:rsidRPr="006B7409">
        <w:rPr>
          <w:b/>
          <w:bCs/>
          <w:color w:val="15272F" w:themeColor="text1"/>
        </w:rPr>
        <w:t xml:space="preserve">Overview </w:t>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t>8</w:t>
      </w:r>
      <w:r w:rsidR="00835905">
        <w:rPr>
          <w:b/>
          <w:bCs/>
          <w:color w:val="15272F" w:themeColor="text1"/>
        </w:rPr>
        <w:t>2</w:t>
      </w:r>
    </w:p>
    <w:p w14:paraId="085B6016" w14:textId="568B5F72" w:rsidR="00EB0D85" w:rsidRDefault="00EB0D85" w:rsidP="00EB0D85">
      <w:pPr>
        <w:pStyle w:val="TableFigureheading"/>
        <w:rPr>
          <w:b/>
          <w:bCs/>
          <w:color w:val="15272F" w:themeColor="text1"/>
        </w:rPr>
      </w:pPr>
      <w:r>
        <w:rPr>
          <w:b/>
          <w:bCs/>
          <w:color w:val="15272F" w:themeColor="text1"/>
        </w:rPr>
        <w:t>Notes to the financial statements</w:t>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t>8</w:t>
      </w:r>
      <w:r w:rsidR="00AC7F22">
        <w:rPr>
          <w:b/>
          <w:bCs/>
          <w:color w:val="15272F" w:themeColor="text1"/>
        </w:rPr>
        <w:t>2</w:t>
      </w:r>
    </w:p>
    <w:p w14:paraId="3481E7B6" w14:textId="72D436DC" w:rsidR="00EB0D85" w:rsidRDefault="00EB0D85" w:rsidP="00EB0D85">
      <w:pPr>
        <w:pStyle w:val="TableFigureheading"/>
        <w:rPr>
          <w:b/>
          <w:bCs/>
          <w:color w:val="15272F" w:themeColor="text1"/>
        </w:rPr>
      </w:pPr>
      <w:r>
        <w:rPr>
          <w:b/>
          <w:bCs/>
          <w:color w:val="15272F" w:themeColor="text1"/>
        </w:rPr>
        <w:t xml:space="preserve">Financial performance </w:t>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t>8</w:t>
      </w:r>
      <w:r w:rsidR="00D029AF">
        <w:rPr>
          <w:b/>
          <w:bCs/>
          <w:color w:val="15272F" w:themeColor="text1"/>
        </w:rPr>
        <w:t>5</w:t>
      </w:r>
    </w:p>
    <w:p w14:paraId="76A30209" w14:textId="6A7EAD7A" w:rsidR="00EB0D85" w:rsidRPr="00131073" w:rsidRDefault="00EB0D85" w:rsidP="00EB0D85">
      <w:pPr>
        <w:pStyle w:val="TableFigureheading"/>
        <w:rPr>
          <w:color w:val="15272F" w:themeColor="text1"/>
        </w:rPr>
      </w:pPr>
      <w:r>
        <w:rPr>
          <w:b/>
          <w:bCs/>
          <w:color w:val="15272F" w:themeColor="text1"/>
        </w:rPr>
        <w:tab/>
      </w:r>
      <w:r w:rsidRPr="00131073">
        <w:rPr>
          <w:color w:val="15272F" w:themeColor="text1"/>
        </w:rPr>
        <w:t xml:space="preserve">1.1 Expenses </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t>8</w:t>
      </w:r>
      <w:r w:rsidR="00D029AF">
        <w:rPr>
          <w:color w:val="15272F" w:themeColor="text1"/>
        </w:rPr>
        <w:t>5</w:t>
      </w:r>
    </w:p>
    <w:p w14:paraId="66921A10" w14:textId="2125475E" w:rsidR="00EB0D85" w:rsidRDefault="00EB0D85" w:rsidP="00EB0D85">
      <w:pPr>
        <w:pStyle w:val="TableFigureheading"/>
        <w:rPr>
          <w:color w:val="15272F" w:themeColor="text1"/>
        </w:rPr>
      </w:pPr>
      <w:r w:rsidRPr="00131073">
        <w:rPr>
          <w:color w:val="15272F" w:themeColor="text1"/>
        </w:rPr>
        <w:tab/>
        <w:t xml:space="preserve">1.2 Own-source revenue and gains </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sidR="00D029AF">
        <w:rPr>
          <w:color w:val="15272F" w:themeColor="text1"/>
        </w:rPr>
        <w:t>86</w:t>
      </w:r>
    </w:p>
    <w:p w14:paraId="0DFECF54" w14:textId="0DBF13F9" w:rsidR="00EB0D85" w:rsidRPr="00E06640" w:rsidRDefault="00EB0D85" w:rsidP="00EB0D85">
      <w:pPr>
        <w:pStyle w:val="TableFigureheading"/>
        <w:rPr>
          <w:b/>
          <w:bCs/>
          <w:color w:val="15272F" w:themeColor="text1"/>
        </w:rPr>
      </w:pPr>
      <w:r w:rsidRPr="00E06640">
        <w:rPr>
          <w:b/>
          <w:bCs/>
          <w:color w:val="15272F" w:themeColor="text1"/>
        </w:rPr>
        <w:t xml:space="preserve">Financial position </w:t>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sidR="001C7C75">
        <w:rPr>
          <w:b/>
          <w:bCs/>
          <w:color w:val="15272F" w:themeColor="text1"/>
        </w:rPr>
        <w:t>88</w:t>
      </w:r>
    </w:p>
    <w:p w14:paraId="03647221" w14:textId="575650A9" w:rsidR="00EB0D85" w:rsidRDefault="00EB0D85" w:rsidP="00EB0D85">
      <w:pPr>
        <w:pStyle w:val="TableFigureheading"/>
        <w:rPr>
          <w:color w:val="15272F" w:themeColor="text1"/>
        </w:rPr>
      </w:pPr>
      <w:r>
        <w:rPr>
          <w:color w:val="15272F" w:themeColor="text1"/>
        </w:rPr>
        <w:tab/>
        <w:t xml:space="preserve">2.1 Financial assets </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sidR="00D83A7D">
        <w:rPr>
          <w:color w:val="15272F" w:themeColor="text1"/>
        </w:rPr>
        <w:t>88</w:t>
      </w:r>
    </w:p>
    <w:p w14:paraId="3F7B20B3" w14:textId="025AC7BD" w:rsidR="00EB0D85" w:rsidRDefault="00EB0D85" w:rsidP="00EB0D85">
      <w:pPr>
        <w:pStyle w:val="TableFigureheading"/>
        <w:rPr>
          <w:color w:val="15272F" w:themeColor="text1"/>
        </w:rPr>
      </w:pPr>
      <w:r>
        <w:rPr>
          <w:color w:val="15272F" w:themeColor="text1"/>
        </w:rPr>
        <w:tab/>
        <w:t>2.2 Non-financial assets</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sidR="00D83A7D">
        <w:rPr>
          <w:color w:val="15272F" w:themeColor="text1"/>
        </w:rPr>
        <w:t>89</w:t>
      </w:r>
    </w:p>
    <w:p w14:paraId="71A23C28" w14:textId="404BA23F" w:rsidR="00EB0D85" w:rsidRDefault="00EB0D85" w:rsidP="00EB0D85">
      <w:pPr>
        <w:pStyle w:val="TableFigureheading"/>
        <w:rPr>
          <w:color w:val="15272F" w:themeColor="text1"/>
        </w:rPr>
      </w:pPr>
      <w:r>
        <w:rPr>
          <w:color w:val="15272F" w:themeColor="text1"/>
        </w:rPr>
        <w:tab/>
        <w:t xml:space="preserve">2.3 Payables </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sidR="00124CC2">
        <w:rPr>
          <w:color w:val="15272F" w:themeColor="text1"/>
        </w:rPr>
        <w:t>92</w:t>
      </w:r>
    </w:p>
    <w:p w14:paraId="77EAAF28" w14:textId="3739C8C3" w:rsidR="00EB0D85" w:rsidRDefault="00EB0D85" w:rsidP="00EB0D85">
      <w:pPr>
        <w:pStyle w:val="TableFigureheading"/>
        <w:rPr>
          <w:color w:val="15272F" w:themeColor="text1"/>
        </w:rPr>
      </w:pPr>
      <w:r>
        <w:rPr>
          <w:color w:val="15272F" w:themeColor="text1"/>
        </w:rPr>
        <w:tab/>
        <w:t xml:space="preserve">2.4 Interest bearing liabilities </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sidR="00124CC2">
        <w:rPr>
          <w:color w:val="15272F" w:themeColor="text1"/>
        </w:rPr>
        <w:t>92</w:t>
      </w:r>
    </w:p>
    <w:p w14:paraId="014E8FA4" w14:textId="754F74D0" w:rsidR="00EB0D85" w:rsidRPr="00E165CB" w:rsidRDefault="00EB0D85" w:rsidP="00EB0D85">
      <w:pPr>
        <w:pStyle w:val="TableFigureheading"/>
        <w:rPr>
          <w:b/>
          <w:bCs/>
          <w:color w:val="15272F" w:themeColor="text1"/>
        </w:rPr>
      </w:pPr>
      <w:r w:rsidRPr="00E165CB">
        <w:rPr>
          <w:b/>
          <w:bCs/>
          <w:color w:val="15272F" w:themeColor="text1"/>
        </w:rPr>
        <w:t>People and relationships</w:t>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t>9</w:t>
      </w:r>
      <w:r w:rsidR="00124CC2">
        <w:rPr>
          <w:b/>
          <w:bCs/>
          <w:color w:val="15272F" w:themeColor="text1"/>
        </w:rPr>
        <w:t>3</w:t>
      </w:r>
    </w:p>
    <w:p w14:paraId="3DE92EAA" w14:textId="546AD451" w:rsidR="00EB0D85" w:rsidRDefault="00EB0D85" w:rsidP="00EB0D85">
      <w:pPr>
        <w:pStyle w:val="TableFigureheading"/>
        <w:rPr>
          <w:color w:val="15272F" w:themeColor="text1"/>
        </w:rPr>
      </w:pPr>
      <w:r>
        <w:rPr>
          <w:color w:val="15272F" w:themeColor="text1"/>
        </w:rPr>
        <w:tab/>
        <w:t xml:space="preserve">3.1 Employee provisions </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t>9</w:t>
      </w:r>
      <w:r w:rsidR="00124CC2">
        <w:rPr>
          <w:color w:val="15272F" w:themeColor="text1"/>
        </w:rPr>
        <w:t>3</w:t>
      </w:r>
    </w:p>
    <w:p w14:paraId="35B0106B" w14:textId="7D1A287B" w:rsidR="00EB0D85" w:rsidRDefault="00EB0D85" w:rsidP="00EB0D85">
      <w:pPr>
        <w:pStyle w:val="TableFigureheading"/>
        <w:rPr>
          <w:color w:val="15272F" w:themeColor="text1"/>
        </w:rPr>
      </w:pPr>
      <w:r>
        <w:rPr>
          <w:color w:val="15272F" w:themeColor="text1"/>
        </w:rPr>
        <w:tab/>
        <w:t xml:space="preserve">3.2 Key management personnel renumeration </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t>9</w:t>
      </w:r>
      <w:r w:rsidR="00124CC2">
        <w:rPr>
          <w:color w:val="15272F" w:themeColor="text1"/>
        </w:rPr>
        <w:t>4</w:t>
      </w:r>
    </w:p>
    <w:p w14:paraId="3E72A3F3" w14:textId="00D9D5F9" w:rsidR="00EB0D85" w:rsidRDefault="00EB0D85" w:rsidP="00EB0D85">
      <w:pPr>
        <w:pStyle w:val="TableFigureheading"/>
        <w:rPr>
          <w:color w:val="15272F" w:themeColor="text1"/>
        </w:rPr>
      </w:pPr>
      <w:r>
        <w:rPr>
          <w:color w:val="15272F" w:themeColor="text1"/>
        </w:rPr>
        <w:tab/>
        <w:t xml:space="preserve">3.3 Related party disclosures </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t>9</w:t>
      </w:r>
      <w:r w:rsidR="00124CC2">
        <w:rPr>
          <w:color w:val="15272F" w:themeColor="text1"/>
        </w:rPr>
        <w:t>4</w:t>
      </w:r>
    </w:p>
    <w:p w14:paraId="4F087B44" w14:textId="4FA7070D" w:rsidR="00EB0D85" w:rsidRPr="002C3B42" w:rsidRDefault="00EB0D85" w:rsidP="00EB0D85">
      <w:pPr>
        <w:pStyle w:val="TableFigureheading"/>
        <w:rPr>
          <w:b/>
          <w:bCs/>
          <w:color w:val="15272F" w:themeColor="text1"/>
        </w:rPr>
      </w:pPr>
      <w:r w:rsidRPr="002C3B42">
        <w:rPr>
          <w:b/>
          <w:bCs/>
          <w:color w:val="15272F" w:themeColor="text1"/>
        </w:rPr>
        <w:t xml:space="preserve">Managing uncertainties </w:t>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t>9</w:t>
      </w:r>
      <w:r w:rsidR="00124CC2">
        <w:rPr>
          <w:b/>
          <w:bCs/>
          <w:color w:val="15272F" w:themeColor="text1"/>
        </w:rPr>
        <w:t>5</w:t>
      </w:r>
    </w:p>
    <w:p w14:paraId="136DBF51" w14:textId="35509E87" w:rsidR="00EB0D85" w:rsidRDefault="00EB0D85" w:rsidP="00EB0D85">
      <w:pPr>
        <w:pStyle w:val="TableFigureheading"/>
        <w:rPr>
          <w:color w:val="15272F" w:themeColor="text1"/>
        </w:rPr>
      </w:pPr>
      <w:r>
        <w:rPr>
          <w:color w:val="15272F" w:themeColor="text1"/>
        </w:rPr>
        <w:tab/>
        <w:t>4.1 Contingent assets and liabilities</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t>9</w:t>
      </w:r>
      <w:r w:rsidR="00124CC2">
        <w:rPr>
          <w:color w:val="15272F" w:themeColor="text1"/>
        </w:rPr>
        <w:t>5</w:t>
      </w:r>
    </w:p>
    <w:p w14:paraId="74513135" w14:textId="2C6CB759" w:rsidR="00EB0D85" w:rsidRDefault="00EB0D85" w:rsidP="00EB0D85">
      <w:pPr>
        <w:pStyle w:val="TableFigureheading"/>
        <w:rPr>
          <w:color w:val="15272F" w:themeColor="text1"/>
        </w:rPr>
      </w:pPr>
      <w:r>
        <w:rPr>
          <w:color w:val="15272F" w:themeColor="text1"/>
        </w:rPr>
        <w:lastRenderedPageBreak/>
        <w:tab/>
        <w:t>4.2 Financial instruments</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sidR="00124CC2">
        <w:rPr>
          <w:color w:val="15272F" w:themeColor="text1"/>
        </w:rPr>
        <w:t>96</w:t>
      </w:r>
    </w:p>
    <w:p w14:paraId="69D9B397" w14:textId="05B0F1F7" w:rsidR="00EB0D85" w:rsidRDefault="00EB0D85" w:rsidP="00EB0D85">
      <w:pPr>
        <w:pStyle w:val="TableFigureheading"/>
        <w:rPr>
          <w:color w:val="15272F" w:themeColor="text1"/>
        </w:rPr>
      </w:pPr>
      <w:r>
        <w:rPr>
          <w:color w:val="15272F" w:themeColor="text1"/>
        </w:rPr>
        <w:tab/>
        <w:t>4.3 Fair Value Measurement</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sidR="00124CC2">
        <w:rPr>
          <w:color w:val="15272F" w:themeColor="text1"/>
        </w:rPr>
        <w:t>97</w:t>
      </w:r>
    </w:p>
    <w:p w14:paraId="5FCB9314" w14:textId="39B2C977" w:rsidR="00EB0D85" w:rsidRPr="0036650E" w:rsidRDefault="00EB0D85" w:rsidP="00EB0D85">
      <w:pPr>
        <w:pStyle w:val="TableFigureheading"/>
        <w:rPr>
          <w:b/>
          <w:bCs/>
          <w:color w:val="15272F" w:themeColor="text1"/>
        </w:rPr>
      </w:pPr>
      <w:r w:rsidRPr="0036650E">
        <w:rPr>
          <w:b/>
          <w:bCs/>
          <w:color w:val="15272F" w:themeColor="text1"/>
        </w:rPr>
        <w:t xml:space="preserve">Other information </w:t>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Pr>
          <w:b/>
          <w:bCs/>
          <w:color w:val="15272F" w:themeColor="text1"/>
        </w:rPr>
        <w:tab/>
      </w:r>
      <w:r w:rsidR="00B13095">
        <w:rPr>
          <w:b/>
          <w:bCs/>
          <w:color w:val="15272F" w:themeColor="text1"/>
        </w:rPr>
        <w:t>98</w:t>
      </w:r>
    </w:p>
    <w:p w14:paraId="1FD63D56" w14:textId="182F8264" w:rsidR="00EB0D85" w:rsidRDefault="00EB0D85" w:rsidP="00EB0D85">
      <w:pPr>
        <w:pStyle w:val="TableFigureheading"/>
        <w:rPr>
          <w:color w:val="15272F" w:themeColor="text1"/>
        </w:rPr>
      </w:pPr>
      <w:r>
        <w:rPr>
          <w:color w:val="15272F" w:themeColor="text1"/>
        </w:rPr>
        <w:tab/>
        <w:t xml:space="preserve">5.1 Current/non-current distinction for assets and liabilities </w:t>
      </w:r>
      <w:r>
        <w:rPr>
          <w:color w:val="15272F" w:themeColor="text1"/>
        </w:rPr>
        <w:tab/>
      </w:r>
      <w:r>
        <w:rPr>
          <w:color w:val="15272F" w:themeColor="text1"/>
        </w:rPr>
        <w:tab/>
      </w:r>
      <w:r>
        <w:rPr>
          <w:color w:val="15272F" w:themeColor="text1"/>
        </w:rPr>
        <w:tab/>
      </w:r>
      <w:r>
        <w:rPr>
          <w:color w:val="15272F" w:themeColor="text1"/>
        </w:rPr>
        <w:tab/>
      </w:r>
      <w:r>
        <w:rPr>
          <w:color w:val="15272F" w:themeColor="text1"/>
        </w:rPr>
        <w:tab/>
      </w:r>
      <w:r w:rsidR="00B13095">
        <w:rPr>
          <w:color w:val="15272F" w:themeColor="text1"/>
        </w:rPr>
        <w:t>98</w:t>
      </w:r>
    </w:p>
    <w:p w14:paraId="78FBC243" w14:textId="77777777" w:rsidR="00EB0D85" w:rsidRDefault="00EB0D85" w:rsidP="00EB0D85">
      <w:pPr>
        <w:pStyle w:val="TableFigureheading"/>
        <w:rPr>
          <w:color w:val="15272F" w:themeColor="text1"/>
        </w:rPr>
      </w:pPr>
      <w:r>
        <w:rPr>
          <w:color w:val="15272F" w:themeColor="text1"/>
        </w:rPr>
        <w:tab/>
      </w:r>
    </w:p>
    <w:p w14:paraId="6D58831E" w14:textId="77777777" w:rsidR="00EB0D85" w:rsidRPr="00131073" w:rsidRDefault="00EB0D85" w:rsidP="00EB0D85">
      <w:pPr>
        <w:pStyle w:val="TableFigureheading"/>
        <w:rPr>
          <w:color w:val="15272F" w:themeColor="text1"/>
        </w:rPr>
      </w:pPr>
    </w:p>
    <w:p w14:paraId="77AAFC9F" w14:textId="77777777" w:rsidR="00EB0D85" w:rsidRDefault="00EB0D85" w:rsidP="00EB0D85">
      <w:pPr>
        <w:pStyle w:val="TableFigureheading"/>
        <w:rPr>
          <w:b/>
          <w:bCs/>
          <w:color w:val="15272F" w:themeColor="text1"/>
        </w:rPr>
      </w:pPr>
      <w:r w:rsidRPr="004360D5">
        <w:rPr>
          <w:b/>
          <w:bCs/>
          <w:color w:val="15272F" w:themeColor="text1"/>
        </w:rPr>
        <w:t xml:space="preserve"> </w:t>
      </w:r>
    </w:p>
    <w:p w14:paraId="0587331F" w14:textId="77777777" w:rsidR="00EB0D85" w:rsidRDefault="00EB0D85" w:rsidP="00EB0D85">
      <w:pPr>
        <w:pStyle w:val="TableFigureheading"/>
        <w:rPr>
          <w:b/>
          <w:bCs/>
          <w:color w:val="15272F" w:themeColor="text1"/>
        </w:rPr>
      </w:pPr>
    </w:p>
    <w:p w14:paraId="3609C1B7" w14:textId="77777777" w:rsidR="00EB0D85" w:rsidRDefault="00EB0D85" w:rsidP="00EB0D85">
      <w:pPr>
        <w:pStyle w:val="TableFigureheading"/>
        <w:rPr>
          <w:b/>
          <w:bCs/>
          <w:color w:val="15272F" w:themeColor="text1"/>
        </w:rPr>
      </w:pPr>
    </w:p>
    <w:p w14:paraId="12B458EE" w14:textId="77777777" w:rsidR="00EB0D85" w:rsidRDefault="00EB0D85" w:rsidP="00EB0D85">
      <w:pPr>
        <w:pStyle w:val="TableFigureheading"/>
        <w:rPr>
          <w:b/>
          <w:bCs/>
          <w:color w:val="15272F" w:themeColor="text1"/>
        </w:rPr>
      </w:pPr>
    </w:p>
    <w:p w14:paraId="28329211" w14:textId="77777777" w:rsidR="00EB0D85" w:rsidRDefault="00EB0D85" w:rsidP="00EB0D85">
      <w:pPr>
        <w:pStyle w:val="TableFigureheading"/>
        <w:rPr>
          <w:b/>
          <w:bCs/>
          <w:color w:val="15272F" w:themeColor="text1"/>
        </w:rPr>
      </w:pPr>
    </w:p>
    <w:p w14:paraId="07D00E9A" w14:textId="77777777" w:rsidR="00EB0D85" w:rsidRDefault="00EB0D85" w:rsidP="00EB0D85">
      <w:pPr>
        <w:pStyle w:val="TableFigureheading"/>
        <w:rPr>
          <w:b/>
          <w:bCs/>
          <w:color w:val="15272F" w:themeColor="text1"/>
        </w:rPr>
      </w:pPr>
    </w:p>
    <w:p w14:paraId="73DBDAF9" w14:textId="77777777" w:rsidR="00EB0D85" w:rsidRDefault="00EB0D85" w:rsidP="00EB0D85">
      <w:pPr>
        <w:pStyle w:val="TableFigureheading"/>
        <w:rPr>
          <w:b/>
          <w:bCs/>
          <w:color w:val="15272F" w:themeColor="text1"/>
        </w:rPr>
      </w:pPr>
    </w:p>
    <w:p w14:paraId="62D49404" w14:textId="77777777" w:rsidR="00EB0D85" w:rsidRDefault="00EB0D85" w:rsidP="00EB0D85">
      <w:pPr>
        <w:pStyle w:val="TableFigureheading"/>
        <w:rPr>
          <w:b/>
          <w:bCs/>
          <w:color w:val="15272F" w:themeColor="text1"/>
        </w:rPr>
      </w:pPr>
    </w:p>
    <w:p w14:paraId="69942C3A" w14:textId="77777777" w:rsidR="00EB0D85" w:rsidRDefault="00EB0D85" w:rsidP="00EB0D85">
      <w:pPr>
        <w:pStyle w:val="TableFigureheading"/>
        <w:rPr>
          <w:b/>
          <w:bCs/>
          <w:color w:val="15272F" w:themeColor="text1"/>
        </w:rPr>
      </w:pPr>
    </w:p>
    <w:p w14:paraId="469E58C9" w14:textId="77777777" w:rsidR="00EB0D85" w:rsidRDefault="00EB0D85" w:rsidP="00EB0D85">
      <w:pPr>
        <w:pStyle w:val="TableFigureheading"/>
        <w:rPr>
          <w:b/>
          <w:bCs/>
          <w:color w:val="15272F" w:themeColor="text1"/>
        </w:rPr>
      </w:pPr>
    </w:p>
    <w:p w14:paraId="5B04C3AE" w14:textId="77777777" w:rsidR="00EB0D85" w:rsidRDefault="00EB0D85" w:rsidP="00EB0D85">
      <w:pPr>
        <w:pStyle w:val="TableFigureheading"/>
        <w:rPr>
          <w:b/>
          <w:bCs/>
          <w:color w:val="15272F" w:themeColor="text1"/>
        </w:rPr>
      </w:pPr>
    </w:p>
    <w:p w14:paraId="39316015" w14:textId="77777777" w:rsidR="00EB0D85" w:rsidRDefault="00EB0D85" w:rsidP="00EB0D85">
      <w:pPr>
        <w:pStyle w:val="TableFigureheading"/>
        <w:rPr>
          <w:b/>
          <w:bCs/>
          <w:color w:val="15272F" w:themeColor="text1"/>
        </w:rPr>
      </w:pPr>
    </w:p>
    <w:p w14:paraId="4A3C1DF9" w14:textId="77777777" w:rsidR="00EB0D85" w:rsidRDefault="00EB0D85" w:rsidP="00EB0D85">
      <w:pPr>
        <w:pStyle w:val="TableFigureheading"/>
        <w:rPr>
          <w:b/>
          <w:bCs/>
          <w:color w:val="15272F" w:themeColor="text1"/>
        </w:rPr>
      </w:pPr>
    </w:p>
    <w:p w14:paraId="3E512373" w14:textId="77777777" w:rsidR="00EB0D85" w:rsidRDefault="00EB0D85" w:rsidP="00EB0D85">
      <w:pPr>
        <w:pStyle w:val="TableFigureheading"/>
        <w:rPr>
          <w:b/>
          <w:bCs/>
          <w:color w:val="15272F" w:themeColor="text1"/>
        </w:rPr>
      </w:pPr>
    </w:p>
    <w:p w14:paraId="5FD802C1" w14:textId="77777777" w:rsidR="00EB0D85" w:rsidRDefault="00EB0D85" w:rsidP="00EB0D85">
      <w:pPr>
        <w:pStyle w:val="TableFigureheading"/>
        <w:rPr>
          <w:b/>
          <w:bCs/>
          <w:color w:val="15272F" w:themeColor="text1"/>
        </w:rPr>
      </w:pPr>
    </w:p>
    <w:p w14:paraId="693E90CE" w14:textId="77777777" w:rsidR="00EB0D85" w:rsidRDefault="00EB0D85" w:rsidP="00EB0D85">
      <w:pPr>
        <w:pStyle w:val="TableFigureheading"/>
        <w:rPr>
          <w:b/>
          <w:bCs/>
          <w:color w:val="15272F" w:themeColor="text1"/>
        </w:rPr>
      </w:pPr>
    </w:p>
    <w:p w14:paraId="3BEF8DB1" w14:textId="77777777" w:rsidR="00EB0D85" w:rsidRDefault="00EB0D85" w:rsidP="00EB0D85">
      <w:pPr>
        <w:pStyle w:val="TableFigureheading"/>
        <w:rPr>
          <w:b/>
          <w:bCs/>
          <w:color w:val="15272F" w:themeColor="text1"/>
        </w:rPr>
      </w:pPr>
    </w:p>
    <w:p w14:paraId="6A25B5E8" w14:textId="77777777" w:rsidR="00EB0D85" w:rsidRDefault="00EB0D85" w:rsidP="00EB0D85">
      <w:pPr>
        <w:pStyle w:val="TableFigureheading"/>
        <w:rPr>
          <w:b/>
          <w:bCs/>
          <w:color w:val="15272F" w:themeColor="text1"/>
        </w:rPr>
      </w:pPr>
    </w:p>
    <w:p w14:paraId="4BD93733" w14:textId="77777777" w:rsidR="00EB0D85" w:rsidRDefault="00EB0D85" w:rsidP="00EB0D85">
      <w:pPr>
        <w:pStyle w:val="TableFigureheading"/>
        <w:rPr>
          <w:b/>
          <w:bCs/>
          <w:color w:val="15272F" w:themeColor="text1"/>
        </w:rPr>
      </w:pPr>
    </w:p>
    <w:p w14:paraId="739DF7D5" w14:textId="77777777" w:rsidR="00EB0D85" w:rsidRDefault="00EB0D85" w:rsidP="00EB0D85">
      <w:pPr>
        <w:pStyle w:val="TableFigureheading"/>
        <w:rPr>
          <w:b/>
          <w:bCs/>
          <w:color w:val="15272F" w:themeColor="text1"/>
        </w:rPr>
      </w:pPr>
    </w:p>
    <w:p w14:paraId="3EBE5D28" w14:textId="77777777" w:rsidR="00EB0D85" w:rsidRDefault="00EB0D85" w:rsidP="00EB0D85">
      <w:pPr>
        <w:pStyle w:val="Heading1"/>
      </w:pPr>
      <w:bookmarkStart w:id="972" w:name="_Toc235787489"/>
      <w:bookmarkStart w:id="973" w:name="_Toc235791627"/>
      <w:bookmarkStart w:id="974" w:name="_Toc237872730"/>
      <w:r>
        <w:lastRenderedPageBreak/>
        <w:t>5.2</w:t>
      </w:r>
      <w:r>
        <w:tab/>
        <w:t>Independent auditor’s report</w:t>
      </w:r>
      <w:bookmarkEnd w:id="972"/>
      <w:bookmarkEnd w:id="973"/>
      <w:bookmarkEnd w:id="974"/>
    </w:p>
    <w:p w14:paraId="507FA480" w14:textId="77777777" w:rsidR="00EB0D85" w:rsidRDefault="00EB0D85" w:rsidP="00EB0D85">
      <w:pPr>
        <w:pStyle w:val="TableFigureheading"/>
        <w:rPr>
          <w:b/>
          <w:bCs/>
          <w:color w:val="15272F" w:themeColor="text1"/>
        </w:rPr>
      </w:pPr>
    </w:p>
    <w:p w14:paraId="03E2377C" w14:textId="77777777" w:rsidR="00EB0D85" w:rsidRDefault="00EB0D85" w:rsidP="00EB0D85">
      <w:pPr>
        <w:pStyle w:val="TableFigureheading"/>
        <w:rPr>
          <w:b/>
          <w:bCs/>
          <w:color w:val="15272F" w:themeColor="text1"/>
        </w:rPr>
      </w:pPr>
    </w:p>
    <w:p w14:paraId="3188E750" w14:textId="77777777" w:rsidR="00EB0D85" w:rsidRDefault="00EB0D85" w:rsidP="00EB0D85">
      <w:pPr>
        <w:pStyle w:val="TableFigureheading"/>
        <w:rPr>
          <w:b/>
          <w:bCs/>
          <w:color w:val="15272F" w:themeColor="text1"/>
        </w:rPr>
      </w:pPr>
    </w:p>
    <w:p w14:paraId="6EC01D9A" w14:textId="77777777" w:rsidR="00EB0D85" w:rsidRDefault="00EB0D85" w:rsidP="00EB0D85">
      <w:pPr>
        <w:pStyle w:val="TableFigureheading"/>
        <w:rPr>
          <w:b/>
          <w:bCs/>
          <w:color w:val="15272F" w:themeColor="text1"/>
        </w:rPr>
      </w:pPr>
    </w:p>
    <w:p w14:paraId="3DB0A036" w14:textId="77777777" w:rsidR="00EB0D85" w:rsidRDefault="00EB0D85" w:rsidP="00EB0D85">
      <w:pPr>
        <w:pStyle w:val="TableFigureheading"/>
        <w:rPr>
          <w:b/>
          <w:bCs/>
          <w:color w:val="15272F" w:themeColor="text1"/>
        </w:rPr>
      </w:pPr>
    </w:p>
    <w:p w14:paraId="406AC86A" w14:textId="77777777" w:rsidR="00EB0D85" w:rsidRDefault="00EB0D85" w:rsidP="00EB0D85">
      <w:pPr>
        <w:pStyle w:val="TableFigureheading"/>
        <w:rPr>
          <w:b/>
          <w:bCs/>
          <w:color w:val="15272F" w:themeColor="text1"/>
        </w:rPr>
      </w:pPr>
    </w:p>
    <w:p w14:paraId="579E76C6" w14:textId="77777777" w:rsidR="00EB0D85" w:rsidRDefault="00EB0D85" w:rsidP="00EB0D85">
      <w:pPr>
        <w:pStyle w:val="TableFigureheading"/>
        <w:rPr>
          <w:b/>
          <w:bCs/>
          <w:color w:val="15272F" w:themeColor="text1"/>
        </w:rPr>
      </w:pPr>
    </w:p>
    <w:p w14:paraId="1D2DDF5E" w14:textId="77777777" w:rsidR="00EB0D85" w:rsidRDefault="00EB0D85" w:rsidP="00EB0D85">
      <w:pPr>
        <w:pStyle w:val="TableFigureheading"/>
        <w:rPr>
          <w:b/>
          <w:bCs/>
          <w:color w:val="15272F" w:themeColor="text1"/>
        </w:rPr>
      </w:pPr>
    </w:p>
    <w:p w14:paraId="1905FDA4" w14:textId="77777777" w:rsidR="00EB0D85" w:rsidRDefault="00EB0D85" w:rsidP="00EB0D85">
      <w:pPr>
        <w:pStyle w:val="TableFigureheading"/>
        <w:rPr>
          <w:b/>
          <w:bCs/>
          <w:color w:val="15272F" w:themeColor="text1"/>
        </w:rPr>
      </w:pPr>
    </w:p>
    <w:p w14:paraId="54725CD3" w14:textId="77777777" w:rsidR="00EB0D85" w:rsidRDefault="00EB0D85" w:rsidP="00EB0D85">
      <w:pPr>
        <w:pStyle w:val="TableFigureheading"/>
        <w:rPr>
          <w:b/>
          <w:bCs/>
          <w:color w:val="15272F" w:themeColor="text1"/>
        </w:rPr>
      </w:pPr>
    </w:p>
    <w:p w14:paraId="77DE18A0" w14:textId="77777777" w:rsidR="00EB0D85" w:rsidRDefault="00EB0D85" w:rsidP="00EB0D85">
      <w:pPr>
        <w:pStyle w:val="TableFigureheading"/>
        <w:rPr>
          <w:b/>
          <w:bCs/>
          <w:color w:val="15272F" w:themeColor="text1"/>
        </w:rPr>
      </w:pPr>
    </w:p>
    <w:p w14:paraId="72528B89" w14:textId="77777777" w:rsidR="00EB0D85" w:rsidRDefault="00EB0D85" w:rsidP="00EB0D85">
      <w:pPr>
        <w:pStyle w:val="TableFigureheading"/>
        <w:rPr>
          <w:b/>
          <w:bCs/>
          <w:color w:val="15272F" w:themeColor="text1"/>
        </w:rPr>
      </w:pPr>
    </w:p>
    <w:p w14:paraId="56740BD3" w14:textId="77777777" w:rsidR="00EB0D85" w:rsidRDefault="00EB0D85" w:rsidP="00EB0D85">
      <w:pPr>
        <w:pStyle w:val="TableFigureheading"/>
        <w:rPr>
          <w:b/>
          <w:bCs/>
          <w:color w:val="15272F" w:themeColor="text1"/>
        </w:rPr>
      </w:pPr>
    </w:p>
    <w:p w14:paraId="57A8FF0E" w14:textId="77777777" w:rsidR="00EB0D85" w:rsidRDefault="00EB0D85" w:rsidP="00EB0D85">
      <w:pPr>
        <w:pStyle w:val="TableFigureheading"/>
        <w:rPr>
          <w:b/>
          <w:bCs/>
          <w:color w:val="15272F" w:themeColor="text1"/>
        </w:rPr>
      </w:pPr>
    </w:p>
    <w:p w14:paraId="01AB4932" w14:textId="77777777" w:rsidR="00EB0D85" w:rsidRDefault="00EB0D85" w:rsidP="00EB0D85">
      <w:pPr>
        <w:pStyle w:val="TableFigureheading"/>
        <w:rPr>
          <w:b/>
          <w:bCs/>
          <w:color w:val="15272F" w:themeColor="text1"/>
        </w:rPr>
      </w:pPr>
    </w:p>
    <w:p w14:paraId="2A763686" w14:textId="77777777" w:rsidR="00EB0D85" w:rsidRDefault="00EB0D85" w:rsidP="00EB0D85">
      <w:pPr>
        <w:pStyle w:val="TableFigureheading"/>
        <w:rPr>
          <w:b/>
          <w:bCs/>
          <w:color w:val="15272F" w:themeColor="text1"/>
        </w:rPr>
      </w:pPr>
    </w:p>
    <w:p w14:paraId="3DC3B6E3" w14:textId="77777777" w:rsidR="00EB0D85" w:rsidRDefault="00EB0D85" w:rsidP="00EB0D85">
      <w:pPr>
        <w:pStyle w:val="TableFigureheading"/>
        <w:rPr>
          <w:b/>
          <w:bCs/>
          <w:color w:val="15272F" w:themeColor="text1"/>
        </w:rPr>
      </w:pPr>
    </w:p>
    <w:p w14:paraId="3803B806" w14:textId="77777777" w:rsidR="00EB0D85" w:rsidRDefault="00EB0D85" w:rsidP="00EB0D85">
      <w:pPr>
        <w:pStyle w:val="TableFigureheading"/>
        <w:rPr>
          <w:b/>
          <w:bCs/>
          <w:color w:val="15272F" w:themeColor="text1"/>
        </w:rPr>
      </w:pPr>
    </w:p>
    <w:p w14:paraId="79BD5B97" w14:textId="77777777" w:rsidR="00EB0D85" w:rsidRDefault="00EB0D85" w:rsidP="00EB0D85">
      <w:pPr>
        <w:pStyle w:val="TableFigureheading"/>
        <w:rPr>
          <w:b/>
          <w:bCs/>
          <w:color w:val="15272F" w:themeColor="text1"/>
        </w:rPr>
      </w:pPr>
    </w:p>
    <w:p w14:paraId="07EA5651" w14:textId="77777777" w:rsidR="00EB0D85" w:rsidRDefault="00EB0D85" w:rsidP="00EB0D85">
      <w:pPr>
        <w:pStyle w:val="TableFigureheading"/>
        <w:rPr>
          <w:b/>
          <w:bCs/>
          <w:color w:val="15272F" w:themeColor="text1"/>
        </w:rPr>
      </w:pPr>
    </w:p>
    <w:p w14:paraId="06E4A30A" w14:textId="77777777" w:rsidR="00EB0D85" w:rsidRDefault="00EB0D85" w:rsidP="00EB0D85">
      <w:pPr>
        <w:pStyle w:val="TableFigureheading"/>
        <w:rPr>
          <w:b/>
          <w:bCs/>
          <w:color w:val="15272F" w:themeColor="text1"/>
        </w:rPr>
      </w:pPr>
    </w:p>
    <w:p w14:paraId="10D31909" w14:textId="77777777" w:rsidR="00EB0D85" w:rsidRPr="00270FF7" w:rsidRDefault="00EB0D85" w:rsidP="00EB0D85">
      <w:pPr>
        <w:pStyle w:val="Heading1"/>
      </w:pPr>
      <w:bookmarkStart w:id="975" w:name="_Toc233022346"/>
      <w:bookmarkStart w:id="976" w:name="_Toc233023107"/>
      <w:bookmarkStart w:id="977" w:name="_Toc233023435"/>
      <w:bookmarkStart w:id="978" w:name="_Toc233028758"/>
      <w:bookmarkStart w:id="979" w:name="_Toc233028935"/>
      <w:bookmarkStart w:id="980" w:name="_Toc235787490"/>
      <w:bookmarkStart w:id="981" w:name="_Toc235791628"/>
      <w:bookmarkStart w:id="982" w:name="_Toc237872731"/>
      <w:r w:rsidRPr="00270FF7">
        <w:lastRenderedPageBreak/>
        <w:t>5.3</w:t>
      </w:r>
      <w:r w:rsidRPr="00270FF7">
        <w:tab/>
        <w:t>Statement by the Chief Executive Officer and the Chief Financial Officer</w:t>
      </w:r>
      <w:bookmarkEnd w:id="975"/>
      <w:bookmarkEnd w:id="976"/>
      <w:bookmarkEnd w:id="977"/>
      <w:bookmarkEnd w:id="978"/>
      <w:bookmarkEnd w:id="979"/>
      <w:bookmarkEnd w:id="980"/>
      <w:bookmarkEnd w:id="981"/>
      <w:bookmarkEnd w:id="982"/>
      <w:r w:rsidRPr="00270FF7">
        <w:t xml:space="preserve"> </w:t>
      </w:r>
    </w:p>
    <w:p w14:paraId="0D742A24" w14:textId="77777777" w:rsidR="00EB0D85" w:rsidRPr="00270FF7" w:rsidRDefault="00EB0D85" w:rsidP="00EB0D85">
      <w:pPr>
        <w:rPr>
          <w:rFonts w:cs="Arial"/>
        </w:rPr>
      </w:pPr>
      <w:r w:rsidRPr="00270FF7">
        <w:rPr>
          <w:rFonts w:cs="Arial"/>
        </w:rPr>
        <w:t xml:space="preserve">In our opinion, the attached financial statements for the year ended 30 June 2026 comply with subsection 42(2) of the </w:t>
      </w:r>
      <w:r w:rsidRPr="00270FF7">
        <w:rPr>
          <w:rFonts w:cs="Arial"/>
          <w:i/>
          <w:iCs/>
        </w:rPr>
        <w:t>Public Governance, Performance and Accountability Act 2013</w:t>
      </w:r>
      <w:r w:rsidRPr="00270FF7">
        <w:rPr>
          <w:rFonts w:cs="Arial"/>
        </w:rPr>
        <w:t xml:space="preserve"> (PGPA Act), and are based on properly maintained financial records as per subsection 41(2) of the PGPA Act.</w:t>
      </w:r>
    </w:p>
    <w:p w14:paraId="3C815F93" w14:textId="77777777" w:rsidR="00EB0D85" w:rsidRPr="00270FF7" w:rsidRDefault="00EB0D85" w:rsidP="00EB0D85">
      <w:pPr>
        <w:rPr>
          <w:rFonts w:cs="Arial"/>
        </w:rPr>
      </w:pPr>
      <w:r w:rsidRPr="00270FF7">
        <w:rPr>
          <w:rFonts w:cs="Arial"/>
        </w:rPr>
        <w:t>In our opinion, at the date of this statement, there are reasonable grounds to believe that the Independent Health and Aged Care Pricing Authority will be able to pay its debts as and when they fall due.</w:t>
      </w:r>
    </w:p>
    <w:p w14:paraId="4A3C6298" w14:textId="77777777" w:rsidR="00EB0D85" w:rsidRPr="00270FF7" w:rsidRDefault="00EB0D85" w:rsidP="00EB0D85">
      <w:pPr>
        <w:rPr>
          <w:rFonts w:cs="Arial"/>
        </w:rPr>
      </w:pPr>
    </w:p>
    <w:p w14:paraId="099F330B" w14:textId="77777777" w:rsidR="00EB0D85" w:rsidRPr="00270FF7" w:rsidRDefault="00EB0D85" w:rsidP="00EB0D85">
      <w:pPr>
        <w:rPr>
          <w:rFonts w:cs="Arial"/>
        </w:rPr>
      </w:pPr>
      <w:r w:rsidRPr="00270FF7">
        <w:rPr>
          <w:rFonts w:cs="Arial"/>
          <w:noProof/>
        </w:rPr>
        <w:tab/>
      </w:r>
      <w:r w:rsidRPr="00270FF7">
        <w:rPr>
          <w:rFonts w:cs="Arial"/>
          <w:noProof/>
        </w:rPr>
        <w:tab/>
      </w:r>
      <w:r w:rsidRPr="00270FF7">
        <w:rPr>
          <w:rFonts w:cs="Arial"/>
          <w:noProof/>
        </w:rPr>
        <w:tab/>
      </w:r>
      <w:r w:rsidRPr="00270FF7">
        <w:rPr>
          <w:rFonts w:cs="Arial"/>
          <w:noProof/>
        </w:rPr>
        <w:tab/>
      </w:r>
    </w:p>
    <w:p w14:paraId="3B75EDF6" w14:textId="77777777" w:rsidR="00EB0D85" w:rsidRPr="00270FF7" w:rsidRDefault="00EB0D85" w:rsidP="00EB0D85">
      <w:pPr>
        <w:spacing w:before="1560" w:after="0"/>
        <w:rPr>
          <w:rFonts w:cs="Arial"/>
        </w:rPr>
      </w:pPr>
      <w:r w:rsidRPr="00270FF7">
        <w:rPr>
          <w:rFonts w:cs="Arial"/>
          <w:b/>
          <w:bCs/>
        </w:rPr>
        <w:t xml:space="preserve">Professor Michael Pervan    </w:t>
      </w:r>
      <w:r w:rsidRPr="00270FF7">
        <w:rPr>
          <w:rFonts w:cs="Arial"/>
          <w:b/>
          <w:bCs/>
        </w:rPr>
        <w:tab/>
      </w:r>
      <w:r w:rsidRPr="00270FF7">
        <w:rPr>
          <w:rFonts w:cs="Arial"/>
          <w:b/>
          <w:bCs/>
        </w:rPr>
        <w:tab/>
      </w:r>
      <w:r w:rsidRPr="00270FF7">
        <w:rPr>
          <w:rFonts w:cs="Arial"/>
          <w:b/>
          <w:bCs/>
        </w:rPr>
        <w:tab/>
      </w:r>
      <w:r w:rsidRPr="00270FF7">
        <w:rPr>
          <w:rFonts w:cs="Arial"/>
          <w:b/>
          <w:bCs/>
        </w:rPr>
        <w:tab/>
        <w:t>Chris Miljak</w:t>
      </w:r>
    </w:p>
    <w:p w14:paraId="3636BC5A" w14:textId="77777777" w:rsidR="00EB0D85" w:rsidRPr="00270FF7" w:rsidRDefault="00EB0D85" w:rsidP="00EB0D85">
      <w:pPr>
        <w:spacing w:after="0"/>
        <w:rPr>
          <w:rFonts w:cs="Arial"/>
        </w:rPr>
      </w:pPr>
      <w:r w:rsidRPr="00270FF7">
        <w:rPr>
          <w:rFonts w:cs="Arial"/>
        </w:rPr>
        <w:t>Chief Executive Officer</w:t>
      </w:r>
      <w:r w:rsidRPr="00270FF7">
        <w:rPr>
          <w:rFonts w:cs="Arial"/>
        </w:rPr>
        <w:tab/>
      </w:r>
      <w:r w:rsidRPr="00270FF7">
        <w:rPr>
          <w:rFonts w:cs="Arial"/>
        </w:rPr>
        <w:tab/>
      </w:r>
      <w:r w:rsidRPr="00270FF7">
        <w:rPr>
          <w:rFonts w:cs="Arial"/>
        </w:rPr>
        <w:tab/>
      </w:r>
      <w:r w:rsidRPr="00270FF7">
        <w:rPr>
          <w:rFonts w:cs="Arial"/>
        </w:rPr>
        <w:tab/>
      </w:r>
      <w:r w:rsidRPr="00270FF7">
        <w:rPr>
          <w:rFonts w:cs="Arial"/>
        </w:rPr>
        <w:tab/>
        <w:t>Chief Financial Officer</w:t>
      </w:r>
    </w:p>
    <w:p w14:paraId="6CE49532" w14:textId="77777777" w:rsidR="00EB0D85" w:rsidRDefault="00EB0D85" w:rsidP="00EB0D85">
      <w:pPr>
        <w:spacing w:after="0"/>
        <w:rPr>
          <w:rFonts w:cs="Arial"/>
          <w:color w:val="auto"/>
        </w:rPr>
      </w:pPr>
      <w:r w:rsidRPr="00270FF7">
        <w:rPr>
          <w:rFonts w:cs="Arial"/>
        </w:rPr>
        <w:t>3 September 2026</w:t>
      </w:r>
      <w:r w:rsidRPr="00270FF7">
        <w:rPr>
          <w:rFonts w:cs="Arial"/>
        </w:rPr>
        <w:tab/>
      </w:r>
      <w:r w:rsidRPr="00270FF7">
        <w:rPr>
          <w:rFonts w:cs="Arial"/>
        </w:rPr>
        <w:tab/>
      </w:r>
      <w:r w:rsidRPr="00270FF7">
        <w:rPr>
          <w:rFonts w:cs="Arial"/>
        </w:rPr>
        <w:tab/>
      </w:r>
      <w:r w:rsidRPr="00270FF7">
        <w:rPr>
          <w:rFonts w:cs="Arial"/>
        </w:rPr>
        <w:tab/>
      </w:r>
      <w:r w:rsidRPr="00270FF7">
        <w:rPr>
          <w:rFonts w:cs="Arial"/>
        </w:rPr>
        <w:tab/>
      </w:r>
      <w:r w:rsidRPr="00270FF7">
        <w:rPr>
          <w:rFonts w:cs="Arial"/>
        </w:rPr>
        <w:tab/>
        <w:t xml:space="preserve">3 September 2026 </w:t>
      </w:r>
      <w:r w:rsidRPr="00270FF7">
        <w:rPr>
          <w:rFonts w:cs="Arial"/>
        </w:rPr>
        <w:tab/>
      </w:r>
      <w:r w:rsidRPr="00A71460">
        <w:rPr>
          <w:rFonts w:cs="Arial"/>
          <w:color w:val="auto"/>
        </w:rPr>
        <w:tab/>
      </w:r>
    </w:p>
    <w:p w14:paraId="183C8A77" w14:textId="77777777" w:rsidR="00EB0D85" w:rsidRDefault="00EB0D85" w:rsidP="00EB0D85">
      <w:pPr>
        <w:rPr>
          <w:rFonts w:cs="Arial"/>
          <w:color w:val="auto"/>
        </w:rPr>
      </w:pPr>
    </w:p>
    <w:p w14:paraId="2DBB81BA" w14:textId="77777777" w:rsidR="00EB0D85" w:rsidRDefault="00EB0D85" w:rsidP="00EB0D85">
      <w:pPr>
        <w:pStyle w:val="Heading1"/>
      </w:pPr>
      <w:bookmarkStart w:id="983" w:name="_Toc235786160"/>
      <w:bookmarkStart w:id="984" w:name="_Toc235787491"/>
      <w:bookmarkStart w:id="985" w:name="_Toc235791629"/>
    </w:p>
    <w:p w14:paraId="1937D2CD" w14:textId="77777777" w:rsidR="00EB0D85" w:rsidRDefault="00EB0D85" w:rsidP="00EB0D85"/>
    <w:p w14:paraId="214048B4" w14:textId="77777777" w:rsidR="00EB0D85" w:rsidRPr="00EB0D85" w:rsidRDefault="00EB0D85" w:rsidP="00EB0D85"/>
    <w:p w14:paraId="3B183A42" w14:textId="5D9B6696" w:rsidR="00EB0D85" w:rsidRDefault="00EB0D85" w:rsidP="00EB0D85">
      <w:pPr>
        <w:pStyle w:val="Heading1"/>
      </w:pPr>
      <w:bookmarkStart w:id="986" w:name="_Toc237872732"/>
      <w:r>
        <w:lastRenderedPageBreak/>
        <w:t>5.4</w:t>
      </w:r>
      <w:r>
        <w:tab/>
        <w:t>Primary financial statements</w:t>
      </w:r>
      <w:bookmarkEnd w:id="983"/>
      <w:bookmarkEnd w:id="984"/>
      <w:bookmarkEnd w:id="985"/>
      <w:bookmarkEnd w:id="986"/>
      <w:r>
        <w:t xml:space="preserve"> </w:t>
      </w:r>
    </w:p>
    <w:tbl>
      <w:tblPr>
        <w:tblW w:w="8969" w:type="dxa"/>
        <w:tblLook w:val="04A0" w:firstRow="1" w:lastRow="0" w:firstColumn="1" w:lastColumn="0" w:noHBand="0" w:noVBand="1"/>
      </w:tblPr>
      <w:tblGrid>
        <w:gridCol w:w="5065"/>
        <w:gridCol w:w="685"/>
        <w:gridCol w:w="791"/>
        <w:gridCol w:w="752"/>
        <w:gridCol w:w="440"/>
        <w:gridCol w:w="1236"/>
      </w:tblGrid>
      <w:tr w:rsidR="00096500" w:rsidRPr="009A08A5" w14:paraId="19E4881E" w14:textId="77777777" w:rsidTr="00856101">
        <w:trPr>
          <w:trHeight w:val="300"/>
        </w:trPr>
        <w:tc>
          <w:tcPr>
            <w:tcW w:w="7293" w:type="dxa"/>
            <w:gridSpan w:val="4"/>
            <w:tcBorders>
              <w:top w:val="nil"/>
              <w:left w:val="nil"/>
              <w:bottom w:val="nil"/>
              <w:right w:val="nil"/>
            </w:tcBorders>
            <w:hideMark/>
          </w:tcPr>
          <w:p w14:paraId="77CD0001"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bookmarkStart w:id="987" w:name="_Toc235786171"/>
            <w:bookmarkStart w:id="988" w:name="_Toc235787502"/>
            <w:bookmarkStart w:id="989" w:name="_Toc235791640"/>
            <w:r w:rsidRPr="009A08A5">
              <w:rPr>
                <w:rFonts w:ascii="Cambria" w:eastAsia="Times New Roman" w:hAnsi="Cambria" w:cs="Calibri"/>
                <w:b/>
                <w:bCs/>
                <w:color w:val="auto"/>
                <w:sz w:val="18"/>
                <w:szCs w:val="18"/>
                <w:lang w:eastAsia="en-AU"/>
              </w:rPr>
              <w:t>Statement of comprehensive income</w:t>
            </w:r>
          </w:p>
        </w:tc>
        <w:tc>
          <w:tcPr>
            <w:tcW w:w="440" w:type="dxa"/>
            <w:tcBorders>
              <w:top w:val="nil"/>
              <w:left w:val="nil"/>
              <w:bottom w:val="nil"/>
              <w:right w:val="nil"/>
            </w:tcBorders>
            <w:hideMark/>
          </w:tcPr>
          <w:p w14:paraId="0E86290B"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1236" w:type="dxa"/>
            <w:tcBorders>
              <w:top w:val="nil"/>
              <w:left w:val="nil"/>
              <w:bottom w:val="nil"/>
              <w:right w:val="nil"/>
            </w:tcBorders>
            <w:noWrap/>
            <w:vAlign w:val="bottom"/>
            <w:hideMark/>
          </w:tcPr>
          <w:p w14:paraId="4BE13614"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r>
      <w:tr w:rsidR="00096500" w:rsidRPr="009A08A5" w14:paraId="2846999A" w14:textId="77777777" w:rsidTr="00856101">
        <w:trPr>
          <w:trHeight w:val="300"/>
        </w:trPr>
        <w:tc>
          <w:tcPr>
            <w:tcW w:w="5065" w:type="dxa"/>
            <w:tcBorders>
              <w:top w:val="nil"/>
              <w:left w:val="nil"/>
              <w:bottom w:val="nil"/>
              <w:right w:val="nil"/>
            </w:tcBorders>
            <w:noWrap/>
            <w:hideMark/>
          </w:tcPr>
          <w:p w14:paraId="6F469B1F" w14:textId="77777777" w:rsidR="00096500" w:rsidRPr="009A08A5" w:rsidRDefault="00096500" w:rsidP="00856101">
            <w:pPr>
              <w:spacing w:after="0" w:line="240" w:lineRule="auto"/>
              <w:rPr>
                <w:rFonts w:ascii="Cambria" w:eastAsia="Times New Roman" w:hAnsi="Cambria" w:cs="Calibri"/>
                <w:i/>
                <w:iCs/>
                <w:color w:val="auto"/>
                <w:sz w:val="18"/>
                <w:szCs w:val="18"/>
                <w:lang w:eastAsia="en-AU"/>
              </w:rPr>
            </w:pPr>
            <w:r w:rsidRPr="009A08A5">
              <w:rPr>
                <w:rFonts w:ascii="Cambria" w:eastAsia="Times New Roman" w:hAnsi="Cambria" w:cs="Calibri"/>
                <w:i/>
                <w:iCs/>
                <w:color w:val="auto"/>
                <w:sz w:val="18"/>
                <w:szCs w:val="18"/>
                <w:lang w:eastAsia="en-AU"/>
              </w:rPr>
              <w:t>for the period ended 30 June 2026</w:t>
            </w:r>
          </w:p>
        </w:tc>
        <w:tc>
          <w:tcPr>
            <w:tcW w:w="685" w:type="dxa"/>
            <w:tcBorders>
              <w:top w:val="nil"/>
              <w:left w:val="nil"/>
              <w:bottom w:val="nil"/>
              <w:right w:val="nil"/>
            </w:tcBorders>
            <w:noWrap/>
            <w:hideMark/>
          </w:tcPr>
          <w:p w14:paraId="02B9E542" w14:textId="77777777" w:rsidR="00096500" w:rsidRPr="009A08A5" w:rsidRDefault="00096500" w:rsidP="00856101">
            <w:pPr>
              <w:spacing w:after="0" w:line="240" w:lineRule="auto"/>
              <w:rPr>
                <w:rFonts w:ascii="Cambria" w:eastAsia="Times New Roman" w:hAnsi="Cambria" w:cs="Calibri"/>
                <w:i/>
                <w:iCs/>
                <w:color w:val="auto"/>
                <w:sz w:val="18"/>
                <w:szCs w:val="18"/>
                <w:lang w:eastAsia="en-AU"/>
              </w:rPr>
            </w:pPr>
          </w:p>
        </w:tc>
        <w:tc>
          <w:tcPr>
            <w:tcW w:w="791" w:type="dxa"/>
            <w:tcBorders>
              <w:top w:val="nil"/>
              <w:left w:val="nil"/>
              <w:bottom w:val="nil"/>
              <w:right w:val="nil"/>
            </w:tcBorders>
            <w:noWrap/>
            <w:hideMark/>
          </w:tcPr>
          <w:p w14:paraId="309CC528"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hideMark/>
          </w:tcPr>
          <w:p w14:paraId="09446182"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440" w:type="dxa"/>
            <w:tcBorders>
              <w:top w:val="nil"/>
              <w:left w:val="nil"/>
              <w:bottom w:val="nil"/>
              <w:right w:val="nil"/>
            </w:tcBorders>
            <w:noWrap/>
            <w:hideMark/>
          </w:tcPr>
          <w:p w14:paraId="1F5D77C5"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hideMark/>
          </w:tcPr>
          <w:p w14:paraId="5FC8753D"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r>
      <w:tr w:rsidR="00096500" w:rsidRPr="009A08A5" w14:paraId="5C3617C2" w14:textId="77777777" w:rsidTr="00856101">
        <w:trPr>
          <w:trHeight w:val="585"/>
        </w:trPr>
        <w:tc>
          <w:tcPr>
            <w:tcW w:w="5065" w:type="dxa"/>
            <w:tcBorders>
              <w:top w:val="single" w:sz="8" w:space="0" w:color="009560"/>
              <w:left w:val="nil"/>
              <w:bottom w:val="nil"/>
              <w:right w:val="nil"/>
            </w:tcBorders>
            <w:noWrap/>
            <w:vAlign w:val="bottom"/>
            <w:hideMark/>
          </w:tcPr>
          <w:p w14:paraId="377F66C3"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685" w:type="dxa"/>
            <w:tcBorders>
              <w:top w:val="single" w:sz="8" w:space="0" w:color="009560"/>
              <w:left w:val="nil"/>
              <w:bottom w:val="nil"/>
              <w:right w:val="nil"/>
            </w:tcBorders>
            <w:noWrap/>
            <w:vAlign w:val="bottom"/>
            <w:hideMark/>
          </w:tcPr>
          <w:p w14:paraId="2D961B10"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791" w:type="dxa"/>
            <w:tcBorders>
              <w:top w:val="single" w:sz="8" w:space="0" w:color="009560"/>
              <w:left w:val="nil"/>
              <w:bottom w:val="nil"/>
              <w:right w:val="nil"/>
            </w:tcBorders>
            <w:noWrap/>
            <w:vAlign w:val="bottom"/>
            <w:hideMark/>
          </w:tcPr>
          <w:p w14:paraId="7298EE94"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2026</w:t>
            </w:r>
          </w:p>
        </w:tc>
        <w:tc>
          <w:tcPr>
            <w:tcW w:w="752" w:type="dxa"/>
            <w:tcBorders>
              <w:top w:val="single" w:sz="8" w:space="0" w:color="009560"/>
              <w:left w:val="nil"/>
              <w:bottom w:val="nil"/>
              <w:right w:val="nil"/>
            </w:tcBorders>
            <w:noWrap/>
            <w:vAlign w:val="bottom"/>
            <w:hideMark/>
          </w:tcPr>
          <w:p w14:paraId="7005A5B0"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2025</w:t>
            </w:r>
          </w:p>
        </w:tc>
        <w:tc>
          <w:tcPr>
            <w:tcW w:w="440" w:type="dxa"/>
            <w:tcBorders>
              <w:top w:val="single" w:sz="8" w:space="0" w:color="009560"/>
              <w:left w:val="nil"/>
              <w:bottom w:val="nil"/>
              <w:right w:val="nil"/>
            </w:tcBorders>
            <w:noWrap/>
            <w:vAlign w:val="bottom"/>
            <w:hideMark/>
          </w:tcPr>
          <w:p w14:paraId="23B24FF1"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single" w:sz="8" w:space="0" w:color="009560"/>
              <w:left w:val="nil"/>
              <w:bottom w:val="nil"/>
              <w:right w:val="nil"/>
            </w:tcBorders>
            <w:vAlign w:val="bottom"/>
            <w:hideMark/>
          </w:tcPr>
          <w:p w14:paraId="0AB1A5E6"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Original Budget</w:t>
            </w:r>
          </w:p>
        </w:tc>
      </w:tr>
      <w:tr w:rsidR="00096500" w:rsidRPr="009A08A5" w14:paraId="328C5164" w14:textId="77777777" w:rsidTr="00856101">
        <w:trPr>
          <w:trHeight w:val="240"/>
        </w:trPr>
        <w:tc>
          <w:tcPr>
            <w:tcW w:w="5065" w:type="dxa"/>
            <w:tcBorders>
              <w:top w:val="nil"/>
              <w:left w:val="nil"/>
              <w:bottom w:val="single" w:sz="8" w:space="0" w:color="009560"/>
              <w:right w:val="nil"/>
            </w:tcBorders>
            <w:vAlign w:val="bottom"/>
            <w:hideMark/>
          </w:tcPr>
          <w:p w14:paraId="223A57F4"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w:t>
            </w:r>
          </w:p>
        </w:tc>
        <w:tc>
          <w:tcPr>
            <w:tcW w:w="685" w:type="dxa"/>
            <w:tcBorders>
              <w:top w:val="nil"/>
              <w:left w:val="nil"/>
              <w:bottom w:val="single" w:sz="8" w:space="0" w:color="009560"/>
              <w:right w:val="nil"/>
            </w:tcBorders>
            <w:noWrap/>
            <w:vAlign w:val="bottom"/>
            <w:hideMark/>
          </w:tcPr>
          <w:p w14:paraId="334CE363"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Notes</w:t>
            </w:r>
          </w:p>
        </w:tc>
        <w:tc>
          <w:tcPr>
            <w:tcW w:w="791" w:type="dxa"/>
            <w:tcBorders>
              <w:top w:val="nil"/>
              <w:left w:val="nil"/>
              <w:bottom w:val="single" w:sz="8" w:space="0" w:color="009560"/>
              <w:right w:val="nil"/>
            </w:tcBorders>
            <w:noWrap/>
            <w:vAlign w:val="bottom"/>
            <w:hideMark/>
          </w:tcPr>
          <w:p w14:paraId="27BC2C33"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$'000</w:t>
            </w:r>
          </w:p>
        </w:tc>
        <w:tc>
          <w:tcPr>
            <w:tcW w:w="752" w:type="dxa"/>
            <w:tcBorders>
              <w:top w:val="nil"/>
              <w:left w:val="nil"/>
              <w:bottom w:val="single" w:sz="8" w:space="0" w:color="009560"/>
              <w:right w:val="nil"/>
            </w:tcBorders>
            <w:noWrap/>
            <w:vAlign w:val="bottom"/>
            <w:hideMark/>
          </w:tcPr>
          <w:p w14:paraId="78F87531"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$'000</w:t>
            </w:r>
          </w:p>
        </w:tc>
        <w:tc>
          <w:tcPr>
            <w:tcW w:w="440" w:type="dxa"/>
            <w:tcBorders>
              <w:top w:val="nil"/>
              <w:left w:val="nil"/>
              <w:bottom w:val="single" w:sz="8" w:space="0" w:color="009560"/>
              <w:right w:val="nil"/>
            </w:tcBorders>
            <w:noWrap/>
            <w:vAlign w:val="bottom"/>
            <w:hideMark/>
          </w:tcPr>
          <w:p w14:paraId="6EB4E2BE"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nil"/>
              <w:left w:val="nil"/>
              <w:bottom w:val="single" w:sz="8" w:space="0" w:color="009560"/>
              <w:right w:val="nil"/>
            </w:tcBorders>
            <w:noWrap/>
            <w:vAlign w:val="bottom"/>
            <w:hideMark/>
          </w:tcPr>
          <w:p w14:paraId="2C6B7C4D"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$'000</w:t>
            </w:r>
          </w:p>
        </w:tc>
      </w:tr>
      <w:tr w:rsidR="00096500" w:rsidRPr="009A08A5" w14:paraId="031A4AB1" w14:textId="77777777" w:rsidTr="00856101">
        <w:trPr>
          <w:trHeight w:val="285"/>
        </w:trPr>
        <w:tc>
          <w:tcPr>
            <w:tcW w:w="5065" w:type="dxa"/>
            <w:tcBorders>
              <w:top w:val="nil"/>
              <w:left w:val="nil"/>
              <w:bottom w:val="nil"/>
              <w:right w:val="nil"/>
            </w:tcBorders>
            <w:vAlign w:val="bottom"/>
            <w:hideMark/>
          </w:tcPr>
          <w:p w14:paraId="4C1B44BD"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NET COST OF SERVICES</w:t>
            </w:r>
          </w:p>
        </w:tc>
        <w:tc>
          <w:tcPr>
            <w:tcW w:w="685" w:type="dxa"/>
            <w:tcBorders>
              <w:top w:val="nil"/>
              <w:left w:val="nil"/>
              <w:bottom w:val="nil"/>
              <w:right w:val="nil"/>
            </w:tcBorders>
            <w:noWrap/>
            <w:vAlign w:val="bottom"/>
            <w:hideMark/>
          </w:tcPr>
          <w:p w14:paraId="4D28F794"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37AEB857" w14:textId="77777777" w:rsidR="00096500" w:rsidRPr="009A08A5" w:rsidRDefault="00096500" w:rsidP="00856101">
            <w:pPr>
              <w:spacing w:after="0" w:line="240" w:lineRule="auto"/>
              <w:jc w:val="center"/>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44E2B7B3"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440" w:type="dxa"/>
            <w:tcBorders>
              <w:top w:val="nil"/>
              <w:left w:val="nil"/>
              <w:bottom w:val="nil"/>
              <w:right w:val="nil"/>
            </w:tcBorders>
            <w:noWrap/>
            <w:vAlign w:val="bottom"/>
            <w:hideMark/>
          </w:tcPr>
          <w:p w14:paraId="48AE1C8D"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5A8A34D9"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r>
      <w:tr w:rsidR="00096500" w:rsidRPr="009A08A5" w14:paraId="6A1A4691" w14:textId="77777777" w:rsidTr="00856101">
        <w:trPr>
          <w:trHeight w:val="240"/>
        </w:trPr>
        <w:tc>
          <w:tcPr>
            <w:tcW w:w="5065" w:type="dxa"/>
            <w:tcBorders>
              <w:top w:val="nil"/>
              <w:left w:val="nil"/>
              <w:bottom w:val="nil"/>
              <w:right w:val="nil"/>
            </w:tcBorders>
            <w:vAlign w:val="bottom"/>
            <w:hideMark/>
          </w:tcPr>
          <w:p w14:paraId="22B02452"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EXPENSES</w:t>
            </w:r>
          </w:p>
        </w:tc>
        <w:tc>
          <w:tcPr>
            <w:tcW w:w="685" w:type="dxa"/>
            <w:tcBorders>
              <w:top w:val="nil"/>
              <w:left w:val="nil"/>
              <w:bottom w:val="nil"/>
              <w:right w:val="nil"/>
            </w:tcBorders>
            <w:noWrap/>
            <w:vAlign w:val="bottom"/>
            <w:hideMark/>
          </w:tcPr>
          <w:p w14:paraId="5A6E2439"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4E7085A8" w14:textId="77777777" w:rsidR="00096500" w:rsidRPr="009A08A5" w:rsidRDefault="00096500" w:rsidP="00856101">
            <w:pPr>
              <w:spacing w:after="0" w:line="240" w:lineRule="auto"/>
              <w:jc w:val="center"/>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4DC46DE6"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440" w:type="dxa"/>
            <w:tcBorders>
              <w:top w:val="nil"/>
              <w:left w:val="nil"/>
              <w:bottom w:val="nil"/>
              <w:right w:val="nil"/>
            </w:tcBorders>
            <w:noWrap/>
            <w:vAlign w:val="bottom"/>
            <w:hideMark/>
          </w:tcPr>
          <w:p w14:paraId="03B8F1AA"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691BC9D1"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r>
      <w:tr w:rsidR="00096500" w:rsidRPr="009A08A5" w14:paraId="3DFF6292" w14:textId="77777777" w:rsidTr="00856101">
        <w:trPr>
          <w:trHeight w:val="240"/>
        </w:trPr>
        <w:tc>
          <w:tcPr>
            <w:tcW w:w="5065" w:type="dxa"/>
            <w:tcBorders>
              <w:top w:val="nil"/>
              <w:left w:val="nil"/>
              <w:bottom w:val="nil"/>
              <w:right w:val="nil"/>
            </w:tcBorders>
            <w:shd w:val="clear" w:color="000000" w:fill="FFFFFF"/>
            <w:hideMark/>
          </w:tcPr>
          <w:p w14:paraId="0D121B3F"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Employee benefits</w:t>
            </w:r>
          </w:p>
        </w:tc>
        <w:tc>
          <w:tcPr>
            <w:tcW w:w="685" w:type="dxa"/>
            <w:tcBorders>
              <w:top w:val="nil"/>
              <w:left w:val="nil"/>
              <w:bottom w:val="nil"/>
              <w:right w:val="nil"/>
            </w:tcBorders>
            <w:shd w:val="clear" w:color="000000" w:fill="FFFFFF"/>
            <w:noWrap/>
            <w:vAlign w:val="bottom"/>
            <w:hideMark/>
          </w:tcPr>
          <w:p w14:paraId="0AABE8F3" w14:textId="77777777" w:rsidR="00096500" w:rsidRPr="009A08A5"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49" w:anchor="FPE1.1!C3" w:history="1">
              <w:r w:rsidRPr="009A08A5">
                <w:rPr>
                  <w:rFonts w:ascii="Times New Roman" w:eastAsia="Times New Roman" w:hAnsi="Times New Roman" w:cs="Times New Roman"/>
                  <w:color w:val="0000FF"/>
                  <w:sz w:val="18"/>
                  <w:szCs w:val="18"/>
                  <w:u w:val="single"/>
                  <w:lang w:eastAsia="en-AU"/>
                </w:rPr>
                <w:t>1.1A</w:t>
              </w:r>
            </w:hyperlink>
          </w:p>
        </w:tc>
        <w:tc>
          <w:tcPr>
            <w:tcW w:w="791" w:type="dxa"/>
            <w:tcBorders>
              <w:top w:val="nil"/>
              <w:left w:val="nil"/>
              <w:bottom w:val="nil"/>
              <w:right w:val="nil"/>
            </w:tcBorders>
            <w:noWrap/>
            <w:vAlign w:val="bottom"/>
            <w:hideMark/>
          </w:tcPr>
          <w:p w14:paraId="00147A70"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23,085 </w:t>
            </w:r>
          </w:p>
        </w:tc>
        <w:tc>
          <w:tcPr>
            <w:tcW w:w="752" w:type="dxa"/>
            <w:tcBorders>
              <w:top w:val="nil"/>
              <w:left w:val="nil"/>
              <w:bottom w:val="nil"/>
              <w:right w:val="nil"/>
            </w:tcBorders>
            <w:shd w:val="clear" w:color="000000" w:fill="FFFFFF"/>
            <w:noWrap/>
            <w:vAlign w:val="bottom"/>
            <w:hideMark/>
          </w:tcPr>
          <w:p w14:paraId="2CA9CB18"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22,447 </w:t>
            </w:r>
          </w:p>
        </w:tc>
        <w:tc>
          <w:tcPr>
            <w:tcW w:w="440" w:type="dxa"/>
            <w:tcBorders>
              <w:top w:val="nil"/>
              <w:left w:val="nil"/>
              <w:bottom w:val="nil"/>
              <w:right w:val="nil"/>
            </w:tcBorders>
            <w:shd w:val="clear" w:color="000000" w:fill="FFFFFF"/>
            <w:noWrap/>
            <w:vAlign w:val="bottom"/>
            <w:hideMark/>
          </w:tcPr>
          <w:p w14:paraId="08E1183D"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3E6B85F8"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20,607 </w:t>
            </w:r>
          </w:p>
        </w:tc>
      </w:tr>
      <w:tr w:rsidR="00096500" w:rsidRPr="009A08A5" w14:paraId="5D55766C" w14:textId="77777777" w:rsidTr="00856101">
        <w:trPr>
          <w:trHeight w:val="240"/>
        </w:trPr>
        <w:tc>
          <w:tcPr>
            <w:tcW w:w="5065" w:type="dxa"/>
            <w:tcBorders>
              <w:top w:val="nil"/>
              <w:left w:val="nil"/>
              <w:bottom w:val="nil"/>
              <w:right w:val="nil"/>
            </w:tcBorders>
            <w:shd w:val="clear" w:color="000000" w:fill="FFFFFF"/>
            <w:hideMark/>
          </w:tcPr>
          <w:p w14:paraId="09754EF6"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Suppliers</w:t>
            </w:r>
          </w:p>
        </w:tc>
        <w:tc>
          <w:tcPr>
            <w:tcW w:w="685" w:type="dxa"/>
            <w:tcBorders>
              <w:top w:val="nil"/>
              <w:left w:val="nil"/>
              <w:bottom w:val="nil"/>
              <w:right w:val="nil"/>
            </w:tcBorders>
            <w:shd w:val="clear" w:color="000000" w:fill="FFFFFF"/>
            <w:noWrap/>
            <w:vAlign w:val="bottom"/>
            <w:hideMark/>
          </w:tcPr>
          <w:p w14:paraId="7462F7A0" w14:textId="77777777" w:rsidR="00096500" w:rsidRPr="009A08A5"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50" w:anchor="FPE1.1!C20" w:history="1">
              <w:r w:rsidRPr="009A08A5">
                <w:rPr>
                  <w:rFonts w:ascii="Times New Roman" w:eastAsia="Times New Roman" w:hAnsi="Times New Roman" w:cs="Times New Roman"/>
                  <w:color w:val="0000FF"/>
                  <w:sz w:val="18"/>
                  <w:szCs w:val="18"/>
                  <w:u w:val="single"/>
                  <w:lang w:eastAsia="en-AU"/>
                </w:rPr>
                <w:t>1.1B</w:t>
              </w:r>
            </w:hyperlink>
          </w:p>
        </w:tc>
        <w:tc>
          <w:tcPr>
            <w:tcW w:w="791" w:type="dxa"/>
            <w:tcBorders>
              <w:top w:val="nil"/>
              <w:left w:val="nil"/>
              <w:bottom w:val="nil"/>
              <w:right w:val="nil"/>
            </w:tcBorders>
            <w:noWrap/>
            <w:vAlign w:val="bottom"/>
            <w:hideMark/>
          </w:tcPr>
          <w:p w14:paraId="13C2A12D"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35,990 </w:t>
            </w:r>
          </w:p>
        </w:tc>
        <w:tc>
          <w:tcPr>
            <w:tcW w:w="752" w:type="dxa"/>
            <w:tcBorders>
              <w:top w:val="nil"/>
              <w:left w:val="nil"/>
              <w:bottom w:val="nil"/>
              <w:right w:val="nil"/>
            </w:tcBorders>
            <w:shd w:val="clear" w:color="000000" w:fill="FFFFFF"/>
            <w:noWrap/>
            <w:vAlign w:val="bottom"/>
            <w:hideMark/>
          </w:tcPr>
          <w:p w14:paraId="2CADEC21"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30,270 </w:t>
            </w:r>
          </w:p>
        </w:tc>
        <w:tc>
          <w:tcPr>
            <w:tcW w:w="440" w:type="dxa"/>
            <w:tcBorders>
              <w:top w:val="nil"/>
              <w:left w:val="nil"/>
              <w:bottom w:val="nil"/>
              <w:right w:val="nil"/>
            </w:tcBorders>
            <w:shd w:val="clear" w:color="000000" w:fill="FFFFFF"/>
            <w:noWrap/>
            <w:vAlign w:val="bottom"/>
            <w:hideMark/>
          </w:tcPr>
          <w:p w14:paraId="27486AFB"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203CF37B"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55,987 </w:t>
            </w:r>
          </w:p>
        </w:tc>
      </w:tr>
      <w:tr w:rsidR="00096500" w:rsidRPr="009A08A5" w14:paraId="68BC044E" w14:textId="77777777" w:rsidTr="00856101">
        <w:trPr>
          <w:trHeight w:val="240"/>
        </w:trPr>
        <w:tc>
          <w:tcPr>
            <w:tcW w:w="5065" w:type="dxa"/>
            <w:tcBorders>
              <w:top w:val="nil"/>
              <w:left w:val="nil"/>
              <w:bottom w:val="nil"/>
              <w:right w:val="nil"/>
            </w:tcBorders>
            <w:shd w:val="clear" w:color="000000" w:fill="FFFFFF"/>
            <w:hideMark/>
          </w:tcPr>
          <w:p w14:paraId="32ACE4AD"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Depreciation and amortisation</w:t>
            </w:r>
          </w:p>
        </w:tc>
        <w:tc>
          <w:tcPr>
            <w:tcW w:w="685" w:type="dxa"/>
            <w:tcBorders>
              <w:top w:val="nil"/>
              <w:left w:val="nil"/>
              <w:bottom w:val="nil"/>
              <w:right w:val="nil"/>
            </w:tcBorders>
            <w:shd w:val="clear" w:color="000000" w:fill="FFFFFF"/>
            <w:noWrap/>
            <w:vAlign w:val="bottom"/>
            <w:hideMark/>
          </w:tcPr>
          <w:p w14:paraId="2DCD99B7" w14:textId="77777777" w:rsidR="00096500" w:rsidRPr="009A08A5"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51" w:anchor="RANGE!C4" w:history="1">
              <w:r w:rsidRPr="009A08A5">
                <w:rPr>
                  <w:rFonts w:ascii="Times New Roman" w:eastAsia="Times New Roman" w:hAnsi="Times New Roman" w:cs="Times New Roman"/>
                  <w:color w:val="0000FF"/>
                  <w:sz w:val="18"/>
                  <w:szCs w:val="18"/>
                  <w:u w:val="single"/>
                  <w:lang w:eastAsia="en-AU"/>
                </w:rPr>
                <w:t>2.2A</w:t>
              </w:r>
            </w:hyperlink>
          </w:p>
        </w:tc>
        <w:tc>
          <w:tcPr>
            <w:tcW w:w="791" w:type="dxa"/>
            <w:tcBorders>
              <w:top w:val="nil"/>
              <w:left w:val="nil"/>
              <w:bottom w:val="nil"/>
              <w:right w:val="nil"/>
            </w:tcBorders>
            <w:noWrap/>
            <w:vAlign w:val="bottom"/>
            <w:hideMark/>
          </w:tcPr>
          <w:p w14:paraId="438EC54A"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2,043 </w:t>
            </w:r>
          </w:p>
        </w:tc>
        <w:tc>
          <w:tcPr>
            <w:tcW w:w="752" w:type="dxa"/>
            <w:tcBorders>
              <w:top w:val="nil"/>
              <w:left w:val="nil"/>
              <w:bottom w:val="nil"/>
              <w:right w:val="nil"/>
            </w:tcBorders>
            <w:shd w:val="clear" w:color="000000" w:fill="FFFFFF"/>
            <w:noWrap/>
            <w:vAlign w:val="bottom"/>
            <w:hideMark/>
          </w:tcPr>
          <w:p w14:paraId="5733907B"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2,001 </w:t>
            </w:r>
          </w:p>
        </w:tc>
        <w:tc>
          <w:tcPr>
            <w:tcW w:w="440" w:type="dxa"/>
            <w:tcBorders>
              <w:top w:val="nil"/>
              <w:left w:val="nil"/>
              <w:bottom w:val="nil"/>
              <w:right w:val="nil"/>
            </w:tcBorders>
            <w:shd w:val="clear" w:color="000000" w:fill="FFFFFF"/>
            <w:noWrap/>
            <w:vAlign w:val="bottom"/>
            <w:hideMark/>
          </w:tcPr>
          <w:p w14:paraId="703AAE66"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16417897"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1,971 </w:t>
            </w:r>
          </w:p>
        </w:tc>
      </w:tr>
      <w:tr w:rsidR="00096500" w:rsidRPr="009A08A5" w14:paraId="0A60F2C6" w14:textId="77777777" w:rsidTr="00856101">
        <w:trPr>
          <w:trHeight w:val="240"/>
        </w:trPr>
        <w:tc>
          <w:tcPr>
            <w:tcW w:w="5065" w:type="dxa"/>
            <w:tcBorders>
              <w:top w:val="nil"/>
              <w:left w:val="nil"/>
              <w:bottom w:val="nil"/>
              <w:right w:val="nil"/>
            </w:tcBorders>
            <w:shd w:val="clear" w:color="000000" w:fill="FFFFFF"/>
            <w:hideMark/>
          </w:tcPr>
          <w:p w14:paraId="0FFE212B"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Finance costs</w:t>
            </w:r>
          </w:p>
        </w:tc>
        <w:tc>
          <w:tcPr>
            <w:tcW w:w="685" w:type="dxa"/>
            <w:tcBorders>
              <w:top w:val="nil"/>
              <w:left w:val="nil"/>
              <w:bottom w:val="nil"/>
              <w:right w:val="nil"/>
            </w:tcBorders>
            <w:shd w:val="clear" w:color="000000" w:fill="FFFFFF"/>
            <w:noWrap/>
            <w:vAlign w:val="bottom"/>
            <w:hideMark/>
          </w:tcPr>
          <w:p w14:paraId="234B39A0" w14:textId="77777777" w:rsidR="00096500" w:rsidRPr="009A08A5"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52" w:anchor="FPE1.1!C61" w:history="1">
              <w:r w:rsidRPr="009A08A5">
                <w:rPr>
                  <w:rFonts w:ascii="Times New Roman" w:eastAsia="Times New Roman" w:hAnsi="Times New Roman" w:cs="Times New Roman"/>
                  <w:color w:val="0000FF"/>
                  <w:sz w:val="18"/>
                  <w:szCs w:val="18"/>
                  <w:u w:val="single"/>
                  <w:lang w:eastAsia="en-AU"/>
                </w:rPr>
                <w:t>1.1C</w:t>
              </w:r>
            </w:hyperlink>
          </w:p>
        </w:tc>
        <w:tc>
          <w:tcPr>
            <w:tcW w:w="791" w:type="dxa"/>
            <w:tcBorders>
              <w:top w:val="nil"/>
              <w:left w:val="nil"/>
              <w:bottom w:val="nil"/>
              <w:right w:val="nil"/>
            </w:tcBorders>
            <w:noWrap/>
            <w:vAlign w:val="bottom"/>
            <w:hideMark/>
          </w:tcPr>
          <w:p w14:paraId="17EE8226"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135 </w:t>
            </w:r>
          </w:p>
        </w:tc>
        <w:tc>
          <w:tcPr>
            <w:tcW w:w="752" w:type="dxa"/>
            <w:tcBorders>
              <w:top w:val="nil"/>
              <w:left w:val="nil"/>
              <w:bottom w:val="nil"/>
              <w:right w:val="nil"/>
            </w:tcBorders>
            <w:shd w:val="clear" w:color="000000" w:fill="FFFFFF"/>
            <w:noWrap/>
            <w:vAlign w:val="bottom"/>
            <w:hideMark/>
          </w:tcPr>
          <w:p w14:paraId="3403A92C"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150 </w:t>
            </w:r>
          </w:p>
        </w:tc>
        <w:tc>
          <w:tcPr>
            <w:tcW w:w="440" w:type="dxa"/>
            <w:tcBorders>
              <w:top w:val="nil"/>
              <w:left w:val="nil"/>
              <w:bottom w:val="nil"/>
              <w:right w:val="nil"/>
            </w:tcBorders>
            <w:shd w:val="clear" w:color="000000" w:fill="FFFFFF"/>
            <w:noWrap/>
            <w:vAlign w:val="bottom"/>
            <w:hideMark/>
          </w:tcPr>
          <w:p w14:paraId="0B7DCDC3"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744B5DF8"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136 </w:t>
            </w:r>
          </w:p>
        </w:tc>
      </w:tr>
      <w:tr w:rsidR="00096500" w:rsidRPr="009A08A5" w14:paraId="638ADC2D" w14:textId="77777777" w:rsidTr="00856101">
        <w:trPr>
          <w:trHeight w:val="240"/>
        </w:trPr>
        <w:tc>
          <w:tcPr>
            <w:tcW w:w="5065" w:type="dxa"/>
            <w:tcBorders>
              <w:top w:val="nil"/>
              <w:left w:val="nil"/>
              <w:bottom w:val="nil"/>
              <w:right w:val="nil"/>
            </w:tcBorders>
            <w:vAlign w:val="bottom"/>
            <w:hideMark/>
          </w:tcPr>
          <w:p w14:paraId="444E5D30"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Total expenses</w:t>
            </w:r>
          </w:p>
        </w:tc>
        <w:tc>
          <w:tcPr>
            <w:tcW w:w="685" w:type="dxa"/>
            <w:tcBorders>
              <w:top w:val="nil"/>
              <w:left w:val="nil"/>
              <w:bottom w:val="nil"/>
              <w:right w:val="nil"/>
            </w:tcBorders>
            <w:noWrap/>
            <w:vAlign w:val="bottom"/>
            <w:hideMark/>
          </w:tcPr>
          <w:p w14:paraId="0D59CA51"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single" w:sz="4" w:space="0" w:color="auto"/>
              <w:left w:val="nil"/>
              <w:bottom w:val="single" w:sz="4" w:space="0" w:color="auto"/>
              <w:right w:val="nil"/>
            </w:tcBorders>
            <w:noWrap/>
            <w:vAlign w:val="bottom"/>
            <w:hideMark/>
          </w:tcPr>
          <w:p w14:paraId="48B32AAA"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61,253 </w:t>
            </w:r>
          </w:p>
        </w:tc>
        <w:tc>
          <w:tcPr>
            <w:tcW w:w="752" w:type="dxa"/>
            <w:tcBorders>
              <w:top w:val="single" w:sz="4" w:space="0" w:color="auto"/>
              <w:left w:val="nil"/>
              <w:bottom w:val="single" w:sz="4" w:space="0" w:color="auto"/>
              <w:right w:val="nil"/>
            </w:tcBorders>
            <w:noWrap/>
            <w:vAlign w:val="bottom"/>
            <w:hideMark/>
          </w:tcPr>
          <w:p w14:paraId="1C78A02A"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54,868 </w:t>
            </w:r>
          </w:p>
        </w:tc>
        <w:tc>
          <w:tcPr>
            <w:tcW w:w="440" w:type="dxa"/>
            <w:tcBorders>
              <w:top w:val="nil"/>
              <w:left w:val="nil"/>
              <w:bottom w:val="nil"/>
              <w:right w:val="nil"/>
            </w:tcBorders>
            <w:noWrap/>
            <w:vAlign w:val="bottom"/>
            <w:hideMark/>
          </w:tcPr>
          <w:p w14:paraId="5AA52E05"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single" w:sz="4" w:space="0" w:color="auto"/>
              <w:left w:val="nil"/>
              <w:bottom w:val="single" w:sz="4" w:space="0" w:color="auto"/>
              <w:right w:val="nil"/>
            </w:tcBorders>
            <w:noWrap/>
            <w:vAlign w:val="bottom"/>
            <w:hideMark/>
          </w:tcPr>
          <w:p w14:paraId="0DE34997"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78,701 </w:t>
            </w:r>
          </w:p>
        </w:tc>
      </w:tr>
      <w:tr w:rsidR="00096500" w:rsidRPr="009A08A5" w14:paraId="4938E775" w14:textId="77777777" w:rsidTr="00856101">
        <w:trPr>
          <w:trHeight w:val="225"/>
        </w:trPr>
        <w:tc>
          <w:tcPr>
            <w:tcW w:w="5065" w:type="dxa"/>
            <w:tcBorders>
              <w:top w:val="nil"/>
              <w:left w:val="nil"/>
              <w:bottom w:val="nil"/>
              <w:right w:val="nil"/>
            </w:tcBorders>
            <w:vAlign w:val="bottom"/>
            <w:hideMark/>
          </w:tcPr>
          <w:p w14:paraId="612D9EA2"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685" w:type="dxa"/>
            <w:tcBorders>
              <w:top w:val="nil"/>
              <w:left w:val="nil"/>
              <w:bottom w:val="nil"/>
              <w:right w:val="nil"/>
            </w:tcBorders>
            <w:noWrap/>
            <w:vAlign w:val="bottom"/>
            <w:hideMark/>
          </w:tcPr>
          <w:p w14:paraId="2E2BA975"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791" w:type="dxa"/>
            <w:tcBorders>
              <w:top w:val="nil"/>
              <w:left w:val="nil"/>
              <w:bottom w:val="nil"/>
              <w:right w:val="nil"/>
            </w:tcBorders>
            <w:noWrap/>
            <w:vAlign w:val="bottom"/>
            <w:hideMark/>
          </w:tcPr>
          <w:p w14:paraId="5C10C9F7" w14:textId="77777777" w:rsidR="00096500" w:rsidRPr="009A08A5" w:rsidRDefault="00096500" w:rsidP="00856101">
            <w:pPr>
              <w:spacing w:after="0" w:line="240" w:lineRule="auto"/>
              <w:jc w:val="center"/>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0B20E81E"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440" w:type="dxa"/>
            <w:tcBorders>
              <w:top w:val="nil"/>
              <w:left w:val="nil"/>
              <w:bottom w:val="nil"/>
              <w:right w:val="nil"/>
            </w:tcBorders>
            <w:noWrap/>
            <w:vAlign w:val="bottom"/>
            <w:hideMark/>
          </w:tcPr>
          <w:p w14:paraId="08758325"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1F34D76B"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r>
      <w:tr w:rsidR="00096500" w:rsidRPr="009A08A5" w14:paraId="5DB8892C" w14:textId="77777777" w:rsidTr="00856101">
        <w:trPr>
          <w:trHeight w:val="240"/>
        </w:trPr>
        <w:tc>
          <w:tcPr>
            <w:tcW w:w="5065" w:type="dxa"/>
            <w:tcBorders>
              <w:top w:val="nil"/>
              <w:left w:val="nil"/>
              <w:bottom w:val="nil"/>
              <w:right w:val="nil"/>
            </w:tcBorders>
            <w:vAlign w:val="bottom"/>
            <w:hideMark/>
          </w:tcPr>
          <w:p w14:paraId="27144733"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OWN-SOURCE INCOME</w:t>
            </w:r>
          </w:p>
        </w:tc>
        <w:tc>
          <w:tcPr>
            <w:tcW w:w="685" w:type="dxa"/>
            <w:tcBorders>
              <w:top w:val="nil"/>
              <w:left w:val="nil"/>
              <w:bottom w:val="nil"/>
              <w:right w:val="nil"/>
            </w:tcBorders>
            <w:noWrap/>
            <w:vAlign w:val="bottom"/>
            <w:hideMark/>
          </w:tcPr>
          <w:p w14:paraId="4FFC453F"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1BF953F0" w14:textId="77777777" w:rsidR="00096500" w:rsidRPr="009A08A5" w:rsidRDefault="00096500" w:rsidP="00856101">
            <w:pPr>
              <w:spacing w:after="0" w:line="240" w:lineRule="auto"/>
              <w:jc w:val="center"/>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4715CDB1"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440" w:type="dxa"/>
            <w:tcBorders>
              <w:top w:val="nil"/>
              <w:left w:val="nil"/>
              <w:bottom w:val="nil"/>
              <w:right w:val="nil"/>
            </w:tcBorders>
            <w:noWrap/>
            <w:vAlign w:val="bottom"/>
            <w:hideMark/>
          </w:tcPr>
          <w:p w14:paraId="2A80DF49"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2D02C126"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r>
      <w:tr w:rsidR="00096500" w:rsidRPr="009A08A5" w14:paraId="1FEEFA0E" w14:textId="77777777" w:rsidTr="00856101">
        <w:trPr>
          <w:trHeight w:val="240"/>
        </w:trPr>
        <w:tc>
          <w:tcPr>
            <w:tcW w:w="5065" w:type="dxa"/>
            <w:tcBorders>
              <w:top w:val="nil"/>
              <w:left w:val="nil"/>
              <w:bottom w:val="nil"/>
              <w:right w:val="nil"/>
            </w:tcBorders>
            <w:noWrap/>
            <w:vAlign w:val="bottom"/>
            <w:hideMark/>
          </w:tcPr>
          <w:p w14:paraId="0B7349EF"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Own-source revenue</w:t>
            </w:r>
          </w:p>
        </w:tc>
        <w:tc>
          <w:tcPr>
            <w:tcW w:w="685" w:type="dxa"/>
            <w:tcBorders>
              <w:top w:val="nil"/>
              <w:left w:val="nil"/>
              <w:bottom w:val="nil"/>
              <w:right w:val="nil"/>
            </w:tcBorders>
            <w:noWrap/>
            <w:vAlign w:val="bottom"/>
            <w:hideMark/>
          </w:tcPr>
          <w:p w14:paraId="60E80D58"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4154D9A9" w14:textId="77777777" w:rsidR="00096500" w:rsidRPr="009A08A5" w:rsidRDefault="00096500" w:rsidP="00856101">
            <w:pPr>
              <w:spacing w:after="0" w:line="240" w:lineRule="auto"/>
              <w:jc w:val="center"/>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6F2F096D"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440" w:type="dxa"/>
            <w:tcBorders>
              <w:top w:val="nil"/>
              <w:left w:val="nil"/>
              <w:bottom w:val="nil"/>
              <w:right w:val="nil"/>
            </w:tcBorders>
            <w:noWrap/>
            <w:vAlign w:val="bottom"/>
            <w:hideMark/>
          </w:tcPr>
          <w:p w14:paraId="7A897D0D"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078F4FA4"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r>
      <w:tr w:rsidR="00096500" w:rsidRPr="009A08A5" w14:paraId="7CBAC25E" w14:textId="77777777" w:rsidTr="00856101">
        <w:trPr>
          <w:trHeight w:val="240"/>
        </w:trPr>
        <w:tc>
          <w:tcPr>
            <w:tcW w:w="5065" w:type="dxa"/>
            <w:tcBorders>
              <w:top w:val="nil"/>
              <w:left w:val="nil"/>
              <w:bottom w:val="nil"/>
              <w:right w:val="nil"/>
            </w:tcBorders>
            <w:shd w:val="clear" w:color="000000" w:fill="FFFFFF"/>
            <w:hideMark/>
          </w:tcPr>
          <w:p w14:paraId="2DFBBCC2"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Revenue from contracts with customers</w:t>
            </w:r>
          </w:p>
        </w:tc>
        <w:tc>
          <w:tcPr>
            <w:tcW w:w="685" w:type="dxa"/>
            <w:tcBorders>
              <w:top w:val="nil"/>
              <w:left w:val="nil"/>
              <w:bottom w:val="nil"/>
              <w:right w:val="nil"/>
            </w:tcBorders>
            <w:shd w:val="clear" w:color="000000" w:fill="FFFFFF"/>
            <w:noWrap/>
            <w:vAlign w:val="bottom"/>
            <w:hideMark/>
          </w:tcPr>
          <w:p w14:paraId="2D8537DE" w14:textId="77777777" w:rsidR="00096500" w:rsidRPr="009A08A5"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53" w:anchor="FPE1.2!C8" w:history="1">
              <w:r w:rsidRPr="009A08A5">
                <w:rPr>
                  <w:rFonts w:ascii="Times New Roman" w:eastAsia="Times New Roman" w:hAnsi="Times New Roman" w:cs="Times New Roman"/>
                  <w:color w:val="0000FF"/>
                  <w:sz w:val="18"/>
                  <w:szCs w:val="18"/>
                  <w:u w:val="single"/>
                  <w:lang w:eastAsia="en-AU"/>
                </w:rPr>
                <w:t>1.2A</w:t>
              </w:r>
            </w:hyperlink>
          </w:p>
        </w:tc>
        <w:tc>
          <w:tcPr>
            <w:tcW w:w="791" w:type="dxa"/>
            <w:tcBorders>
              <w:top w:val="nil"/>
              <w:left w:val="nil"/>
              <w:bottom w:val="nil"/>
              <w:right w:val="nil"/>
            </w:tcBorders>
            <w:noWrap/>
            <w:vAlign w:val="bottom"/>
            <w:hideMark/>
          </w:tcPr>
          <w:p w14:paraId="6ABD0DDF"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689 </w:t>
            </w:r>
          </w:p>
        </w:tc>
        <w:tc>
          <w:tcPr>
            <w:tcW w:w="752" w:type="dxa"/>
            <w:tcBorders>
              <w:top w:val="nil"/>
              <w:left w:val="nil"/>
              <w:bottom w:val="nil"/>
              <w:right w:val="nil"/>
            </w:tcBorders>
            <w:shd w:val="clear" w:color="000000" w:fill="FFFFFF"/>
            <w:noWrap/>
            <w:vAlign w:val="bottom"/>
            <w:hideMark/>
          </w:tcPr>
          <w:p w14:paraId="71CA1620"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433 </w:t>
            </w:r>
          </w:p>
        </w:tc>
        <w:tc>
          <w:tcPr>
            <w:tcW w:w="440" w:type="dxa"/>
            <w:tcBorders>
              <w:top w:val="nil"/>
              <w:left w:val="nil"/>
              <w:bottom w:val="nil"/>
              <w:right w:val="nil"/>
            </w:tcBorders>
            <w:shd w:val="clear" w:color="000000" w:fill="FFFFFF"/>
            <w:noWrap/>
            <w:vAlign w:val="bottom"/>
            <w:hideMark/>
          </w:tcPr>
          <w:p w14:paraId="70BFBBF7"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nil"/>
              <w:left w:val="nil"/>
              <w:bottom w:val="nil"/>
              <w:right w:val="nil"/>
            </w:tcBorders>
            <w:noWrap/>
            <w:vAlign w:val="bottom"/>
            <w:hideMark/>
          </w:tcPr>
          <w:p w14:paraId="069AD3C4"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1,000 </w:t>
            </w:r>
          </w:p>
        </w:tc>
      </w:tr>
      <w:tr w:rsidR="00096500" w:rsidRPr="009A08A5" w14:paraId="7D74FB92" w14:textId="77777777" w:rsidTr="00856101">
        <w:trPr>
          <w:trHeight w:val="240"/>
        </w:trPr>
        <w:tc>
          <w:tcPr>
            <w:tcW w:w="5065" w:type="dxa"/>
            <w:tcBorders>
              <w:top w:val="nil"/>
              <w:left w:val="nil"/>
              <w:bottom w:val="nil"/>
              <w:right w:val="nil"/>
            </w:tcBorders>
            <w:hideMark/>
          </w:tcPr>
          <w:p w14:paraId="23BF8AE2"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Resources received free of charge</w:t>
            </w:r>
          </w:p>
        </w:tc>
        <w:tc>
          <w:tcPr>
            <w:tcW w:w="685" w:type="dxa"/>
            <w:tcBorders>
              <w:top w:val="nil"/>
              <w:left w:val="nil"/>
              <w:bottom w:val="nil"/>
              <w:right w:val="nil"/>
            </w:tcBorders>
            <w:noWrap/>
            <w:vAlign w:val="bottom"/>
            <w:hideMark/>
          </w:tcPr>
          <w:p w14:paraId="063FC7F6" w14:textId="77777777" w:rsidR="00096500" w:rsidRPr="009A08A5"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54" w:anchor="FPE1.2!C51" w:history="1">
              <w:r w:rsidRPr="009A08A5">
                <w:rPr>
                  <w:rFonts w:ascii="Times New Roman" w:eastAsia="Times New Roman" w:hAnsi="Times New Roman" w:cs="Times New Roman"/>
                  <w:color w:val="0000FF"/>
                  <w:sz w:val="18"/>
                  <w:szCs w:val="18"/>
                  <w:u w:val="single"/>
                  <w:lang w:eastAsia="en-AU"/>
                </w:rPr>
                <w:t>1.2B</w:t>
              </w:r>
            </w:hyperlink>
          </w:p>
        </w:tc>
        <w:tc>
          <w:tcPr>
            <w:tcW w:w="791" w:type="dxa"/>
            <w:tcBorders>
              <w:top w:val="nil"/>
              <w:left w:val="nil"/>
              <w:bottom w:val="nil"/>
              <w:right w:val="nil"/>
            </w:tcBorders>
            <w:noWrap/>
            <w:vAlign w:val="bottom"/>
            <w:hideMark/>
          </w:tcPr>
          <w:p w14:paraId="57E6E342"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23,540 </w:t>
            </w:r>
          </w:p>
        </w:tc>
        <w:tc>
          <w:tcPr>
            <w:tcW w:w="752" w:type="dxa"/>
            <w:tcBorders>
              <w:top w:val="nil"/>
              <w:left w:val="nil"/>
              <w:bottom w:val="nil"/>
              <w:right w:val="nil"/>
            </w:tcBorders>
            <w:noWrap/>
            <w:vAlign w:val="bottom"/>
            <w:hideMark/>
          </w:tcPr>
          <w:p w14:paraId="4FA95256"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22,823 </w:t>
            </w:r>
          </w:p>
        </w:tc>
        <w:tc>
          <w:tcPr>
            <w:tcW w:w="440" w:type="dxa"/>
            <w:tcBorders>
              <w:top w:val="nil"/>
              <w:left w:val="nil"/>
              <w:bottom w:val="nil"/>
              <w:right w:val="nil"/>
            </w:tcBorders>
            <w:noWrap/>
            <w:vAlign w:val="bottom"/>
            <w:hideMark/>
          </w:tcPr>
          <w:p w14:paraId="2DC894A5"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02FB4AE6"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20,354 </w:t>
            </w:r>
          </w:p>
        </w:tc>
      </w:tr>
      <w:tr w:rsidR="00096500" w:rsidRPr="009A08A5" w14:paraId="10ED9056" w14:textId="77777777" w:rsidTr="00856101">
        <w:trPr>
          <w:trHeight w:val="240"/>
        </w:trPr>
        <w:tc>
          <w:tcPr>
            <w:tcW w:w="5065" w:type="dxa"/>
            <w:tcBorders>
              <w:top w:val="nil"/>
              <w:left w:val="nil"/>
              <w:bottom w:val="nil"/>
              <w:right w:val="nil"/>
            </w:tcBorders>
            <w:shd w:val="clear" w:color="000000" w:fill="FFFFFF"/>
            <w:hideMark/>
          </w:tcPr>
          <w:p w14:paraId="0BE3FBB8"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Interest</w:t>
            </w:r>
          </w:p>
        </w:tc>
        <w:tc>
          <w:tcPr>
            <w:tcW w:w="685" w:type="dxa"/>
            <w:tcBorders>
              <w:top w:val="nil"/>
              <w:left w:val="nil"/>
              <w:bottom w:val="nil"/>
              <w:right w:val="nil"/>
            </w:tcBorders>
            <w:shd w:val="clear" w:color="000000" w:fill="FFFFFF"/>
            <w:noWrap/>
            <w:vAlign w:val="bottom"/>
            <w:hideMark/>
          </w:tcPr>
          <w:p w14:paraId="443C66A2" w14:textId="77777777" w:rsidR="00096500" w:rsidRPr="009A08A5"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p>
        </w:tc>
        <w:tc>
          <w:tcPr>
            <w:tcW w:w="791" w:type="dxa"/>
            <w:tcBorders>
              <w:top w:val="nil"/>
              <w:left w:val="nil"/>
              <w:bottom w:val="nil"/>
              <w:right w:val="nil"/>
            </w:tcBorders>
            <w:noWrap/>
            <w:vAlign w:val="bottom"/>
            <w:hideMark/>
          </w:tcPr>
          <w:p w14:paraId="5C3A35CF"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3,238 </w:t>
            </w:r>
          </w:p>
        </w:tc>
        <w:tc>
          <w:tcPr>
            <w:tcW w:w="752" w:type="dxa"/>
            <w:tcBorders>
              <w:top w:val="nil"/>
              <w:left w:val="nil"/>
              <w:bottom w:val="nil"/>
              <w:right w:val="nil"/>
            </w:tcBorders>
            <w:shd w:val="clear" w:color="000000" w:fill="FFFFFF"/>
            <w:noWrap/>
            <w:vAlign w:val="bottom"/>
            <w:hideMark/>
          </w:tcPr>
          <w:p w14:paraId="402F21B0"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2,377 </w:t>
            </w:r>
          </w:p>
        </w:tc>
        <w:tc>
          <w:tcPr>
            <w:tcW w:w="440" w:type="dxa"/>
            <w:tcBorders>
              <w:top w:val="nil"/>
              <w:left w:val="nil"/>
              <w:bottom w:val="nil"/>
              <w:right w:val="nil"/>
            </w:tcBorders>
            <w:shd w:val="clear" w:color="000000" w:fill="FFFFFF"/>
            <w:noWrap/>
            <w:vAlign w:val="bottom"/>
            <w:hideMark/>
          </w:tcPr>
          <w:p w14:paraId="6B2C2E75"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nil"/>
              <w:left w:val="nil"/>
              <w:bottom w:val="nil"/>
              <w:right w:val="nil"/>
            </w:tcBorders>
            <w:noWrap/>
            <w:vAlign w:val="bottom"/>
            <w:hideMark/>
          </w:tcPr>
          <w:p w14:paraId="18FF3053"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1,800 </w:t>
            </w:r>
          </w:p>
        </w:tc>
      </w:tr>
      <w:tr w:rsidR="00096500" w:rsidRPr="009A08A5" w14:paraId="2F10A9E3" w14:textId="77777777" w:rsidTr="00856101">
        <w:trPr>
          <w:trHeight w:val="240"/>
        </w:trPr>
        <w:tc>
          <w:tcPr>
            <w:tcW w:w="5065" w:type="dxa"/>
            <w:tcBorders>
              <w:top w:val="nil"/>
              <w:left w:val="nil"/>
              <w:bottom w:val="nil"/>
              <w:right w:val="nil"/>
            </w:tcBorders>
            <w:shd w:val="clear" w:color="000000" w:fill="FFFFFF"/>
            <w:hideMark/>
          </w:tcPr>
          <w:p w14:paraId="04C6DEDB"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Other revenue</w:t>
            </w:r>
          </w:p>
        </w:tc>
        <w:tc>
          <w:tcPr>
            <w:tcW w:w="685" w:type="dxa"/>
            <w:tcBorders>
              <w:top w:val="nil"/>
              <w:left w:val="nil"/>
              <w:bottom w:val="nil"/>
              <w:right w:val="nil"/>
            </w:tcBorders>
            <w:shd w:val="clear" w:color="000000" w:fill="FFFFFF"/>
            <w:noWrap/>
            <w:vAlign w:val="bottom"/>
            <w:hideMark/>
          </w:tcPr>
          <w:p w14:paraId="5C602018" w14:textId="77777777" w:rsidR="00096500" w:rsidRPr="009A08A5"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r w:rsidRPr="009A08A5">
              <w:rPr>
                <w:rFonts w:ascii="Times New Roman" w:eastAsia="Times New Roman" w:hAnsi="Times New Roman" w:cs="Times New Roman"/>
                <w:color w:val="0000FF"/>
                <w:sz w:val="18"/>
                <w:szCs w:val="18"/>
                <w:u w:val="single"/>
                <w:lang w:eastAsia="en-AU"/>
              </w:rPr>
              <w:t>1.2C</w:t>
            </w:r>
          </w:p>
        </w:tc>
        <w:tc>
          <w:tcPr>
            <w:tcW w:w="791" w:type="dxa"/>
            <w:tcBorders>
              <w:top w:val="nil"/>
              <w:left w:val="nil"/>
              <w:bottom w:val="nil"/>
              <w:right w:val="nil"/>
            </w:tcBorders>
            <w:noWrap/>
            <w:vAlign w:val="bottom"/>
            <w:hideMark/>
          </w:tcPr>
          <w:p w14:paraId="6EBC1CD2"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14 </w:t>
            </w:r>
          </w:p>
        </w:tc>
        <w:tc>
          <w:tcPr>
            <w:tcW w:w="752" w:type="dxa"/>
            <w:tcBorders>
              <w:top w:val="nil"/>
              <w:left w:val="nil"/>
              <w:bottom w:val="nil"/>
              <w:right w:val="nil"/>
            </w:tcBorders>
            <w:shd w:val="clear" w:color="000000" w:fill="FFFFFF"/>
            <w:noWrap/>
            <w:vAlign w:val="bottom"/>
            <w:hideMark/>
          </w:tcPr>
          <w:p w14:paraId="41AA97E7"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 - </w:t>
            </w:r>
          </w:p>
        </w:tc>
        <w:tc>
          <w:tcPr>
            <w:tcW w:w="440" w:type="dxa"/>
            <w:tcBorders>
              <w:top w:val="nil"/>
              <w:left w:val="nil"/>
              <w:bottom w:val="nil"/>
              <w:right w:val="nil"/>
            </w:tcBorders>
            <w:shd w:val="clear" w:color="000000" w:fill="FFFFFF"/>
            <w:noWrap/>
            <w:vAlign w:val="bottom"/>
            <w:hideMark/>
          </w:tcPr>
          <w:p w14:paraId="48925D3F"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nil"/>
              <w:left w:val="nil"/>
              <w:bottom w:val="nil"/>
              <w:right w:val="nil"/>
            </w:tcBorders>
            <w:noWrap/>
            <w:vAlign w:val="bottom"/>
            <w:hideMark/>
          </w:tcPr>
          <w:p w14:paraId="32101C0B"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 - </w:t>
            </w:r>
          </w:p>
        </w:tc>
      </w:tr>
      <w:tr w:rsidR="00096500" w:rsidRPr="009A08A5" w14:paraId="6CBDC008" w14:textId="77777777" w:rsidTr="00856101">
        <w:trPr>
          <w:trHeight w:val="240"/>
        </w:trPr>
        <w:tc>
          <w:tcPr>
            <w:tcW w:w="5065" w:type="dxa"/>
            <w:tcBorders>
              <w:top w:val="nil"/>
              <w:left w:val="nil"/>
              <w:bottom w:val="nil"/>
              <w:right w:val="nil"/>
            </w:tcBorders>
            <w:shd w:val="clear" w:color="000000" w:fill="FFFFFF"/>
            <w:noWrap/>
            <w:vAlign w:val="bottom"/>
            <w:hideMark/>
          </w:tcPr>
          <w:p w14:paraId="2D5245C7"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Total own-source revenue</w:t>
            </w:r>
          </w:p>
        </w:tc>
        <w:tc>
          <w:tcPr>
            <w:tcW w:w="685" w:type="dxa"/>
            <w:tcBorders>
              <w:top w:val="nil"/>
              <w:left w:val="nil"/>
              <w:bottom w:val="nil"/>
              <w:right w:val="nil"/>
            </w:tcBorders>
            <w:shd w:val="clear" w:color="000000" w:fill="FFFFFF"/>
            <w:noWrap/>
            <w:vAlign w:val="bottom"/>
            <w:hideMark/>
          </w:tcPr>
          <w:p w14:paraId="484BB4BD" w14:textId="77777777" w:rsidR="00096500" w:rsidRPr="009A08A5"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791" w:type="dxa"/>
            <w:tcBorders>
              <w:top w:val="single" w:sz="4" w:space="0" w:color="auto"/>
              <w:left w:val="nil"/>
              <w:bottom w:val="single" w:sz="4" w:space="0" w:color="auto"/>
              <w:right w:val="nil"/>
            </w:tcBorders>
            <w:noWrap/>
            <w:vAlign w:val="bottom"/>
            <w:hideMark/>
          </w:tcPr>
          <w:p w14:paraId="1B61A183"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27,481 </w:t>
            </w:r>
          </w:p>
        </w:tc>
        <w:tc>
          <w:tcPr>
            <w:tcW w:w="752" w:type="dxa"/>
            <w:tcBorders>
              <w:top w:val="single" w:sz="4" w:space="0" w:color="auto"/>
              <w:left w:val="nil"/>
              <w:bottom w:val="single" w:sz="4" w:space="0" w:color="auto"/>
              <w:right w:val="nil"/>
            </w:tcBorders>
            <w:shd w:val="clear" w:color="000000" w:fill="FFFFFF"/>
            <w:noWrap/>
            <w:vAlign w:val="bottom"/>
            <w:hideMark/>
          </w:tcPr>
          <w:p w14:paraId="0B7DD2D2"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25,633 </w:t>
            </w:r>
          </w:p>
        </w:tc>
        <w:tc>
          <w:tcPr>
            <w:tcW w:w="440" w:type="dxa"/>
            <w:tcBorders>
              <w:top w:val="nil"/>
              <w:left w:val="nil"/>
              <w:bottom w:val="nil"/>
              <w:right w:val="nil"/>
            </w:tcBorders>
            <w:shd w:val="clear" w:color="000000" w:fill="FFFFFF"/>
            <w:noWrap/>
            <w:vAlign w:val="bottom"/>
            <w:hideMark/>
          </w:tcPr>
          <w:p w14:paraId="750D668D"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single" w:sz="4" w:space="0" w:color="auto"/>
              <w:left w:val="nil"/>
              <w:bottom w:val="single" w:sz="4" w:space="0" w:color="auto"/>
              <w:right w:val="nil"/>
            </w:tcBorders>
            <w:noWrap/>
            <w:vAlign w:val="bottom"/>
            <w:hideMark/>
          </w:tcPr>
          <w:p w14:paraId="1E242C21"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23,154 </w:t>
            </w:r>
          </w:p>
        </w:tc>
      </w:tr>
      <w:tr w:rsidR="00096500" w:rsidRPr="009A08A5" w14:paraId="469A439B" w14:textId="77777777" w:rsidTr="00856101">
        <w:trPr>
          <w:trHeight w:val="240"/>
        </w:trPr>
        <w:tc>
          <w:tcPr>
            <w:tcW w:w="5065" w:type="dxa"/>
            <w:tcBorders>
              <w:top w:val="nil"/>
              <w:left w:val="nil"/>
              <w:bottom w:val="nil"/>
              <w:right w:val="nil"/>
            </w:tcBorders>
            <w:shd w:val="clear" w:color="000000" w:fill="FFFFFF"/>
            <w:noWrap/>
            <w:vAlign w:val="bottom"/>
            <w:hideMark/>
          </w:tcPr>
          <w:p w14:paraId="467CEF23"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685" w:type="dxa"/>
            <w:tcBorders>
              <w:top w:val="nil"/>
              <w:left w:val="nil"/>
              <w:bottom w:val="nil"/>
              <w:right w:val="nil"/>
            </w:tcBorders>
            <w:shd w:val="clear" w:color="000000" w:fill="FFFFFF"/>
            <w:noWrap/>
            <w:vAlign w:val="bottom"/>
            <w:hideMark/>
          </w:tcPr>
          <w:p w14:paraId="41EEF1D9" w14:textId="77777777" w:rsidR="00096500" w:rsidRPr="009A08A5"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791" w:type="dxa"/>
            <w:tcBorders>
              <w:top w:val="nil"/>
              <w:left w:val="nil"/>
              <w:bottom w:val="nil"/>
              <w:right w:val="nil"/>
            </w:tcBorders>
            <w:noWrap/>
            <w:vAlign w:val="bottom"/>
            <w:hideMark/>
          </w:tcPr>
          <w:p w14:paraId="06C0ED66" w14:textId="77777777" w:rsidR="00096500" w:rsidRPr="009A08A5"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752" w:type="dxa"/>
            <w:tcBorders>
              <w:top w:val="nil"/>
              <w:left w:val="nil"/>
              <w:bottom w:val="nil"/>
              <w:right w:val="nil"/>
            </w:tcBorders>
            <w:shd w:val="clear" w:color="000000" w:fill="FFFFFF"/>
            <w:noWrap/>
            <w:vAlign w:val="bottom"/>
            <w:hideMark/>
          </w:tcPr>
          <w:p w14:paraId="3260142F"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440" w:type="dxa"/>
            <w:tcBorders>
              <w:top w:val="nil"/>
              <w:left w:val="nil"/>
              <w:bottom w:val="nil"/>
              <w:right w:val="nil"/>
            </w:tcBorders>
            <w:shd w:val="clear" w:color="000000" w:fill="FFFFFF"/>
            <w:noWrap/>
            <w:vAlign w:val="bottom"/>
            <w:hideMark/>
          </w:tcPr>
          <w:p w14:paraId="2AF31668"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nil"/>
              <w:left w:val="nil"/>
              <w:bottom w:val="nil"/>
              <w:right w:val="nil"/>
            </w:tcBorders>
            <w:noWrap/>
            <w:vAlign w:val="bottom"/>
            <w:hideMark/>
          </w:tcPr>
          <w:p w14:paraId="4AAF6A9F"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r>
      <w:tr w:rsidR="00096500" w:rsidRPr="009A08A5" w14:paraId="799FF581" w14:textId="77777777" w:rsidTr="00856101">
        <w:trPr>
          <w:trHeight w:val="228"/>
        </w:trPr>
        <w:tc>
          <w:tcPr>
            <w:tcW w:w="5065" w:type="dxa"/>
            <w:tcBorders>
              <w:top w:val="nil"/>
              <w:left w:val="nil"/>
              <w:bottom w:val="nil"/>
              <w:right w:val="nil"/>
            </w:tcBorders>
            <w:shd w:val="clear" w:color="000000" w:fill="FFFFFF"/>
            <w:noWrap/>
            <w:vAlign w:val="bottom"/>
            <w:hideMark/>
          </w:tcPr>
          <w:p w14:paraId="27207617"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Total gains</w:t>
            </w:r>
          </w:p>
        </w:tc>
        <w:tc>
          <w:tcPr>
            <w:tcW w:w="685" w:type="dxa"/>
            <w:tcBorders>
              <w:top w:val="nil"/>
              <w:left w:val="nil"/>
              <w:bottom w:val="nil"/>
              <w:right w:val="nil"/>
            </w:tcBorders>
            <w:shd w:val="clear" w:color="000000" w:fill="FFFFFF"/>
            <w:noWrap/>
            <w:vAlign w:val="bottom"/>
            <w:hideMark/>
          </w:tcPr>
          <w:p w14:paraId="235F0F99" w14:textId="77777777" w:rsidR="00096500" w:rsidRPr="009A08A5"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791" w:type="dxa"/>
            <w:tcBorders>
              <w:top w:val="single" w:sz="4" w:space="0" w:color="auto"/>
              <w:left w:val="nil"/>
              <w:bottom w:val="single" w:sz="4" w:space="0" w:color="auto"/>
              <w:right w:val="nil"/>
            </w:tcBorders>
            <w:noWrap/>
            <w:vAlign w:val="bottom"/>
            <w:hideMark/>
          </w:tcPr>
          <w:p w14:paraId="10E61FC0"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 - </w:t>
            </w:r>
          </w:p>
        </w:tc>
        <w:tc>
          <w:tcPr>
            <w:tcW w:w="752" w:type="dxa"/>
            <w:tcBorders>
              <w:top w:val="single" w:sz="4" w:space="0" w:color="auto"/>
              <w:left w:val="nil"/>
              <w:bottom w:val="single" w:sz="4" w:space="0" w:color="auto"/>
              <w:right w:val="nil"/>
            </w:tcBorders>
            <w:shd w:val="clear" w:color="000000" w:fill="FFFFFF"/>
            <w:noWrap/>
            <w:vAlign w:val="bottom"/>
            <w:hideMark/>
          </w:tcPr>
          <w:p w14:paraId="675CC0F2"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 - </w:t>
            </w:r>
          </w:p>
        </w:tc>
        <w:tc>
          <w:tcPr>
            <w:tcW w:w="440" w:type="dxa"/>
            <w:tcBorders>
              <w:top w:val="nil"/>
              <w:left w:val="nil"/>
              <w:bottom w:val="nil"/>
              <w:right w:val="nil"/>
            </w:tcBorders>
            <w:shd w:val="clear" w:color="000000" w:fill="FFFFFF"/>
            <w:noWrap/>
            <w:vAlign w:val="bottom"/>
            <w:hideMark/>
          </w:tcPr>
          <w:p w14:paraId="6C62E698"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single" w:sz="4" w:space="0" w:color="auto"/>
              <w:left w:val="nil"/>
              <w:bottom w:val="single" w:sz="4" w:space="0" w:color="auto"/>
              <w:right w:val="nil"/>
            </w:tcBorders>
            <w:noWrap/>
            <w:vAlign w:val="bottom"/>
            <w:hideMark/>
          </w:tcPr>
          <w:p w14:paraId="29353787"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 - </w:t>
            </w:r>
          </w:p>
        </w:tc>
      </w:tr>
      <w:tr w:rsidR="00096500" w:rsidRPr="009A08A5" w14:paraId="3736F9D4" w14:textId="77777777" w:rsidTr="00856101">
        <w:trPr>
          <w:trHeight w:val="240"/>
        </w:trPr>
        <w:tc>
          <w:tcPr>
            <w:tcW w:w="5065" w:type="dxa"/>
            <w:tcBorders>
              <w:top w:val="nil"/>
              <w:left w:val="nil"/>
              <w:bottom w:val="nil"/>
              <w:right w:val="nil"/>
            </w:tcBorders>
            <w:vAlign w:val="bottom"/>
            <w:hideMark/>
          </w:tcPr>
          <w:p w14:paraId="089A504D"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Total own-source income</w:t>
            </w:r>
          </w:p>
        </w:tc>
        <w:tc>
          <w:tcPr>
            <w:tcW w:w="685" w:type="dxa"/>
            <w:tcBorders>
              <w:top w:val="nil"/>
              <w:left w:val="nil"/>
              <w:bottom w:val="nil"/>
              <w:right w:val="nil"/>
            </w:tcBorders>
            <w:noWrap/>
            <w:vAlign w:val="bottom"/>
            <w:hideMark/>
          </w:tcPr>
          <w:p w14:paraId="230745F5"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single" w:sz="4" w:space="0" w:color="auto"/>
              <w:right w:val="nil"/>
            </w:tcBorders>
            <w:noWrap/>
            <w:vAlign w:val="bottom"/>
            <w:hideMark/>
          </w:tcPr>
          <w:p w14:paraId="69139361"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27,481 </w:t>
            </w:r>
          </w:p>
        </w:tc>
        <w:tc>
          <w:tcPr>
            <w:tcW w:w="752" w:type="dxa"/>
            <w:tcBorders>
              <w:top w:val="nil"/>
              <w:left w:val="nil"/>
              <w:bottom w:val="single" w:sz="4" w:space="0" w:color="auto"/>
              <w:right w:val="nil"/>
            </w:tcBorders>
            <w:noWrap/>
            <w:vAlign w:val="bottom"/>
            <w:hideMark/>
          </w:tcPr>
          <w:p w14:paraId="2F09E61A"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25,633 </w:t>
            </w:r>
          </w:p>
        </w:tc>
        <w:tc>
          <w:tcPr>
            <w:tcW w:w="440" w:type="dxa"/>
            <w:tcBorders>
              <w:top w:val="nil"/>
              <w:left w:val="nil"/>
              <w:bottom w:val="nil"/>
              <w:right w:val="nil"/>
            </w:tcBorders>
            <w:noWrap/>
            <w:vAlign w:val="bottom"/>
            <w:hideMark/>
          </w:tcPr>
          <w:p w14:paraId="29CD4292"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single" w:sz="4" w:space="0" w:color="auto"/>
              <w:right w:val="nil"/>
            </w:tcBorders>
            <w:noWrap/>
            <w:vAlign w:val="bottom"/>
            <w:hideMark/>
          </w:tcPr>
          <w:p w14:paraId="427FADAF"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23,154 </w:t>
            </w:r>
          </w:p>
        </w:tc>
      </w:tr>
      <w:tr w:rsidR="00096500" w:rsidRPr="009A08A5" w14:paraId="5BE9051E" w14:textId="77777777" w:rsidTr="00856101">
        <w:trPr>
          <w:trHeight w:val="228"/>
        </w:trPr>
        <w:tc>
          <w:tcPr>
            <w:tcW w:w="5065" w:type="dxa"/>
            <w:tcBorders>
              <w:top w:val="nil"/>
              <w:left w:val="nil"/>
              <w:bottom w:val="nil"/>
              <w:right w:val="nil"/>
            </w:tcBorders>
            <w:vAlign w:val="bottom"/>
            <w:hideMark/>
          </w:tcPr>
          <w:p w14:paraId="531AF908"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Net cost of services</w:t>
            </w:r>
          </w:p>
        </w:tc>
        <w:tc>
          <w:tcPr>
            <w:tcW w:w="685" w:type="dxa"/>
            <w:tcBorders>
              <w:top w:val="nil"/>
              <w:left w:val="nil"/>
              <w:bottom w:val="nil"/>
              <w:right w:val="nil"/>
            </w:tcBorders>
            <w:noWrap/>
            <w:vAlign w:val="bottom"/>
            <w:hideMark/>
          </w:tcPr>
          <w:p w14:paraId="4CD07887"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single" w:sz="4" w:space="0" w:color="auto"/>
              <w:right w:val="nil"/>
            </w:tcBorders>
            <w:noWrap/>
            <w:vAlign w:val="bottom"/>
            <w:hideMark/>
          </w:tcPr>
          <w:p w14:paraId="74ACBDF6"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33,772 </w:t>
            </w:r>
          </w:p>
        </w:tc>
        <w:tc>
          <w:tcPr>
            <w:tcW w:w="752" w:type="dxa"/>
            <w:tcBorders>
              <w:top w:val="nil"/>
              <w:left w:val="nil"/>
              <w:bottom w:val="single" w:sz="4" w:space="0" w:color="auto"/>
              <w:right w:val="nil"/>
            </w:tcBorders>
            <w:noWrap/>
            <w:vAlign w:val="bottom"/>
            <w:hideMark/>
          </w:tcPr>
          <w:p w14:paraId="22008E4A"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29,235 </w:t>
            </w:r>
          </w:p>
        </w:tc>
        <w:tc>
          <w:tcPr>
            <w:tcW w:w="440" w:type="dxa"/>
            <w:tcBorders>
              <w:top w:val="nil"/>
              <w:left w:val="nil"/>
              <w:bottom w:val="nil"/>
              <w:right w:val="nil"/>
            </w:tcBorders>
            <w:noWrap/>
            <w:vAlign w:val="bottom"/>
            <w:hideMark/>
          </w:tcPr>
          <w:p w14:paraId="0A5F738B"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single" w:sz="4" w:space="0" w:color="auto"/>
              <w:right w:val="nil"/>
            </w:tcBorders>
            <w:noWrap/>
            <w:vAlign w:val="bottom"/>
            <w:hideMark/>
          </w:tcPr>
          <w:p w14:paraId="0AE059FD"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55,547 </w:t>
            </w:r>
          </w:p>
        </w:tc>
      </w:tr>
      <w:tr w:rsidR="00096500" w:rsidRPr="009A08A5" w14:paraId="27401BB6" w14:textId="77777777" w:rsidTr="00856101">
        <w:trPr>
          <w:trHeight w:val="540"/>
        </w:trPr>
        <w:tc>
          <w:tcPr>
            <w:tcW w:w="5065" w:type="dxa"/>
            <w:tcBorders>
              <w:top w:val="nil"/>
              <w:left w:val="nil"/>
              <w:bottom w:val="nil"/>
              <w:right w:val="nil"/>
            </w:tcBorders>
            <w:vAlign w:val="bottom"/>
            <w:hideMark/>
          </w:tcPr>
          <w:p w14:paraId="1576314F"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Revenue from Government</w:t>
            </w:r>
          </w:p>
        </w:tc>
        <w:tc>
          <w:tcPr>
            <w:tcW w:w="685" w:type="dxa"/>
            <w:tcBorders>
              <w:top w:val="nil"/>
              <w:left w:val="nil"/>
              <w:bottom w:val="nil"/>
              <w:right w:val="nil"/>
            </w:tcBorders>
            <w:noWrap/>
            <w:vAlign w:val="bottom"/>
            <w:hideMark/>
          </w:tcPr>
          <w:p w14:paraId="724E5C44" w14:textId="77777777" w:rsidR="00096500" w:rsidRPr="009A08A5"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55" w:anchor="FPE1.2!C75" w:history="1">
              <w:r w:rsidRPr="009A08A5">
                <w:rPr>
                  <w:rFonts w:ascii="Times New Roman" w:eastAsia="Times New Roman" w:hAnsi="Times New Roman" w:cs="Times New Roman"/>
                  <w:color w:val="0000FF"/>
                  <w:sz w:val="18"/>
                  <w:szCs w:val="18"/>
                  <w:u w:val="single"/>
                  <w:lang w:eastAsia="en-AU"/>
                </w:rPr>
                <w:t>1.2D</w:t>
              </w:r>
            </w:hyperlink>
          </w:p>
        </w:tc>
        <w:tc>
          <w:tcPr>
            <w:tcW w:w="791" w:type="dxa"/>
            <w:tcBorders>
              <w:top w:val="nil"/>
              <w:left w:val="nil"/>
              <w:bottom w:val="nil"/>
              <w:right w:val="nil"/>
            </w:tcBorders>
            <w:noWrap/>
            <w:vAlign w:val="bottom"/>
            <w:hideMark/>
          </w:tcPr>
          <w:p w14:paraId="4336A23A"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52,208 </w:t>
            </w:r>
          </w:p>
        </w:tc>
        <w:tc>
          <w:tcPr>
            <w:tcW w:w="752" w:type="dxa"/>
            <w:tcBorders>
              <w:top w:val="nil"/>
              <w:left w:val="nil"/>
              <w:bottom w:val="nil"/>
              <w:right w:val="nil"/>
            </w:tcBorders>
            <w:noWrap/>
            <w:vAlign w:val="bottom"/>
            <w:hideMark/>
          </w:tcPr>
          <w:p w14:paraId="21FA58EC"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57,414 </w:t>
            </w:r>
          </w:p>
        </w:tc>
        <w:tc>
          <w:tcPr>
            <w:tcW w:w="440" w:type="dxa"/>
            <w:tcBorders>
              <w:top w:val="nil"/>
              <w:left w:val="nil"/>
              <w:bottom w:val="nil"/>
              <w:right w:val="nil"/>
            </w:tcBorders>
            <w:noWrap/>
            <w:vAlign w:val="bottom"/>
            <w:hideMark/>
          </w:tcPr>
          <w:p w14:paraId="1C322503"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4AC29E4F"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55,291 </w:t>
            </w:r>
          </w:p>
        </w:tc>
      </w:tr>
      <w:tr w:rsidR="00096500" w:rsidRPr="009A08A5" w14:paraId="7360386B" w14:textId="77777777" w:rsidTr="00856101">
        <w:trPr>
          <w:trHeight w:val="228"/>
        </w:trPr>
        <w:tc>
          <w:tcPr>
            <w:tcW w:w="5065" w:type="dxa"/>
            <w:tcBorders>
              <w:top w:val="nil"/>
              <w:left w:val="nil"/>
              <w:bottom w:val="nil"/>
              <w:right w:val="nil"/>
            </w:tcBorders>
            <w:vAlign w:val="bottom"/>
            <w:hideMark/>
          </w:tcPr>
          <w:p w14:paraId="6173D4E1"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Surplus / (Deficit)</w:t>
            </w:r>
          </w:p>
        </w:tc>
        <w:tc>
          <w:tcPr>
            <w:tcW w:w="685" w:type="dxa"/>
            <w:tcBorders>
              <w:top w:val="nil"/>
              <w:left w:val="nil"/>
              <w:bottom w:val="nil"/>
              <w:right w:val="nil"/>
            </w:tcBorders>
            <w:noWrap/>
            <w:vAlign w:val="bottom"/>
            <w:hideMark/>
          </w:tcPr>
          <w:p w14:paraId="33BAABAF"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single" w:sz="4" w:space="0" w:color="auto"/>
              <w:left w:val="nil"/>
              <w:bottom w:val="single" w:sz="4" w:space="0" w:color="auto"/>
              <w:right w:val="nil"/>
            </w:tcBorders>
            <w:noWrap/>
            <w:vAlign w:val="bottom"/>
            <w:hideMark/>
          </w:tcPr>
          <w:p w14:paraId="1B591A4A"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18,436 </w:t>
            </w:r>
          </w:p>
        </w:tc>
        <w:tc>
          <w:tcPr>
            <w:tcW w:w="752" w:type="dxa"/>
            <w:tcBorders>
              <w:top w:val="single" w:sz="4" w:space="0" w:color="auto"/>
              <w:left w:val="nil"/>
              <w:bottom w:val="single" w:sz="4" w:space="0" w:color="auto"/>
              <w:right w:val="nil"/>
            </w:tcBorders>
            <w:noWrap/>
            <w:vAlign w:val="bottom"/>
            <w:hideMark/>
          </w:tcPr>
          <w:p w14:paraId="445247D3"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28,179 </w:t>
            </w:r>
          </w:p>
        </w:tc>
        <w:tc>
          <w:tcPr>
            <w:tcW w:w="440" w:type="dxa"/>
            <w:tcBorders>
              <w:top w:val="nil"/>
              <w:left w:val="nil"/>
              <w:bottom w:val="nil"/>
              <w:right w:val="nil"/>
            </w:tcBorders>
            <w:noWrap/>
            <w:vAlign w:val="bottom"/>
            <w:hideMark/>
          </w:tcPr>
          <w:p w14:paraId="239A334F"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single" w:sz="4" w:space="0" w:color="auto"/>
              <w:left w:val="nil"/>
              <w:bottom w:val="single" w:sz="4" w:space="0" w:color="auto"/>
              <w:right w:val="nil"/>
            </w:tcBorders>
            <w:noWrap/>
            <w:vAlign w:val="bottom"/>
            <w:hideMark/>
          </w:tcPr>
          <w:p w14:paraId="6DAF2661"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(256)</w:t>
            </w:r>
          </w:p>
        </w:tc>
      </w:tr>
      <w:tr w:rsidR="00096500" w:rsidRPr="009A08A5" w14:paraId="3D749593" w14:textId="77777777" w:rsidTr="00856101">
        <w:trPr>
          <w:trHeight w:val="330"/>
        </w:trPr>
        <w:tc>
          <w:tcPr>
            <w:tcW w:w="5065" w:type="dxa"/>
            <w:tcBorders>
              <w:top w:val="nil"/>
              <w:left w:val="nil"/>
              <w:bottom w:val="nil"/>
              <w:right w:val="nil"/>
            </w:tcBorders>
            <w:shd w:val="clear" w:color="000000" w:fill="FFFFFF"/>
            <w:vAlign w:val="bottom"/>
            <w:hideMark/>
          </w:tcPr>
          <w:p w14:paraId="4D615157"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Surplus / (Deficit) on continuing operations</w:t>
            </w:r>
          </w:p>
        </w:tc>
        <w:tc>
          <w:tcPr>
            <w:tcW w:w="685" w:type="dxa"/>
            <w:tcBorders>
              <w:top w:val="nil"/>
              <w:left w:val="nil"/>
              <w:bottom w:val="nil"/>
              <w:right w:val="nil"/>
            </w:tcBorders>
            <w:shd w:val="clear" w:color="000000" w:fill="FFFFFF"/>
            <w:noWrap/>
            <w:vAlign w:val="bottom"/>
            <w:hideMark/>
          </w:tcPr>
          <w:p w14:paraId="297A42CF" w14:textId="0B1E6AD5" w:rsidR="00096500" w:rsidRPr="009A08A5"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791" w:type="dxa"/>
            <w:tcBorders>
              <w:top w:val="single" w:sz="4" w:space="0" w:color="auto"/>
              <w:left w:val="nil"/>
              <w:bottom w:val="single" w:sz="4" w:space="0" w:color="auto"/>
              <w:right w:val="nil"/>
            </w:tcBorders>
            <w:noWrap/>
            <w:vAlign w:val="bottom"/>
            <w:hideMark/>
          </w:tcPr>
          <w:p w14:paraId="5261CE9F"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18,436 </w:t>
            </w:r>
          </w:p>
        </w:tc>
        <w:tc>
          <w:tcPr>
            <w:tcW w:w="752" w:type="dxa"/>
            <w:tcBorders>
              <w:top w:val="single" w:sz="4" w:space="0" w:color="auto"/>
              <w:left w:val="nil"/>
              <w:bottom w:val="single" w:sz="4" w:space="0" w:color="auto"/>
              <w:right w:val="nil"/>
            </w:tcBorders>
            <w:shd w:val="clear" w:color="000000" w:fill="FFFFFF"/>
            <w:noWrap/>
            <w:vAlign w:val="bottom"/>
            <w:hideMark/>
          </w:tcPr>
          <w:p w14:paraId="0D409849"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28,179 </w:t>
            </w:r>
          </w:p>
        </w:tc>
        <w:tc>
          <w:tcPr>
            <w:tcW w:w="440" w:type="dxa"/>
            <w:tcBorders>
              <w:top w:val="nil"/>
              <w:left w:val="nil"/>
              <w:bottom w:val="nil"/>
              <w:right w:val="nil"/>
            </w:tcBorders>
            <w:shd w:val="clear" w:color="000000" w:fill="FFFFFF"/>
            <w:noWrap/>
            <w:vAlign w:val="bottom"/>
            <w:hideMark/>
          </w:tcPr>
          <w:p w14:paraId="021ED8ED"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w:t>
            </w:r>
          </w:p>
        </w:tc>
        <w:tc>
          <w:tcPr>
            <w:tcW w:w="1236" w:type="dxa"/>
            <w:tcBorders>
              <w:top w:val="single" w:sz="4" w:space="0" w:color="auto"/>
              <w:left w:val="nil"/>
              <w:bottom w:val="single" w:sz="4" w:space="0" w:color="auto"/>
              <w:right w:val="nil"/>
            </w:tcBorders>
            <w:shd w:val="clear" w:color="000000" w:fill="FFFFFF"/>
            <w:noWrap/>
            <w:vAlign w:val="bottom"/>
            <w:hideMark/>
          </w:tcPr>
          <w:p w14:paraId="7474BC9C"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(256)</w:t>
            </w:r>
          </w:p>
        </w:tc>
      </w:tr>
      <w:tr w:rsidR="00096500" w:rsidRPr="009A08A5" w14:paraId="1AC79845" w14:textId="77777777" w:rsidTr="00856101">
        <w:trPr>
          <w:trHeight w:val="150"/>
        </w:trPr>
        <w:tc>
          <w:tcPr>
            <w:tcW w:w="5065" w:type="dxa"/>
            <w:tcBorders>
              <w:top w:val="nil"/>
              <w:left w:val="nil"/>
              <w:bottom w:val="nil"/>
              <w:right w:val="nil"/>
            </w:tcBorders>
            <w:vAlign w:val="bottom"/>
            <w:hideMark/>
          </w:tcPr>
          <w:p w14:paraId="3C9AFE58"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685" w:type="dxa"/>
            <w:tcBorders>
              <w:top w:val="nil"/>
              <w:left w:val="nil"/>
              <w:bottom w:val="nil"/>
              <w:right w:val="nil"/>
            </w:tcBorders>
            <w:noWrap/>
            <w:vAlign w:val="bottom"/>
            <w:hideMark/>
          </w:tcPr>
          <w:p w14:paraId="211C5CEC"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791" w:type="dxa"/>
            <w:tcBorders>
              <w:top w:val="nil"/>
              <w:left w:val="nil"/>
              <w:bottom w:val="nil"/>
              <w:right w:val="nil"/>
            </w:tcBorders>
            <w:noWrap/>
            <w:vAlign w:val="bottom"/>
            <w:hideMark/>
          </w:tcPr>
          <w:p w14:paraId="5825933D"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348E6C45"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440" w:type="dxa"/>
            <w:tcBorders>
              <w:top w:val="nil"/>
              <w:left w:val="nil"/>
              <w:bottom w:val="nil"/>
              <w:right w:val="nil"/>
            </w:tcBorders>
            <w:noWrap/>
            <w:vAlign w:val="bottom"/>
            <w:hideMark/>
          </w:tcPr>
          <w:p w14:paraId="56DC5620"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5DE0F944"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r>
      <w:tr w:rsidR="00096500" w:rsidRPr="009A08A5" w14:paraId="6DFF48CC" w14:textId="77777777" w:rsidTr="00856101">
        <w:trPr>
          <w:trHeight w:val="240"/>
        </w:trPr>
        <w:tc>
          <w:tcPr>
            <w:tcW w:w="5065" w:type="dxa"/>
            <w:tcBorders>
              <w:top w:val="nil"/>
              <w:left w:val="nil"/>
              <w:bottom w:val="nil"/>
              <w:right w:val="nil"/>
            </w:tcBorders>
            <w:vAlign w:val="bottom"/>
            <w:hideMark/>
          </w:tcPr>
          <w:p w14:paraId="76295E7D"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OTHER COMPREHENSIVE INCOME</w:t>
            </w:r>
          </w:p>
        </w:tc>
        <w:tc>
          <w:tcPr>
            <w:tcW w:w="685" w:type="dxa"/>
            <w:tcBorders>
              <w:top w:val="nil"/>
              <w:left w:val="nil"/>
              <w:bottom w:val="nil"/>
              <w:right w:val="nil"/>
            </w:tcBorders>
            <w:noWrap/>
            <w:vAlign w:val="bottom"/>
            <w:hideMark/>
          </w:tcPr>
          <w:p w14:paraId="2C1ACFEE"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1BA7B44E"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0BBCDBD2"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440" w:type="dxa"/>
            <w:tcBorders>
              <w:top w:val="nil"/>
              <w:left w:val="nil"/>
              <w:bottom w:val="nil"/>
              <w:right w:val="nil"/>
            </w:tcBorders>
            <w:noWrap/>
            <w:vAlign w:val="bottom"/>
            <w:hideMark/>
          </w:tcPr>
          <w:p w14:paraId="6749C5B4"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14326FFF"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r>
      <w:tr w:rsidR="00096500" w:rsidRPr="009A08A5" w14:paraId="2F88F0EB" w14:textId="77777777" w:rsidTr="00856101">
        <w:trPr>
          <w:trHeight w:val="540"/>
        </w:trPr>
        <w:tc>
          <w:tcPr>
            <w:tcW w:w="5065" w:type="dxa"/>
            <w:tcBorders>
              <w:top w:val="nil"/>
              <w:left w:val="nil"/>
              <w:bottom w:val="nil"/>
              <w:right w:val="nil"/>
            </w:tcBorders>
            <w:shd w:val="clear" w:color="000000" w:fill="FFFFFF"/>
            <w:vAlign w:val="bottom"/>
            <w:hideMark/>
          </w:tcPr>
          <w:p w14:paraId="7598BF07"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Items not subject to subsequent reclassification to net cost of services</w:t>
            </w:r>
          </w:p>
        </w:tc>
        <w:tc>
          <w:tcPr>
            <w:tcW w:w="685" w:type="dxa"/>
            <w:tcBorders>
              <w:top w:val="nil"/>
              <w:left w:val="nil"/>
              <w:bottom w:val="nil"/>
              <w:right w:val="nil"/>
            </w:tcBorders>
            <w:noWrap/>
            <w:vAlign w:val="bottom"/>
            <w:hideMark/>
          </w:tcPr>
          <w:p w14:paraId="7FE578BC"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2155B49E"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6FFECFA9"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440" w:type="dxa"/>
            <w:tcBorders>
              <w:top w:val="nil"/>
              <w:left w:val="nil"/>
              <w:bottom w:val="nil"/>
              <w:right w:val="nil"/>
            </w:tcBorders>
            <w:noWrap/>
            <w:vAlign w:val="bottom"/>
            <w:hideMark/>
          </w:tcPr>
          <w:p w14:paraId="1D71846D"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26F21128"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r>
      <w:tr w:rsidR="00096500" w:rsidRPr="009A08A5" w14:paraId="639E8731" w14:textId="77777777" w:rsidTr="00856101">
        <w:trPr>
          <w:trHeight w:val="285"/>
        </w:trPr>
        <w:tc>
          <w:tcPr>
            <w:tcW w:w="5065" w:type="dxa"/>
            <w:tcBorders>
              <w:top w:val="nil"/>
              <w:left w:val="nil"/>
              <w:bottom w:val="nil"/>
              <w:right w:val="nil"/>
            </w:tcBorders>
            <w:shd w:val="clear" w:color="000000" w:fill="FFFFFF"/>
            <w:vAlign w:val="bottom"/>
            <w:hideMark/>
          </w:tcPr>
          <w:p w14:paraId="338F227E"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Changes in asset revaluation reserve</w:t>
            </w:r>
          </w:p>
        </w:tc>
        <w:tc>
          <w:tcPr>
            <w:tcW w:w="685" w:type="dxa"/>
            <w:tcBorders>
              <w:top w:val="nil"/>
              <w:left w:val="nil"/>
              <w:bottom w:val="nil"/>
              <w:right w:val="nil"/>
            </w:tcBorders>
            <w:noWrap/>
            <w:vAlign w:val="bottom"/>
            <w:hideMark/>
          </w:tcPr>
          <w:p w14:paraId="152AFB51" w14:textId="77777777" w:rsidR="00096500" w:rsidRPr="009A08A5" w:rsidRDefault="00096500" w:rsidP="00856101">
            <w:pPr>
              <w:spacing w:after="0" w:line="240" w:lineRule="auto"/>
              <w:rPr>
                <w:rFonts w:ascii="Cambria" w:eastAsia="Times New Roman" w:hAnsi="Cambria" w:cs="Calibri"/>
                <w:color w:val="auto"/>
                <w:sz w:val="18"/>
                <w:szCs w:val="18"/>
                <w:lang w:eastAsia="en-AU"/>
              </w:rPr>
            </w:pPr>
          </w:p>
        </w:tc>
        <w:tc>
          <w:tcPr>
            <w:tcW w:w="791" w:type="dxa"/>
            <w:tcBorders>
              <w:top w:val="nil"/>
              <w:left w:val="nil"/>
              <w:bottom w:val="nil"/>
              <w:right w:val="nil"/>
            </w:tcBorders>
            <w:noWrap/>
            <w:vAlign w:val="bottom"/>
            <w:hideMark/>
          </w:tcPr>
          <w:p w14:paraId="2CF8071A"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 -</w:t>
            </w:r>
          </w:p>
        </w:tc>
        <w:tc>
          <w:tcPr>
            <w:tcW w:w="752" w:type="dxa"/>
            <w:tcBorders>
              <w:top w:val="nil"/>
              <w:left w:val="nil"/>
              <w:bottom w:val="nil"/>
              <w:right w:val="nil"/>
            </w:tcBorders>
            <w:noWrap/>
            <w:vAlign w:val="bottom"/>
            <w:hideMark/>
          </w:tcPr>
          <w:p w14:paraId="42353E85"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221 </w:t>
            </w:r>
          </w:p>
        </w:tc>
        <w:tc>
          <w:tcPr>
            <w:tcW w:w="440" w:type="dxa"/>
            <w:tcBorders>
              <w:top w:val="nil"/>
              <w:left w:val="nil"/>
              <w:bottom w:val="nil"/>
              <w:right w:val="nil"/>
            </w:tcBorders>
            <w:noWrap/>
            <w:vAlign w:val="bottom"/>
            <w:hideMark/>
          </w:tcPr>
          <w:p w14:paraId="0FAC5880"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61CBD45B"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 -</w:t>
            </w:r>
          </w:p>
        </w:tc>
      </w:tr>
      <w:tr w:rsidR="00096500" w:rsidRPr="009A08A5" w14:paraId="59DC77D0" w14:textId="77777777" w:rsidTr="00856101">
        <w:trPr>
          <w:trHeight w:val="300"/>
        </w:trPr>
        <w:tc>
          <w:tcPr>
            <w:tcW w:w="5065" w:type="dxa"/>
            <w:tcBorders>
              <w:top w:val="nil"/>
              <w:left w:val="nil"/>
              <w:bottom w:val="nil"/>
              <w:right w:val="nil"/>
            </w:tcBorders>
            <w:shd w:val="clear" w:color="000000" w:fill="FFFFFF"/>
            <w:vAlign w:val="bottom"/>
            <w:hideMark/>
          </w:tcPr>
          <w:p w14:paraId="53B53E5D"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Total other comprehensive income</w:t>
            </w:r>
          </w:p>
        </w:tc>
        <w:tc>
          <w:tcPr>
            <w:tcW w:w="685" w:type="dxa"/>
            <w:tcBorders>
              <w:top w:val="nil"/>
              <w:left w:val="nil"/>
              <w:bottom w:val="nil"/>
              <w:right w:val="nil"/>
            </w:tcBorders>
            <w:noWrap/>
            <w:vAlign w:val="bottom"/>
            <w:hideMark/>
          </w:tcPr>
          <w:p w14:paraId="6B264E46"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single" w:sz="4" w:space="0" w:color="auto"/>
              <w:left w:val="nil"/>
              <w:bottom w:val="single" w:sz="4" w:space="0" w:color="auto"/>
              <w:right w:val="nil"/>
            </w:tcBorders>
            <w:noWrap/>
            <w:vAlign w:val="bottom"/>
            <w:hideMark/>
          </w:tcPr>
          <w:p w14:paraId="3795C120"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 -</w:t>
            </w:r>
          </w:p>
        </w:tc>
        <w:tc>
          <w:tcPr>
            <w:tcW w:w="752" w:type="dxa"/>
            <w:tcBorders>
              <w:top w:val="single" w:sz="4" w:space="0" w:color="auto"/>
              <w:left w:val="nil"/>
              <w:bottom w:val="single" w:sz="4" w:space="0" w:color="auto"/>
              <w:right w:val="nil"/>
            </w:tcBorders>
            <w:noWrap/>
            <w:vAlign w:val="bottom"/>
            <w:hideMark/>
          </w:tcPr>
          <w:p w14:paraId="071EBF78"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221 </w:t>
            </w:r>
          </w:p>
        </w:tc>
        <w:tc>
          <w:tcPr>
            <w:tcW w:w="440" w:type="dxa"/>
            <w:tcBorders>
              <w:top w:val="nil"/>
              <w:left w:val="nil"/>
              <w:bottom w:val="nil"/>
              <w:right w:val="nil"/>
            </w:tcBorders>
            <w:noWrap/>
            <w:vAlign w:val="bottom"/>
            <w:hideMark/>
          </w:tcPr>
          <w:p w14:paraId="41A42613"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single" w:sz="4" w:space="0" w:color="auto"/>
              <w:left w:val="nil"/>
              <w:bottom w:val="single" w:sz="4" w:space="0" w:color="auto"/>
              <w:right w:val="nil"/>
            </w:tcBorders>
            <w:noWrap/>
            <w:vAlign w:val="bottom"/>
            <w:hideMark/>
          </w:tcPr>
          <w:p w14:paraId="51558BAE"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 -</w:t>
            </w:r>
          </w:p>
        </w:tc>
      </w:tr>
      <w:tr w:rsidR="00096500" w:rsidRPr="009A08A5" w14:paraId="4C4B7CDD" w14:textId="77777777" w:rsidTr="00856101">
        <w:trPr>
          <w:trHeight w:val="288"/>
        </w:trPr>
        <w:tc>
          <w:tcPr>
            <w:tcW w:w="5065" w:type="dxa"/>
            <w:tcBorders>
              <w:top w:val="nil"/>
              <w:left w:val="nil"/>
              <w:bottom w:val="nil"/>
              <w:right w:val="nil"/>
            </w:tcBorders>
            <w:shd w:val="clear" w:color="000000" w:fill="FFFFFF"/>
            <w:vAlign w:val="bottom"/>
            <w:hideMark/>
          </w:tcPr>
          <w:p w14:paraId="79ED4C16"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Total comprehensive income/(loss)</w:t>
            </w:r>
          </w:p>
        </w:tc>
        <w:tc>
          <w:tcPr>
            <w:tcW w:w="685" w:type="dxa"/>
            <w:tcBorders>
              <w:top w:val="nil"/>
              <w:left w:val="nil"/>
              <w:bottom w:val="nil"/>
              <w:right w:val="nil"/>
            </w:tcBorders>
            <w:noWrap/>
            <w:vAlign w:val="bottom"/>
            <w:hideMark/>
          </w:tcPr>
          <w:p w14:paraId="1F8CECEB" w14:textId="77777777" w:rsidR="00096500" w:rsidRPr="009A08A5" w:rsidRDefault="00096500"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single" w:sz="4" w:space="0" w:color="auto"/>
              <w:right w:val="nil"/>
            </w:tcBorders>
            <w:noWrap/>
            <w:vAlign w:val="bottom"/>
            <w:hideMark/>
          </w:tcPr>
          <w:p w14:paraId="7C69AFD6" w14:textId="77777777" w:rsidR="00096500" w:rsidRPr="009A08A5" w:rsidRDefault="00096500" w:rsidP="00856101">
            <w:pPr>
              <w:spacing w:after="0" w:line="240" w:lineRule="auto"/>
              <w:jc w:val="right"/>
              <w:rPr>
                <w:rFonts w:ascii="Cambria" w:eastAsia="Times New Roman" w:hAnsi="Cambria" w:cs="Calibri"/>
                <w:b/>
                <w:bCs/>
                <w:color w:val="auto"/>
                <w:sz w:val="18"/>
                <w:szCs w:val="18"/>
                <w:lang w:eastAsia="en-AU"/>
              </w:rPr>
            </w:pPr>
            <w:r w:rsidRPr="009A08A5">
              <w:rPr>
                <w:rFonts w:ascii="Cambria" w:eastAsia="Times New Roman" w:hAnsi="Cambria" w:cs="Calibri"/>
                <w:b/>
                <w:bCs/>
                <w:color w:val="auto"/>
                <w:sz w:val="18"/>
                <w:szCs w:val="18"/>
                <w:lang w:eastAsia="en-AU"/>
              </w:rPr>
              <w:t xml:space="preserve">18,436 </w:t>
            </w:r>
          </w:p>
        </w:tc>
        <w:tc>
          <w:tcPr>
            <w:tcW w:w="752" w:type="dxa"/>
            <w:tcBorders>
              <w:top w:val="nil"/>
              <w:left w:val="nil"/>
              <w:bottom w:val="single" w:sz="4" w:space="0" w:color="auto"/>
              <w:right w:val="nil"/>
            </w:tcBorders>
            <w:noWrap/>
            <w:vAlign w:val="bottom"/>
            <w:hideMark/>
          </w:tcPr>
          <w:p w14:paraId="7D8B94FB"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 xml:space="preserve">28,400 </w:t>
            </w:r>
          </w:p>
        </w:tc>
        <w:tc>
          <w:tcPr>
            <w:tcW w:w="440" w:type="dxa"/>
            <w:tcBorders>
              <w:top w:val="nil"/>
              <w:left w:val="nil"/>
              <w:bottom w:val="nil"/>
              <w:right w:val="nil"/>
            </w:tcBorders>
            <w:noWrap/>
            <w:vAlign w:val="bottom"/>
            <w:hideMark/>
          </w:tcPr>
          <w:p w14:paraId="6EDF6548"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single" w:sz="4" w:space="0" w:color="auto"/>
              <w:right w:val="nil"/>
            </w:tcBorders>
            <w:noWrap/>
            <w:vAlign w:val="bottom"/>
            <w:hideMark/>
          </w:tcPr>
          <w:p w14:paraId="0B3D5DFD"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r w:rsidRPr="009A08A5">
              <w:rPr>
                <w:rFonts w:ascii="Cambria" w:eastAsia="Times New Roman" w:hAnsi="Cambria" w:cs="Calibri"/>
                <w:color w:val="auto"/>
                <w:sz w:val="18"/>
                <w:szCs w:val="18"/>
                <w:lang w:eastAsia="en-AU"/>
              </w:rPr>
              <w:t>(256)</w:t>
            </w:r>
          </w:p>
        </w:tc>
      </w:tr>
      <w:tr w:rsidR="00096500" w:rsidRPr="009A08A5" w14:paraId="6396C588" w14:textId="77777777" w:rsidTr="00856101">
        <w:trPr>
          <w:trHeight w:val="180"/>
        </w:trPr>
        <w:tc>
          <w:tcPr>
            <w:tcW w:w="5065" w:type="dxa"/>
            <w:tcBorders>
              <w:top w:val="nil"/>
              <w:left w:val="nil"/>
              <w:bottom w:val="nil"/>
              <w:right w:val="nil"/>
            </w:tcBorders>
            <w:noWrap/>
            <w:vAlign w:val="bottom"/>
            <w:hideMark/>
          </w:tcPr>
          <w:p w14:paraId="07020ED8" w14:textId="77777777" w:rsidR="00096500" w:rsidRPr="009A08A5" w:rsidRDefault="00096500" w:rsidP="00856101">
            <w:pPr>
              <w:spacing w:after="0" w:line="240" w:lineRule="auto"/>
              <w:jc w:val="right"/>
              <w:rPr>
                <w:rFonts w:ascii="Cambria" w:eastAsia="Times New Roman" w:hAnsi="Cambria" w:cs="Calibri"/>
                <w:color w:val="auto"/>
                <w:sz w:val="18"/>
                <w:szCs w:val="18"/>
                <w:lang w:eastAsia="en-AU"/>
              </w:rPr>
            </w:pPr>
          </w:p>
        </w:tc>
        <w:tc>
          <w:tcPr>
            <w:tcW w:w="685" w:type="dxa"/>
            <w:tcBorders>
              <w:top w:val="nil"/>
              <w:left w:val="nil"/>
              <w:bottom w:val="nil"/>
              <w:right w:val="nil"/>
            </w:tcBorders>
            <w:noWrap/>
            <w:hideMark/>
          </w:tcPr>
          <w:p w14:paraId="75001ECD"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791" w:type="dxa"/>
            <w:tcBorders>
              <w:top w:val="nil"/>
              <w:left w:val="nil"/>
              <w:bottom w:val="nil"/>
              <w:right w:val="nil"/>
            </w:tcBorders>
            <w:noWrap/>
            <w:hideMark/>
          </w:tcPr>
          <w:p w14:paraId="20AA905E"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4A711D38"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440" w:type="dxa"/>
            <w:tcBorders>
              <w:top w:val="nil"/>
              <w:left w:val="nil"/>
              <w:bottom w:val="nil"/>
              <w:right w:val="nil"/>
            </w:tcBorders>
            <w:noWrap/>
            <w:vAlign w:val="bottom"/>
            <w:hideMark/>
          </w:tcPr>
          <w:p w14:paraId="707ADA96" w14:textId="77777777" w:rsidR="00096500" w:rsidRPr="009A08A5" w:rsidRDefault="00096500"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3420A640" w14:textId="77777777" w:rsidR="00096500" w:rsidRPr="009A08A5" w:rsidRDefault="00096500" w:rsidP="00856101">
            <w:pPr>
              <w:spacing w:after="0" w:line="240" w:lineRule="auto"/>
              <w:jc w:val="right"/>
              <w:rPr>
                <w:rFonts w:ascii="Times New Roman" w:eastAsia="Times New Roman" w:hAnsi="Times New Roman" w:cs="Times New Roman"/>
                <w:color w:val="auto"/>
                <w:sz w:val="20"/>
                <w:szCs w:val="20"/>
                <w:lang w:eastAsia="en-AU"/>
              </w:rPr>
            </w:pPr>
          </w:p>
        </w:tc>
      </w:tr>
      <w:tr w:rsidR="00096500" w:rsidRPr="009A08A5" w14:paraId="63152387" w14:textId="77777777" w:rsidTr="00856101">
        <w:trPr>
          <w:trHeight w:val="288"/>
        </w:trPr>
        <w:tc>
          <w:tcPr>
            <w:tcW w:w="8969" w:type="dxa"/>
            <w:gridSpan w:val="6"/>
            <w:tcBorders>
              <w:top w:val="nil"/>
              <w:left w:val="nil"/>
              <w:bottom w:val="nil"/>
              <w:right w:val="nil"/>
            </w:tcBorders>
            <w:noWrap/>
            <w:vAlign w:val="bottom"/>
            <w:hideMark/>
          </w:tcPr>
          <w:p w14:paraId="2A24DBE8" w14:textId="77777777" w:rsidR="00096500" w:rsidRPr="009A08A5" w:rsidRDefault="00096500" w:rsidP="00856101">
            <w:pPr>
              <w:spacing w:after="0" w:line="240" w:lineRule="auto"/>
              <w:rPr>
                <w:rFonts w:ascii="Cambria" w:eastAsia="Times New Roman" w:hAnsi="Cambria" w:cs="Calibri"/>
                <w:color w:val="000000"/>
                <w:sz w:val="18"/>
                <w:szCs w:val="18"/>
                <w:lang w:eastAsia="en-AU"/>
              </w:rPr>
            </w:pPr>
            <w:r w:rsidRPr="009A08A5">
              <w:rPr>
                <w:rFonts w:ascii="Cambria" w:eastAsia="Times New Roman" w:hAnsi="Cambria" w:cs="Calibri"/>
                <w:color w:val="000000"/>
                <w:sz w:val="18"/>
                <w:szCs w:val="18"/>
                <w:lang w:eastAsia="en-AU"/>
              </w:rPr>
              <w:t>The above statement should be read in conjunction with the accompanying notes.</w:t>
            </w:r>
          </w:p>
        </w:tc>
      </w:tr>
    </w:tbl>
    <w:p w14:paraId="3E8B3228" w14:textId="77777777" w:rsidR="00EB0D85" w:rsidRDefault="00EB0D85" w:rsidP="00EB0D85"/>
    <w:p w14:paraId="301844F2" w14:textId="77777777" w:rsidR="00096500" w:rsidRDefault="00096500" w:rsidP="00EB0D85"/>
    <w:p w14:paraId="2E4EB945" w14:textId="77777777" w:rsidR="00096500" w:rsidRDefault="00096500" w:rsidP="00EB0D85"/>
    <w:p w14:paraId="24BA5987" w14:textId="77777777" w:rsidR="00096500" w:rsidRDefault="00096500" w:rsidP="00EB0D85"/>
    <w:p w14:paraId="6AFB1E03" w14:textId="539FD667" w:rsidR="00096500" w:rsidRDefault="00096500" w:rsidP="00EB0D85">
      <w:r>
        <w:rPr>
          <w:noProof/>
        </w:rPr>
        <w:lastRenderedPageBreak/>
        <mc:AlternateContent>
          <mc:Choice Requires="wps">
            <w:drawing>
              <wp:anchor distT="0" distB="0" distL="114300" distR="114300" simplePos="0" relativeHeight="251671552" behindDoc="0" locked="0" layoutInCell="1" allowOverlap="1" wp14:anchorId="07C2889E" wp14:editId="5F384285">
                <wp:simplePos x="0" y="0"/>
                <wp:positionH relativeFrom="margin">
                  <wp:posOffset>103505</wp:posOffset>
                </wp:positionH>
                <wp:positionV relativeFrom="paragraph">
                  <wp:posOffset>71755</wp:posOffset>
                </wp:positionV>
                <wp:extent cx="5450835" cy="2743200"/>
                <wp:effectExtent l="0" t="0" r="17145" b="19050"/>
                <wp:wrapSquare wrapText="bothSides"/>
                <wp:docPr id="3" name="TextBox 2">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microsoft.com/office/word/2010/wordprocessingShape">
                    <wps:wsp>
                      <wps:cNvSpPr txBox="1"/>
                      <wps:spPr>
                        <a:xfrm>
                          <a:off x="0" y="0"/>
                          <a:ext cx="5450835" cy="2743200"/>
                        </a:xfrm>
                        <a:prstGeom prst="rect">
                          <a:avLst/>
                        </a:prstGeom>
                        <a:noFill/>
                        <a:ln w="12700" cmpd="sng">
                          <a:solidFill>
                            <a:srgbClr val="009560"/>
                          </a:solidFill>
                        </a:ln>
                        <a:effectLst/>
                      </wps:spPr>
                      <wps:txbx>
                        <w:txbxContent>
                          <w:p w14:paraId="3C701556" w14:textId="77777777" w:rsidR="00096500" w:rsidRPr="009A08A5" w:rsidRDefault="00096500" w:rsidP="00096500">
                            <w:pPr>
                              <w:rPr>
                                <w:rFonts w:cs="Arial"/>
                                <w:b/>
                                <w:bCs/>
                                <w:sz w:val="18"/>
                                <w:szCs w:val="18"/>
                              </w:rPr>
                            </w:pPr>
                            <w:r w:rsidRPr="009A08A5">
                              <w:rPr>
                                <w:rFonts w:cs="Arial"/>
                                <w:b/>
                                <w:bCs/>
                                <w:sz w:val="18"/>
                                <w:szCs w:val="18"/>
                              </w:rPr>
                              <w:t>Budget variances commentary</w:t>
                            </w:r>
                          </w:p>
                          <w:p w14:paraId="32EF643A" w14:textId="77777777" w:rsidR="00096500" w:rsidRPr="009A08A5" w:rsidRDefault="00096500" w:rsidP="00096500">
                            <w:pPr>
                              <w:rPr>
                                <w:rFonts w:cs="Arial"/>
                                <w:b/>
                                <w:bCs/>
                                <w:sz w:val="18"/>
                                <w:szCs w:val="18"/>
                              </w:rPr>
                            </w:pPr>
                            <w:r w:rsidRPr="009A08A5">
                              <w:rPr>
                                <w:rFonts w:cs="Arial"/>
                                <w:b/>
                                <w:bCs/>
                                <w:sz w:val="18"/>
                                <w:szCs w:val="18"/>
                              </w:rPr>
                              <w:t>Statement of comprehensive income</w:t>
                            </w:r>
                          </w:p>
                          <w:p w14:paraId="24E4D2B3" w14:textId="77777777" w:rsidR="00096500" w:rsidRPr="009A08A5" w:rsidRDefault="00096500" w:rsidP="00096500">
                            <w:pPr>
                              <w:rPr>
                                <w:rFonts w:cs="Arial"/>
                                <w:sz w:val="18"/>
                                <w:szCs w:val="18"/>
                              </w:rPr>
                            </w:pPr>
                            <w:r w:rsidRPr="009A08A5">
                              <w:rPr>
                                <w:rFonts w:cs="Arial"/>
                                <w:sz w:val="18"/>
                                <w:szCs w:val="18"/>
                              </w:rPr>
                              <w:t xml:space="preserve">Total expenses of $61.253m were $17.448m less than budget primarily due to lower supplier expenses of $19.997m, which were partially offset by higher employee benefits expense of $2.478m. </w:t>
                            </w:r>
                          </w:p>
                          <w:p w14:paraId="7973D765" w14:textId="77777777" w:rsidR="00096500" w:rsidRPr="009A08A5" w:rsidRDefault="00096500" w:rsidP="00096500">
                            <w:pPr>
                              <w:rPr>
                                <w:rFonts w:cs="Arial"/>
                                <w:sz w:val="18"/>
                                <w:szCs w:val="18"/>
                              </w:rPr>
                            </w:pPr>
                            <w:r w:rsidRPr="009A08A5">
                              <w:rPr>
                                <w:rFonts w:cs="Arial"/>
                                <w:sz w:val="18"/>
                                <w:szCs w:val="18"/>
                              </w:rPr>
                              <w:t>Supplier expenses were lower than planned, primarily due to the rephasing of expenditure associated with costing studies. Employee benefits expenses were greater than budget due to the progressive rollout of expanded IHACPA functions.</w:t>
                            </w:r>
                          </w:p>
                          <w:p w14:paraId="6C1B2AA3" w14:textId="77777777" w:rsidR="00096500" w:rsidRPr="009A08A5" w:rsidRDefault="00096500" w:rsidP="00096500">
                            <w:pPr>
                              <w:rPr>
                                <w:rFonts w:cs="Arial"/>
                                <w:sz w:val="18"/>
                                <w:szCs w:val="18"/>
                              </w:rPr>
                            </w:pPr>
                            <w:r w:rsidRPr="009A08A5">
                              <w:rPr>
                                <w:rFonts w:cs="Arial"/>
                                <w:sz w:val="18"/>
                                <w:szCs w:val="18"/>
                              </w:rPr>
                              <w:t>Total own source income of $27.481m was $4.327m greater than budget, mainly due to higher levels of resources received free of charge. Interest was also greater than budget, reflecting higher than expected cash balances.</w:t>
                            </w:r>
                          </w:p>
                          <w:p w14:paraId="693F8D3F" w14:textId="77777777" w:rsidR="00096500" w:rsidRPr="009A08A5" w:rsidRDefault="00096500" w:rsidP="00096500">
                            <w:pPr>
                              <w:textAlignment w:val="top"/>
                              <w:rPr>
                                <w:rFonts w:cs="Arial"/>
                                <w:sz w:val="18"/>
                                <w:szCs w:val="18"/>
                              </w:rPr>
                            </w:pPr>
                            <w:r w:rsidRPr="009A08A5">
                              <w:rPr>
                                <w:rFonts w:cs="Arial"/>
                                <w:sz w:val="18"/>
                                <w:szCs w:val="18"/>
                              </w:rPr>
                              <w:t>Revenue from Government was $3.083 million below budget, primarily due to adjustments made to offset the higher than budgeted allocation of resources received free of charge, largely relating to departmental staff seconded to IHACPA.</w:t>
                            </w:r>
                          </w:p>
                        </w:txbxContent>
                      </wps:txbx>
                      <wps:bodyPr vertOverflow="clip" horzOverflow="clip" wrap="square" rtlCol="0" anchor="t">
                        <a:noAutofit/>
                      </wps:bodyPr>
                    </wps:wsp>
                  </a:graphicData>
                </a:graphic>
                <wp14:sizeRelV relativeFrom="margin">
                  <wp14:pctHeight>0</wp14:pctHeight>
                </wp14:sizeRelV>
              </wp:anchor>
            </w:drawing>
          </mc:Choice>
          <mc:Fallback>
            <w:pict>
              <v:shape w14:anchorId="07C2889E" id="TextBox 2" o:spid="_x0000_s1027" type="#_x0000_t202" style="position:absolute;margin-left:8.15pt;margin-top:5.65pt;width:429.2pt;height:3in;z-index:251671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" filled="f" strokecolor="#009560" strokeweight="1pt">
                <v:textbox>
                  <w:txbxContent>
                    <w:p w14:paraId="3C701556" w14:textId="77777777" w:rsidR="00096500" w:rsidRPr="009A08A5" w:rsidRDefault="00096500" w:rsidP="00096500">
                      <w:pPr>
                        <w:rPr>
                          <w:rFonts w:cs="Arial"/>
                          <w:b/>
                          <w:bCs/>
                          <w:sz w:val="18"/>
                          <w:szCs w:val="18"/>
                        </w:rPr>
                      </w:pPr>
                      <w:r w:rsidRPr="009A08A5">
                        <w:rPr>
                          <w:rFonts w:cs="Arial"/>
                          <w:b/>
                          <w:bCs/>
                          <w:sz w:val="18"/>
                          <w:szCs w:val="18"/>
                        </w:rPr>
                        <w:t>Budget variances commentary</w:t>
                      </w:r>
                    </w:p>
                    <w:p w14:paraId="32EF643A" w14:textId="77777777" w:rsidR="00096500" w:rsidRPr="009A08A5" w:rsidRDefault="00096500" w:rsidP="00096500">
                      <w:pPr>
                        <w:rPr>
                          <w:rFonts w:cs="Arial"/>
                          <w:b/>
                          <w:bCs/>
                          <w:sz w:val="18"/>
                          <w:szCs w:val="18"/>
                        </w:rPr>
                      </w:pPr>
                      <w:r w:rsidRPr="009A08A5">
                        <w:rPr>
                          <w:rFonts w:cs="Arial"/>
                          <w:b/>
                          <w:bCs/>
                          <w:sz w:val="18"/>
                          <w:szCs w:val="18"/>
                        </w:rPr>
                        <w:t>Statement of comprehensive income</w:t>
                      </w:r>
                    </w:p>
                    <w:p w14:paraId="24E4D2B3" w14:textId="77777777" w:rsidR="00096500" w:rsidRPr="009A08A5" w:rsidRDefault="00096500" w:rsidP="00096500">
                      <w:pPr>
                        <w:rPr>
                          <w:rFonts w:cs="Arial"/>
                          <w:sz w:val="18"/>
                          <w:szCs w:val="18"/>
                        </w:rPr>
                      </w:pPr>
                      <w:r w:rsidRPr="009A08A5">
                        <w:rPr>
                          <w:rFonts w:cs="Arial"/>
                          <w:sz w:val="18"/>
                          <w:szCs w:val="18"/>
                        </w:rPr>
                        <w:t xml:space="preserve">Total expenses of $61.253m were $17.448m less than budget primarily due to lower supplier expenses of $19.997m, which were partially offset by higher employee benefits expense of $2.478m. </w:t>
                      </w:r>
                    </w:p>
                    <w:p w14:paraId="7973D765" w14:textId="77777777" w:rsidR="00096500" w:rsidRPr="009A08A5" w:rsidRDefault="00096500" w:rsidP="00096500">
                      <w:pPr>
                        <w:rPr>
                          <w:rFonts w:cs="Arial"/>
                          <w:sz w:val="18"/>
                          <w:szCs w:val="18"/>
                        </w:rPr>
                      </w:pPr>
                      <w:r w:rsidRPr="009A08A5">
                        <w:rPr>
                          <w:rFonts w:cs="Arial"/>
                          <w:sz w:val="18"/>
                          <w:szCs w:val="18"/>
                        </w:rPr>
                        <w:t>Supplier expenses were lower than planned, primarily due to the rephasing of expenditure associated with costing studies. Employee benefits expenses were greater than budget due to the progressive rollout of expanded IHACPA functions.</w:t>
                      </w:r>
                    </w:p>
                    <w:p w14:paraId="6C1B2AA3" w14:textId="77777777" w:rsidR="00096500" w:rsidRPr="009A08A5" w:rsidRDefault="00096500" w:rsidP="00096500">
                      <w:pPr>
                        <w:rPr>
                          <w:rFonts w:cs="Arial"/>
                          <w:sz w:val="18"/>
                          <w:szCs w:val="18"/>
                        </w:rPr>
                      </w:pPr>
                      <w:r w:rsidRPr="009A08A5">
                        <w:rPr>
                          <w:rFonts w:cs="Arial"/>
                          <w:sz w:val="18"/>
                          <w:szCs w:val="18"/>
                        </w:rPr>
                        <w:t>Total own source income of $27.481m was $4.327m greater than budget, mainly due to higher levels of resources received free of charge. Interest was also greater than budget, reflecting higher than expected cash balances.</w:t>
                      </w:r>
                    </w:p>
                    <w:p w14:paraId="693F8D3F" w14:textId="77777777" w:rsidR="00096500" w:rsidRPr="009A08A5" w:rsidRDefault="00096500" w:rsidP="00096500">
                      <w:pPr>
                        <w:textAlignment w:val="top"/>
                        <w:rPr>
                          <w:rFonts w:cs="Arial"/>
                          <w:sz w:val="18"/>
                          <w:szCs w:val="18"/>
                        </w:rPr>
                      </w:pPr>
                      <w:r w:rsidRPr="009A08A5">
                        <w:rPr>
                          <w:rFonts w:cs="Arial"/>
                          <w:sz w:val="18"/>
                          <w:szCs w:val="18"/>
                        </w:rPr>
                        <w:t>Revenue from Government was $3.083 million below budget, primarily due to adjustments made to offset the higher than budgeted allocation of resources received free of charge, largely relating to departmental staff seconded to IHACPA.</w:t>
                      </w:r>
                    </w:p>
                  </w:txbxContent>
                </v:textbox>
                <w10:wrap type="square" anchorx="margin"/>
              </v:shape>
            </w:pict>
          </mc:Fallback>
        </mc:AlternateContent>
      </w:r>
    </w:p>
    <w:p w14:paraId="02977F3C" w14:textId="60024F0F" w:rsidR="00096500" w:rsidRDefault="00096500" w:rsidP="00EB0D85"/>
    <w:p w14:paraId="0A6D8ACB" w14:textId="77777777" w:rsidR="00096500" w:rsidRDefault="00096500" w:rsidP="00EB0D85"/>
    <w:p w14:paraId="1C10B11E" w14:textId="77777777" w:rsidR="00096500" w:rsidRDefault="00096500" w:rsidP="00EB0D85"/>
    <w:p w14:paraId="56ED204F" w14:textId="77777777" w:rsidR="00096500" w:rsidRDefault="00096500" w:rsidP="00EB0D85"/>
    <w:p w14:paraId="2CF9E403" w14:textId="77777777" w:rsidR="00096500" w:rsidRDefault="00096500" w:rsidP="00EB0D85"/>
    <w:p w14:paraId="13E18450" w14:textId="77777777" w:rsidR="00096500" w:rsidRDefault="00096500" w:rsidP="00EB0D85"/>
    <w:p w14:paraId="6A0C490B" w14:textId="77777777" w:rsidR="00096500" w:rsidRDefault="00096500" w:rsidP="00EB0D85"/>
    <w:p w14:paraId="1DD35F7D" w14:textId="77777777" w:rsidR="00096500" w:rsidRDefault="00096500" w:rsidP="00EB0D85"/>
    <w:p w14:paraId="2DDE2415" w14:textId="77777777" w:rsidR="00096500" w:rsidRDefault="00096500" w:rsidP="00EB0D85"/>
    <w:p w14:paraId="37109C6B" w14:textId="77777777" w:rsidR="00096500" w:rsidRDefault="00096500" w:rsidP="00EB0D85"/>
    <w:p w14:paraId="21B25D41" w14:textId="77777777" w:rsidR="00096500" w:rsidRDefault="00096500" w:rsidP="00EB0D85"/>
    <w:p w14:paraId="540AA96A" w14:textId="77777777" w:rsidR="00096500" w:rsidRDefault="00096500" w:rsidP="00EB0D85"/>
    <w:p w14:paraId="7C766C36" w14:textId="77777777" w:rsidR="00096500" w:rsidRDefault="00096500" w:rsidP="00EB0D85"/>
    <w:p w14:paraId="4E0D7000" w14:textId="77777777" w:rsidR="00096500" w:rsidRDefault="00096500" w:rsidP="00EB0D85"/>
    <w:p w14:paraId="1D13DA38" w14:textId="77777777" w:rsidR="00096500" w:rsidRDefault="00096500" w:rsidP="00EB0D85"/>
    <w:p w14:paraId="354394E9" w14:textId="77777777" w:rsidR="00096500" w:rsidRDefault="00096500" w:rsidP="00EB0D85"/>
    <w:p w14:paraId="347D5360" w14:textId="77777777" w:rsidR="00096500" w:rsidRDefault="00096500" w:rsidP="00EB0D85"/>
    <w:p w14:paraId="27D33E77" w14:textId="77777777" w:rsidR="00096500" w:rsidRDefault="00096500" w:rsidP="00EB0D85"/>
    <w:p w14:paraId="7D389792" w14:textId="77777777" w:rsidR="00096500" w:rsidRDefault="00096500" w:rsidP="00EB0D85"/>
    <w:p w14:paraId="6775D83B" w14:textId="77777777" w:rsidR="00096500" w:rsidRDefault="00096500" w:rsidP="00EB0D85"/>
    <w:p w14:paraId="13227BB8" w14:textId="77777777" w:rsidR="00096500" w:rsidRDefault="00096500" w:rsidP="00EB0D85"/>
    <w:p w14:paraId="33E05260" w14:textId="77777777" w:rsidR="00096500" w:rsidRDefault="00096500" w:rsidP="00EB0D85"/>
    <w:p w14:paraId="02608606" w14:textId="77777777" w:rsidR="00096500" w:rsidRDefault="00096500" w:rsidP="00EB0D85"/>
    <w:p w14:paraId="0B7BACA0" w14:textId="77777777" w:rsidR="00096500" w:rsidRDefault="00096500" w:rsidP="00EB0D85"/>
    <w:p w14:paraId="12A1C36F" w14:textId="77777777" w:rsidR="00096500" w:rsidRDefault="00096500" w:rsidP="00EB0D85"/>
    <w:p w14:paraId="5CF1490B" w14:textId="77777777" w:rsidR="00096500" w:rsidRDefault="00096500" w:rsidP="00EB0D85"/>
    <w:p w14:paraId="2E56C13A" w14:textId="77777777" w:rsidR="00096500" w:rsidRDefault="00096500" w:rsidP="00EB0D85"/>
    <w:p w14:paraId="11F9C8BE" w14:textId="77777777" w:rsidR="00096500" w:rsidRDefault="00096500" w:rsidP="00EB0D85"/>
    <w:p w14:paraId="545D18EB" w14:textId="77777777" w:rsidR="00096500" w:rsidRDefault="00096500" w:rsidP="00EB0D85"/>
    <w:tbl>
      <w:tblPr>
        <w:tblW w:w="8961" w:type="dxa"/>
        <w:tblLook w:val="04A0" w:firstRow="1" w:lastRow="0" w:firstColumn="1" w:lastColumn="0" w:noHBand="0" w:noVBand="1"/>
      </w:tblPr>
      <w:tblGrid>
        <w:gridCol w:w="4503"/>
        <w:gridCol w:w="1116"/>
        <w:gridCol w:w="898"/>
        <w:gridCol w:w="752"/>
        <w:gridCol w:w="456"/>
        <w:gridCol w:w="1236"/>
      </w:tblGrid>
      <w:tr w:rsidR="00096500" w:rsidRPr="00FB3628" w14:paraId="0BDE2523" w14:textId="77777777" w:rsidTr="00377CCF">
        <w:trPr>
          <w:trHeight w:val="300"/>
        </w:trPr>
        <w:tc>
          <w:tcPr>
            <w:tcW w:w="7269" w:type="dxa"/>
            <w:gridSpan w:val="4"/>
            <w:tcBorders>
              <w:top w:val="nil"/>
              <w:left w:val="nil"/>
              <w:bottom w:val="nil"/>
              <w:right w:val="nil"/>
            </w:tcBorders>
            <w:hideMark/>
          </w:tcPr>
          <w:p w14:paraId="703D8FD5"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lastRenderedPageBreak/>
              <w:t>Statement of financial position</w:t>
            </w:r>
          </w:p>
        </w:tc>
        <w:tc>
          <w:tcPr>
            <w:tcW w:w="456" w:type="dxa"/>
            <w:tcBorders>
              <w:top w:val="nil"/>
              <w:left w:val="nil"/>
              <w:bottom w:val="nil"/>
              <w:right w:val="nil"/>
            </w:tcBorders>
            <w:noWrap/>
            <w:vAlign w:val="bottom"/>
            <w:hideMark/>
          </w:tcPr>
          <w:p w14:paraId="04C3D359"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p>
        </w:tc>
        <w:tc>
          <w:tcPr>
            <w:tcW w:w="1236" w:type="dxa"/>
            <w:tcBorders>
              <w:top w:val="nil"/>
              <w:left w:val="nil"/>
              <w:bottom w:val="nil"/>
              <w:right w:val="nil"/>
            </w:tcBorders>
            <w:noWrap/>
            <w:vAlign w:val="bottom"/>
            <w:hideMark/>
          </w:tcPr>
          <w:p w14:paraId="678F9F46" w14:textId="77777777" w:rsidR="00096500" w:rsidRPr="00FB3628" w:rsidRDefault="00096500" w:rsidP="00856101">
            <w:pPr>
              <w:spacing w:after="0" w:line="240" w:lineRule="auto"/>
              <w:rPr>
                <w:rFonts w:ascii="Times New Roman" w:eastAsia="Times New Roman" w:hAnsi="Times New Roman" w:cs="Times New Roman"/>
                <w:color w:val="auto"/>
                <w:sz w:val="20"/>
                <w:szCs w:val="20"/>
                <w:lang w:eastAsia="en-AU"/>
              </w:rPr>
            </w:pPr>
          </w:p>
        </w:tc>
      </w:tr>
      <w:tr w:rsidR="00096500" w:rsidRPr="00FB3628" w14:paraId="10A491EB" w14:textId="77777777" w:rsidTr="00377CCF">
        <w:trPr>
          <w:trHeight w:val="282"/>
        </w:trPr>
        <w:tc>
          <w:tcPr>
            <w:tcW w:w="4503" w:type="dxa"/>
            <w:tcBorders>
              <w:top w:val="nil"/>
              <w:left w:val="nil"/>
              <w:bottom w:val="nil"/>
              <w:right w:val="nil"/>
            </w:tcBorders>
            <w:noWrap/>
            <w:vAlign w:val="bottom"/>
            <w:hideMark/>
          </w:tcPr>
          <w:p w14:paraId="644367FC" w14:textId="77777777" w:rsidR="00096500" w:rsidRPr="00FB3628" w:rsidRDefault="00096500" w:rsidP="00856101">
            <w:pPr>
              <w:spacing w:after="0" w:line="240" w:lineRule="auto"/>
              <w:rPr>
                <w:rFonts w:ascii="Cambria" w:eastAsia="Times New Roman" w:hAnsi="Cambria" w:cs="Calibri"/>
                <w:i/>
                <w:iCs/>
                <w:color w:val="auto"/>
                <w:sz w:val="18"/>
                <w:szCs w:val="18"/>
                <w:lang w:eastAsia="en-AU"/>
              </w:rPr>
            </w:pPr>
            <w:r w:rsidRPr="00FB3628">
              <w:rPr>
                <w:rFonts w:ascii="Cambria" w:eastAsia="Times New Roman" w:hAnsi="Cambria" w:cs="Calibri"/>
                <w:i/>
                <w:iCs/>
                <w:color w:val="auto"/>
                <w:sz w:val="18"/>
                <w:szCs w:val="18"/>
                <w:lang w:eastAsia="en-AU"/>
              </w:rPr>
              <w:t>as at 30 June 2026</w:t>
            </w:r>
          </w:p>
        </w:tc>
        <w:tc>
          <w:tcPr>
            <w:tcW w:w="1116" w:type="dxa"/>
            <w:tcBorders>
              <w:top w:val="nil"/>
              <w:left w:val="nil"/>
              <w:bottom w:val="nil"/>
              <w:right w:val="nil"/>
            </w:tcBorders>
            <w:noWrap/>
            <w:vAlign w:val="bottom"/>
            <w:hideMark/>
          </w:tcPr>
          <w:p w14:paraId="08F91833" w14:textId="77777777" w:rsidR="00096500" w:rsidRPr="00FB3628" w:rsidRDefault="00096500" w:rsidP="00856101">
            <w:pPr>
              <w:spacing w:after="0" w:line="240" w:lineRule="auto"/>
              <w:rPr>
                <w:rFonts w:ascii="Cambria" w:eastAsia="Times New Roman" w:hAnsi="Cambria" w:cs="Calibri"/>
                <w:i/>
                <w:iCs/>
                <w:color w:val="auto"/>
                <w:sz w:val="18"/>
                <w:szCs w:val="18"/>
                <w:lang w:eastAsia="en-AU"/>
              </w:rPr>
            </w:pPr>
          </w:p>
        </w:tc>
        <w:tc>
          <w:tcPr>
            <w:tcW w:w="898" w:type="dxa"/>
            <w:tcBorders>
              <w:top w:val="nil"/>
              <w:left w:val="nil"/>
              <w:bottom w:val="nil"/>
              <w:right w:val="nil"/>
            </w:tcBorders>
            <w:noWrap/>
            <w:vAlign w:val="bottom"/>
            <w:hideMark/>
          </w:tcPr>
          <w:p w14:paraId="57221459" w14:textId="77777777" w:rsidR="00096500" w:rsidRPr="00FB3628" w:rsidRDefault="00096500"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51738089" w14:textId="77777777" w:rsidR="00096500" w:rsidRPr="00FB3628" w:rsidRDefault="00096500" w:rsidP="00856101">
            <w:pPr>
              <w:spacing w:after="0" w:line="240" w:lineRule="auto"/>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5716D851" w14:textId="77777777" w:rsidR="00096500" w:rsidRPr="00FB3628" w:rsidRDefault="00096500"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22757F62" w14:textId="77777777" w:rsidR="00096500" w:rsidRPr="00FB3628" w:rsidRDefault="00096500" w:rsidP="00856101">
            <w:pPr>
              <w:spacing w:after="0" w:line="240" w:lineRule="auto"/>
              <w:rPr>
                <w:rFonts w:ascii="Times New Roman" w:eastAsia="Times New Roman" w:hAnsi="Times New Roman" w:cs="Times New Roman"/>
                <w:color w:val="auto"/>
                <w:sz w:val="20"/>
                <w:szCs w:val="20"/>
                <w:lang w:eastAsia="en-AU"/>
              </w:rPr>
            </w:pPr>
          </w:p>
        </w:tc>
      </w:tr>
      <w:tr w:rsidR="00096500" w:rsidRPr="00FB3628" w14:paraId="0E7C12FA" w14:textId="77777777" w:rsidTr="00377CCF">
        <w:trPr>
          <w:trHeight w:val="525"/>
        </w:trPr>
        <w:tc>
          <w:tcPr>
            <w:tcW w:w="4503" w:type="dxa"/>
            <w:tcBorders>
              <w:top w:val="single" w:sz="8" w:space="0" w:color="009560"/>
              <w:left w:val="nil"/>
              <w:bottom w:val="nil"/>
              <w:right w:val="nil"/>
            </w:tcBorders>
            <w:noWrap/>
            <w:vAlign w:val="bottom"/>
            <w:hideMark/>
          </w:tcPr>
          <w:p w14:paraId="147EAA82"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116" w:type="dxa"/>
            <w:tcBorders>
              <w:top w:val="single" w:sz="8" w:space="0" w:color="009560"/>
              <w:left w:val="nil"/>
              <w:bottom w:val="nil"/>
              <w:right w:val="nil"/>
            </w:tcBorders>
            <w:noWrap/>
            <w:vAlign w:val="bottom"/>
            <w:hideMark/>
          </w:tcPr>
          <w:p w14:paraId="5A5FF14D"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898" w:type="dxa"/>
            <w:tcBorders>
              <w:top w:val="single" w:sz="8" w:space="0" w:color="009560"/>
              <w:left w:val="nil"/>
              <w:bottom w:val="nil"/>
              <w:right w:val="nil"/>
            </w:tcBorders>
            <w:noWrap/>
            <w:vAlign w:val="bottom"/>
            <w:hideMark/>
          </w:tcPr>
          <w:p w14:paraId="2DB8FA08"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2026</w:t>
            </w:r>
          </w:p>
        </w:tc>
        <w:tc>
          <w:tcPr>
            <w:tcW w:w="752" w:type="dxa"/>
            <w:tcBorders>
              <w:top w:val="single" w:sz="8" w:space="0" w:color="009560"/>
              <w:left w:val="nil"/>
              <w:bottom w:val="nil"/>
              <w:right w:val="nil"/>
            </w:tcBorders>
            <w:noWrap/>
            <w:vAlign w:val="bottom"/>
            <w:hideMark/>
          </w:tcPr>
          <w:p w14:paraId="2C5CBD54"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2025</w:t>
            </w:r>
          </w:p>
        </w:tc>
        <w:tc>
          <w:tcPr>
            <w:tcW w:w="456" w:type="dxa"/>
            <w:tcBorders>
              <w:top w:val="single" w:sz="8" w:space="0" w:color="009560"/>
              <w:left w:val="nil"/>
              <w:bottom w:val="nil"/>
              <w:right w:val="nil"/>
            </w:tcBorders>
            <w:noWrap/>
            <w:vAlign w:val="bottom"/>
            <w:hideMark/>
          </w:tcPr>
          <w:p w14:paraId="7CD810BC"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single" w:sz="8" w:space="0" w:color="009560"/>
              <w:left w:val="nil"/>
              <w:bottom w:val="nil"/>
              <w:right w:val="nil"/>
            </w:tcBorders>
            <w:vAlign w:val="bottom"/>
            <w:hideMark/>
          </w:tcPr>
          <w:p w14:paraId="0806F89B"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Original Budget</w:t>
            </w:r>
          </w:p>
        </w:tc>
      </w:tr>
      <w:tr w:rsidR="00096500" w:rsidRPr="00FB3628" w14:paraId="6E72FA40" w14:textId="77777777" w:rsidTr="00377CCF">
        <w:trPr>
          <w:trHeight w:val="300"/>
        </w:trPr>
        <w:tc>
          <w:tcPr>
            <w:tcW w:w="4503" w:type="dxa"/>
            <w:tcBorders>
              <w:top w:val="nil"/>
              <w:left w:val="nil"/>
              <w:bottom w:val="single" w:sz="8" w:space="0" w:color="009560"/>
              <w:right w:val="nil"/>
            </w:tcBorders>
            <w:noWrap/>
            <w:vAlign w:val="bottom"/>
            <w:hideMark/>
          </w:tcPr>
          <w:p w14:paraId="48F0AAEE"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116" w:type="dxa"/>
            <w:tcBorders>
              <w:top w:val="nil"/>
              <w:left w:val="nil"/>
              <w:bottom w:val="single" w:sz="8" w:space="0" w:color="009560"/>
              <w:right w:val="nil"/>
            </w:tcBorders>
            <w:noWrap/>
            <w:vAlign w:val="bottom"/>
            <w:hideMark/>
          </w:tcPr>
          <w:p w14:paraId="53DA4972"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Notes</w:t>
            </w:r>
          </w:p>
        </w:tc>
        <w:tc>
          <w:tcPr>
            <w:tcW w:w="898" w:type="dxa"/>
            <w:tcBorders>
              <w:top w:val="nil"/>
              <w:left w:val="nil"/>
              <w:bottom w:val="single" w:sz="8" w:space="0" w:color="009560"/>
              <w:right w:val="nil"/>
            </w:tcBorders>
            <w:noWrap/>
            <w:vAlign w:val="bottom"/>
            <w:hideMark/>
          </w:tcPr>
          <w:p w14:paraId="78408436"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$’000</w:t>
            </w:r>
          </w:p>
        </w:tc>
        <w:tc>
          <w:tcPr>
            <w:tcW w:w="752" w:type="dxa"/>
            <w:tcBorders>
              <w:top w:val="nil"/>
              <w:left w:val="nil"/>
              <w:bottom w:val="single" w:sz="8" w:space="0" w:color="009560"/>
              <w:right w:val="nil"/>
            </w:tcBorders>
            <w:noWrap/>
            <w:vAlign w:val="bottom"/>
            <w:hideMark/>
          </w:tcPr>
          <w:p w14:paraId="5E1CF7BD"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$’000</w:t>
            </w:r>
          </w:p>
        </w:tc>
        <w:tc>
          <w:tcPr>
            <w:tcW w:w="456" w:type="dxa"/>
            <w:tcBorders>
              <w:top w:val="nil"/>
              <w:left w:val="nil"/>
              <w:bottom w:val="single" w:sz="8" w:space="0" w:color="009560"/>
              <w:right w:val="nil"/>
            </w:tcBorders>
            <w:noWrap/>
            <w:vAlign w:val="bottom"/>
            <w:hideMark/>
          </w:tcPr>
          <w:p w14:paraId="1858EBB3"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single" w:sz="8" w:space="0" w:color="009560"/>
              <w:right w:val="nil"/>
            </w:tcBorders>
            <w:noWrap/>
            <w:vAlign w:val="bottom"/>
            <w:hideMark/>
          </w:tcPr>
          <w:p w14:paraId="2656E3EE"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$’000</w:t>
            </w:r>
          </w:p>
        </w:tc>
      </w:tr>
      <w:tr w:rsidR="00096500" w:rsidRPr="00FB3628" w14:paraId="459018E0" w14:textId="77777777" w:rsidTr="00377CCF">
        <w:trPr>
          <w:trHeight w:val="285"/>
        </w:trPr>
        <w:tc>
          <w:tcPr>
            <w:tcW w:w="4503" w:type="dxa"/>
            <w:tcBorders>
              <w:top w:val="nil"/>
              <w:left w:val="nil"/>
              <w:bottom w:val="nil"/>
              <w:right w:val="nil"/>
            </w:tcBorders>
            <w:noWrap/>
            <w:vAlign w:val="bottom"/>
            <w:hideMark/>
          </w:tcPr>
          <w:p w14:paraId="4BF74C74"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ASSETS</w:t>
            </w:r>
          </w:p>
        </w:tc>
        <w:tc>
          <w:tcPr>
            <w:tcW w:w="1116" w:type="dxa"/>
            <w:tcBorders>
              <w:top w:val="nil"/>
              <w:left w:val="nil"/>
              <w:bottom w:val="nil"/>
              <w:right w:val="nil"/>
            </w:tcBorders>
            <w:noWrap/>
            <w:vAlign w:val="bottom"/>
            <w:hideMark/>
          </w:tcPr>
          <w:p w14:paraId="693CEADC"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p>
        </w:tc>
        <w:tc>
          <w:tcPr>
            <w:tcW w:w="898" w:type="dxa"/>
            <w:tcBorders>
              <w:top w:val="nil"/>
              <w:left w:val="nil"/>
              <w:bottom w:val="nil"/>
              <w:right w:val="nil"/>
            </w:tcBorders>
            <w:noWrap/>
            <w:vAlign w:val="bottom"/>
            <w:hideMark/>
          </w:tcPr>
          <w:p w14:paraId="610AE943" w14:textId="77777777" w:rsidR="00096500" w:rsidRPr="00FB3628" w:rsidRDefault="00096500" w:rsidP="00856101">
            <w:pPr>
              <w:spacing w:after="0" w:line="240" w:lineRule="auto"/>
              <w:jc w:val="center"/>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7AA3AC64" w14:textId="77777777" w:rsidR="00096500" w:rsidRPr="00FB3628" w:rsidRDefault="00096500" w:rsidP="00856101">
            <w:pPr>
              <w:spacing w:after="0" w:line="240" w:lineRule="auto"/>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74197E99" w14:textId="77777777" w:rsidR="00096500" w:rsidRPr="00FB3628" w:rsidRDefault="00096500"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111AA09B" w14:textId="77777777" w:rsidR="00096500" w:rsidRPr="00FB3628" w:rsidRDefault="00096500" w:rsidP="00856101">
            <w:pPr>
              <w:spacing w:after="0" w:line="240" w:lineRule="auto"/>
              <w:jc w:val="right"/>
              <w:rPr>
                <w:rFonts w:ascii="Times New Roman" w:eastAsia="Times New Roman" w:hAnsi="Times New Roman" w:cs="Times New Roman"/>
                <w:color w:val="auto"/>
                <w:sz w:val="20"/>
                <w:szCs w:val="20"/>
                <w:lang w:eastAsia="en-AU"/>
              </w:rPr>
            </w:pPr>
          </w:p>
        </w:tc>
      </w:tr>
      <w:tr w:rsidR="00096500" w:rsidRPr="00FB3628" w14:paraId="6BD8B867" w14:textId="77777777" w:rsidTr="00377CCF">
        <w:trPr>
          <w:trHeight w:val="240"/>
        </w:trPr>
        <w:tc>
          <w:tcPr>
            <w:tcW w:w="4503" w:type="dxa"/>
            <w:tcBorders>
              <w:top w:val="nil"/>
              <w:left w:val="nil"/>
              <w:bottom w:val="nil"/>
              <w:right w:val="nil"/>
            </w:tcBorders>
            <w:shd w:val="clear" w:color="000000" w:fill="FFFFFF"/>
            <w:noWrap/>
            <w:vAlign w:val="bottom"/>
            <w:hideMark/>
          </w:tcPr>
          <w:p w14:paraId="4417168D"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Financial assets</w:t>
            </w:r>
          </w:p>
        </w:tc>
        <w:tc>
          <w:tcPr>
            <w:tcW w:w="1116" w:type="dxa"/>
            <w:tcBorders>
              <w:top w:val="nil"/>
              <w:left w:val="nil"/>
              <w:bottom w:val="nil"/>
              <w:right w:val="nil"/>
            </w:tcBorders>
            <w:shd w:val="clear" w:color="000000" w:fill="FFFFFF"/>
            <w:noWrap/>
            <w:vAlign w:val="bottom"/>
            <w:hideMark/>
          </w:tcPr>
          <w:p w14:paraId="44C8FC82" w14:textId="77777777" w:rsidR="00096500" w:rsidRPr="00FB3628" w:rsidRDefault="00096500" w:rsidP="00856101">
            <w:pPr>
              <w:spacing w:after="0" w:line="240" w:lineRule="auto"/>
              <w:jc w:val="center"/>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898" w:type="dxa"/>
            <w:tcBorders>
              <w:top w:val="nil"/>
              <w:left w:val="nil"/>
              <w:bottom w:val="nil"/>
              <w:right w:val="nil"/>
            </w:tcBorders>
            <w:shd w:val="clear" w:color="000000" w:fill="FFFFFF"/>
            <w:noWrap/>
            <w:vAlign w:val="bottom"/>
            <w:hideMark/>
          </w:tcPr>
          <w:p w14:paraId="6D8BE688"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2B17F169"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50950250"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7F86A79A"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254DA507" w14:textId="77777777" w:rsidTr="00377CCF">
        <w:trPr>
          <w:trHeight w:val="240"/>
        </w:trPr>
        <w:tc>
          <w:tcPr>
            <w:tcW w:w="4503" w:type="dxa"/>
            <w:tcBorders>
              <w:top w:val="nil"/>
              <w:left w:val="nil"/>
              <w:bottom w:val="nil"/>
              <w:right w:val="nil"/>
            </w:tcBorders>
            <w:shd w:val="clear" w:color="000000" w:fill="FFFFFF"/>
            <w:hideMark/>
          </w:tcPr>
          <w:p w14:paraId="74273230"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Cash and cash equivalents</w:t>
            </w:r>
          </w:p>
        </w:tc>
        <w:tc>
          <w:tcPr>
            <w:tcW w:w="1116" w:type="dxa"/>
            <w:tcBorders>
              <w:top w:val="nil"/>
              <w:left w:val="nil"/>
              <w:bottom w:val="nil"/>
              <w:right w:val="nil"/>
            </w:tcBorders>
            <w:shd w:val="clear" w:color="000000" w:fill="FFFFFF"/>
            <w:noWrap/>
            <w:vAlign w:val="bottom"/>
            <w:hideMark/>
          </w:tcPr>
          <w:p w14:paraId="1EBD5580" w14:textId="77777777" w:rsidR="00096500" w:rsidRPr="00FB3628"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56" w:anchor="RANGE!D3" w:history="1">
              <w:r w:rsidRPr="00FB3628">
                <w:rPr>
                  <w:rFonts w:ascii="Times New Roman" w:eastAsia="Times New Roman" w:hAnsi="Times New Roman" w:cs="Times New Roman"/>
                  <w:color w:val="0000FF"/>
                  <w:sz w:val="18"/>
                  <w:szCs w:val="18"/>
                  <w:u w:val="single"/>
                  <w:lang w:eastAsia="en-AU"/>
                </w:rPr>
                <w:t>2.1A</w:t>
              </w:r>
            </w:hyperlink>
          </w:p>
        </w:tc>
        <w:tc>
          <w:tcPr>
            <w:tcW w:w="898" w:type="dxa"/>
            <w:tcBorders>
              <w:top w:val="nil"/>
              <w:left w:val="nil"/>
              <w:bottom w:val="nil"/>
              <w:right w:val="nil"/>
            </w:tcBorders>
            <w:shd w:val="clear" w:color="000000" w:fill="FFFFFF"/>
            <w:noWrap/>
            <w:vAlign w:val="bottom"/>
            <w:hideMark/>
          </w:tcPr>
          <w:p w14:paraId="6085BEEE"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94,415 </w:t>
            </w:r>
          </w:p>
        </w:tc>
        <w:tc>
          <w:tcPr>
            <w:tcW w:w="752" w:type="dxa"/>
            <w:tcBorders>
              <w:top w:val="nil"/>
              <w:left w:val="nil"/>
              <w:bottom w:val="nil"/>
              <w:right w:val="nil"/>
            </w:tcBorders>
            <w:shd w:val="clear" w:color="000000" w:fill="FFFFFF"/>
            <w:noWrap/>
            <w:vAlign w:val="bottom"/>
            <w:hideMark/>
          </w:tcPr>
          <w:p w14:paraId="05FA897B"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74,160 </w:t>
            </w:r>
          </w:p>
        </w:tc>
        <w:tc>
          <w:tcPr>
            <w:tcW w:w="456" w:type="dxa"/>
            <w:tcBorders>
              <w:top w:val="nil"/>
              <w:left w:val="nil"/>
              <w:bottom w:val="nil"/>
              <w:right w:val="nil"/>
            </w:tcBorders>
            <w:shd w:val="clear" w:color="000000" w:fill="FFFFFF"/>
            <w:noWrap/>
            <w:vAlign w:val="bottom"/>
            <w:hideMark/>
          </w:tcPr>
          <w:p w14:paraId="7778DF10"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73126F88"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47,206 </w:t>
            </w:r>
          </w:p>
        </w:tc>
      </w:tr>
      <w:tr w:rsidR="00096500" w:rsidRPr="00FB3628" w14:paraId="2C674239" w14:textId="77777777" w:rsidTr="00377CCF">
        <w:trPr>
          <w:trHeight w:val="240"/>
        </w:trPr>
        <w:tc>
          <w:tcPr>
            <w:tcW w:w="4503" w:type="dxa"/>
            <w:tcBorders>
              <w:top w:val="nil"/>
              <w:left w:val="nil"/>
              <w:bottom w:val="nil"/>
              <w:right w:val="nil"/>
            </w:tcBorders>
            <w:shd w:val="clear" w:color="000000" w:fill="FFFFFF"/>
            <w:hideMark/>
          </w:tcPr>
          <w:p w14:paraId="2EC0B152"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Trade and other receivables</w:t>
            </w:r>
          </w:p>
        </w:tc>
        <w:tc>
          <w:tcPr>
            <w:tcW w:w="1116" w:type="dxa"/>
            <w:tcBorders>
              <w:top w:val="nil"/>
              <w:left w:val="nil"/>
              <w:bottom w:val="nil"/>
              <w:right w:val="nil"/>
            </w:tcBorders>
            <w:shd w:val="clear" w:color="000000" w:fill="FFFFFF"/>
            <w:noWrap/>
            <w:vAlign w:val="bottom"/>
            <w:hideMark/>
          </w:tcPr>
          <w:p w14:paraId="315F5DF9" w14:textId="77777777" w:rsidR="00096500" w:rsidRPr="00FB3628"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57" w:anchor="RANGE!D16" w:history="1">
              <w:r w:rsidRPr="00FB3628">
                <w:rPr>
                  <w:rFonts w:ascii="Times New Roman" w:eastAsia="Times New Roman" w:hAnsi="Times New Roman" w:cs="Times New Roman"/>
                  <w:color w:val="0000FF"/>
                  <w:sz w:val="18"/>
                  <w:szCs w:val="18"/>
                  <w:u w:val="single"/>
                  <w:lang w:eastAsia="en-AU"/>
                </w:rPr>
                <w:t>2.1B</w:t>
              </w:r>
            </w:hyperlink>
          </w:p>
        </w:tc>
        <w:tc>
          <w:tcPr>
            <w:tcW w:w="898" w:type="dxa"/>
            <w:tcBorders>
              <w:top w:val="nil"/>
              <w:left w:val="nil"/>
              <w:bottom w:val="nil"/>
              <w:right w:val="nil"/>
            </w:tcBorders>
            <w:noWrap/>
            <w:vAlign w:val="bottom"/>
            <w:hideMark/>
          </w:tcPr>
          <w:p w14:paraId="32A4E25D"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1,046 </w:t>
            </w:r>
          </w:p>
        </w:tc>
        <w:tc>
          <w:tcPr>
            <w:tcW w:w="752" w:type="dxa"/>
            <w:tcBorders>
              <w:top w:val="nil"/>
              <w:left w:val="nil"/>
              <w:bottom w:val="nil"/>
              <w:right w:val="nil"/>
            </w:tcBorders>
            <w:shd w:val="clear" w:color="000000" w:fill="FFFFFF"/>
            <w:noWrap/>
            <w:vAlign w:val="bottom"/>
            <w:hideMark/>
          </w:tcPr>
          <w:p w14:paraId="7A8CD981"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1,078 </w:t>
            </w:r>
          </w:p>
        </w:tc>
        <w:tc>
          <w:tcPr>
            <w:tcW w:w="456" w:type="dxa"/>
            <w:tcBorders>
              <w:top w:val="nil"/>
              <w:left w:val="nil"/>
              <w:bottom w:val="nil"/>
              <w:right w:val="nil"/>
            </w:tcBorders>
            <w:shd w:val="clear" w:color="000000" w:fill="FFFFFF"/>
            <w:noWrap/>
            <w:vAlign w:val="bottom"/>
            <w:hideMark/>
          </w:tcPr>
          <w:p w14:paraId="08813442"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5FBE8E55"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1,372 </w:t>
            </w:r>
          </w:p>
        </w:tc>
      </w:tr>
      <w:tr w:rsidR="00096500" w:rsidRPr="00FB3628" w14:paraId="41593786" w14:textId="77777777" w:rsidTr="00377CCF">
        <w:trPr>
          <w:trHeight w:val="240"/>
        </w:trPr>
        <w:tc>
          <w:tcPr>
            <w:tcW w:w="4503" w:type="dxa"/>
            <w:tcBorders>
              <w:top w:val="nil"/>
              <w:left w:val="nil"/>
              <w:bottom w:val="nil"/>
              <w:right w:val="nil"/>
            </w:tcBorders>
            <w:shd w:val="clear" w:color="000000" w:fill="FFFFFF"/>
            <w:noWrap/>
            <w:vAlign w:val="bottom"/>
            <w:hideMark/>
          </w:tcPr>
          <w:p w14:paraId="10645B67"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Total financial assets</w:t>
            </w:r>
          </w:p>
        </w:tc>
        <w:tc>
          <w:tcPr>
            <w:tcW w:w="1116" w:type="dxa"/>
            <w:tcBorders>
              <w:top w:val="nil"/>
              <w:left w:val="nil"/>
              <w:bottom w:val="nil"/>
              <w:right w:val="nil"/>
            </w:tcBorders>
            <w:shd w:val="clear" w:color="000000" w:fill="FFFFFF"/>
            <w:noWrap/>
            <w:vAlign w:val="bottom"/>
            <w:hideMark/>
          </w:tcPr>
          <w:p w14:paraId="751337F6" w14:textId="65E3BE24" w:rsidR="00096500" w:rsidRPr="00FB3628"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898" w:type="dxa"/>
            <w:tcBorders>
              <w:top w:val="single" w:sz="4" w:space="0" w:color="auto"/>
              <w:left w:val="nil"/>
              <w:bottom w:val="single" w:sz="4" w:space="0" w:color="auto"/>
              <w:right w:val="nil"/>
            </w:tcBorders>
            <w:shd w:val="clear" w:color="000000" w:fill="FFFFFF"/>
            <w:noWrap/>
            <w:vAlign w:val="bottom"/>
            <w:hideMark/>
          </w:tcPr>
          <w:p w14:paraId="7D56C562"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95,461 </w:t>
            </w:r>
          </w:p>
        </w:tc>
        <w:tc>
          <w:tcPr>
            <w:tcW w:w="752" w:type="dxa"/>
            <w:tcBorders>
              <w:top w:val="single" w:sz="4" w:space="0" w:color="auto"/>
              <w:left w:val="nil"/>
              <w:bottom w:val="single" w:sz="4" w:space="0" w:color="auto"/>
              <w:right w:val="nil"/>
            </w:tcBorders>
            <w:shd w:val="clear" w:color="000000" w:fill="FFFFFF"/>
            <w:noWrap/>
            <w:vAlign w:val="bottom"/>
            <w:hideMark/>
          </w:tcPr>
          <w:p w14:paraId="04DF4BE6"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75,238 </w:t>
            </w:r>
          </w:p>
        </w:tc>
        <w:tc>
          <w:tcPr>
            <w:tcW w:w="456" w:type="dxa"/>
            <w:tcBorders>
              <w:top w:val="nil"/>
              <w:left w:val="nil"/>
              <w:bottom w:val="nil"/>
              <w:right w:val="nil"/>
            </w:tcBorders>
            <w:shd w:val="clear" w:color="000000" w:fill="FFFFFF"/>
            <w:noWrap/>
            <w:vAlign w:val="bottom"/>
            <w:hideMark/>
          </w:tcPr>
          <w:p w14:paraId="056F5D72"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single" w:sz="4" w:space="0" w:color="auto"/>
              <w:left w:val="nil"/>
              <w:bottom w:val="single" w:sz="4" w:space="0" w:color="auto"/>
              <w:right w:val="nil"/>
            </w:tcBorders>
            <w:shd w:val="clear" w:color="000000" w:fill="FFFFFF"/>
            <w:noWrap/>
            <w:vAlign w:val="bottom"/>
            <w:hideMark/>
          </w:tcPr>
          <w:p w14:paraId="1C609C4F"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48,578 </w:t>
            </w:r>
          </w:p>
        </w:tc>
      </w:tr>
      <w:tr w:rsidR="00096500" w:rsidRPr="00FB3628" w14:paraId="5093AAB6" w14:textId="77777777" w:rsidTr="00377CCF">
        <w:trPr>
          <w:trHeight w:val="102"/>
        </w:trPr>
        <w:tc>
          <w:tcPr>
            <w:tcW w:w="4503" w:type="dxa"/>
            <w:tcBorders>
              <w:top w:val="nil"/>
              <w:left w:val="nil"/>
              <w:bottom w:val="nil"/>
              <w:right w:val="nil"/>
            </w:tcBorders>
            <w:shd w:val="clear" w:color="000000" w:fill="FFFFFF"/>
            <w:noWrap/>
            <w:vAlign w:val="bottom"/>
            <w:hideMark/>
          </w:tcPr>
          <w:p w14:paraId="16B3EBB2"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1116" w:type="dxa"/>
            <w:tcBorders>
              <w:top w:val="nil"/>
              <w:left w:val="nil"/>
              <w:bottom w:val="nil"/>
              <w:right w:val="nil"/>
            </w:tcBorders>
            <w:shd w:val="clear" w:color="000000" w:fill="FFFFFF"/>
            <w:noWrap/>
            <w:vAlign w:val="bottom"/>
            <w:hideMark/>
          </w:tcPr>
          <w:p w14:paraId="0F65C13E" w14:textId="6D024BE2" w:rsidR="00096500" w:rsidRPr="00FB3628"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898" w:type="dxa"/>
            <w:tcBorders>
              <w:top w:val="nil"/>
              <w:left w:val="nil"/>
              <w:bottom w:val="nil"/>
              <w:right w:val="nil"/>
            </w:tcBorders>
            <w:shd w:val="clear" w:color="000000" w:fill="FFFFFF"/>
            <w:noWrap/>
            <w:vAlign w:val="bottom"/>
            <w:hideMark/>
          </w:tcPr>
          <w:p w14:paraId="4DB31621"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6A64C913"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3782DCFB"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3264656C"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61F9A882" w14:textId="77777777" w:rsidTr="00377CCF">
        <w:trPr>
          <w:trHeight w:val="240"/>
        </w:trPr>
        <w:tc>
          <w:tcPr>
            <w:tcW w:w="4503" w:type="dxa"/>
            <w:tcBorders>
              <w:top w:val="nil"/>
              <w:left w:val="nil"/>
              <w:bottom w:val="nil"/>
              <w:right w:val="nil"/>
            </w:tcBorders>
            <w:shd w:val="clear" w:color="000000" w:fill="FFFFFF"/>
            <w:noWrap/>
            <w:vAlign w:val="bottom"/>
            <w:hideMark/>
          </w:tcPr>
          <w:p w14:paraId="4C08F716"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Non-financial assets</w:t>
            </w:r>
          </w:p>
        </w:tc>
        <w:tc>
          <w:tcPr>
            <w:tcW w:w="1116" w:type="dxa"/>
            <w:tcBorders>
              <w:top w:val="nil"/>
              <w:left w:val="nil"/>
              <w:bottom w:val="nil"/>
              <w:right w:val="nil"/>
            </w:tcBorders>
            <w:shd w:val="clear" w:color="000000" w:fill="FFFFFF"/>
            <w:noWrap/>
            <w:vAlign w:val="bottom"/>
            <w:hideMark/>
          </w:tcPr>
          <w:p w14:paraId="0EFBE136" w14:textId="77777777" w:rsidR="00096500" w:rsidRPr="00FB3628" w:rsidRDefault="00096500" w:rsidP="00856101">
            <w:pPr>
              <w:spacing w:after="0" w:line="240" w:lineRule="auto"/>
              <w:jc w:val="center"/>
              <w:rPr>
                <w:rFonts w:ascii="Cambria" w:eastAsia="Times New Roman" w:hAnsi="Cambria" w:cs="Calibri"/>
                <w:color w:val="0000FF"/>
                <w:sz w:val="18"/>
                <w:szCs w:val="18"/>
                <w:u w:val="single"/>
                <w:lang w:eastAsia="en-AU"/>
              </w:rPr>
            </w:pPr>
            <w:r w:rsidRPr="00FB3628">
              <w:rPr>
                <w:rFonts w:ascii="Cambria" w:eastAsia="Times New Roman" w:hAnsi="Cambria" w:cs="Calibri"/>
                <w:color w:val="0000FF"/>
                <w:sz w:val="18"/>
                <w:szCs w:val="18"/>
                <w:u w:val="single"/>
                <w:lang w:eastAsia="en-AU"/>
              </w:rPr>
              <w:t> </w:t>
            </w:r>
          </w:p>
        </w:tc>
        <w:tc>
          <w:tcPr>
            <w:tcW w:w="898" w:type="dxa"/>
            <w:tcBorders>
              <w:top w:val="nil"/>
              <w:left w:val="nil"/>
              <w:bottom w:val="nil"/>
              <w:right w:val="nil"/>
            </w:tcBorders>
            <w:shd w:val="clear" w:color="000000" w:fill="FFFFFF"/>
            <w:noWrap/>
            <w:vAlign w:val="bottom"/>
            <w:hideMark/>
          </w:tcPr>
          <w:p w14:paraId="6FFB7C67"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1DE06691"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44CB98ED"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51B6842E"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02D0D248" w14:textId="77777777" w:rsidTr="00377CCF">
        <w:trPr>
          <w:trHeight w:val="240"/>
        </w:trPr>
        <w:tc>
          <w:tcPr>
            <w:tcW w:w="4503" w:type="dxa"/>
            <w:tcBorders>
              <w:top w:val="nil"/>
              <w:left w:val="nil"/>
              <w:bottom w:val="nil"/>
              <w:right w:val="nil"/>
            </w:tcBorders>
            <w:shd w:val="clear" w:color="000000" w:fill="FFFFFF"/>
            <w:noWrap/>
            <w:vAlign w:val="bottom"/>
            <w:hideMark/>
          </w:tcPr>
          <w:p w14:paraId="41C26E39"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Buildings (right-of-use assets)</w:t>
            </w:r>
          </w:p>
        </w:tc>
        <w:tc>
          <w:tcPr>
            <w:tcW w:w="1116" w:type="dxa"/>
            <w:tcBorders>
              <w:top w:val="nil"/>
              <w:left w:val="nil"/>
              <w:bottom w:val="nil"/>
              <w:right w:val="nil"/>
            </w:tcBorders>
            <w:shd w:val="clear" w:color="000000" w:fill="FFFFFF"/>
            <w:noWrap/>
            <w:vAlign w:val="bottom"/>
            <w:hideMark/>
          </w:tcPr>
          <w:p w14:paraId="5B0B693B" w14:textId="77777777" w:rsidR="00096500" w:rsidRPr="00FB3628"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58" w:anchor="RANGE!C4" w:history="1">
              <w:r w:rsidRPr="00FB3628">
                <w:rPr>
                  <w:rFonts w:ascii="Times New Roman" w:eastAsia="Times New Roman" w:hAnsi="Times New Roman" w:cs="Times New Roman"/>
                  <w:color w:val="0000FF"/>
                  <w:sz w:val="18"/>
                  <w:szCs w:val="18"/>
                  <w:u w:val="single"/>
                  <w:lang w:eastAsia="en-AU"/>
                </w:rPr>
                <w:t>2.2A</w:t>
              </w:r>
            </w:hyperlink>
          </w:p>
        </w:tc>
        <w:tc>
          <w:tcPr>
            <w:tcW w:w="898" w:type="dxa"/>
            <w:tcBorders>
              <w:top w:val="nil"/>
              <w:left w:val="nil"/>
              <w:bottom w:val="nil"/>
              <w:right w:val="nil"/>
            </w:tcBorders>
            <w:noWrap/>
            <w:vAlign w:val="bottom"/>
            <w:hideMark/>
          </w:tcPr>
          <w:p w14:paraId="5FD0E52F"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7,254 </w:t>
            </w:r>
          </w:p>
        </w:tc>
        <w:tc>
          <w:tcPr>
            <w:tcW w:w="752" w:type="dxa"/>
            <w:tcBorders>
              <w:top w:val="nil"/>
              <w:left w:val="nil"/>
              <w:bottom w:val="nil"/>
              <w:right w:val="nil"/>
            </w:tcBorders>
            <w:shd w:val="clear" w:color="000000" w:fill="FFFFFF"/>
            <w:noWrap/>
            <w:vAlign w:val="bottom"/>
            <w:hideMark/>
          </w:tcPr>
          <w:p w14:paraId="6BF5135D"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8,534 </w:t>
            </w:r>
          </w:p>
        </w:tc>
        <w:tc>
          <w:tcPr>
            <w:tcW w:w="456" w:type="dxa"/>
            <w:tcBorders>
              <w:top w:val="nil"/>
              <w:left w:val="nil"/>
              <w:bottom w:val="nil"/>
              <w:right w:val="nil"/>
            </w:tcBorders>
            <w:shd w:val="clear" w:color="000000" w:fill="FFFFFF"/>
            <w:noWrap/>
            <w:vAlign w:val="bottom"/>
            <w:hideMark/>
          </w:tcPr>
          <w:p w14:paraId="33F4C814"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noWrap/>
            <w:vAlign w:val="bottom"/>
            <w:hideMark/>
          </w:tcPr>
          <w:p w14:paraId="50AC7351"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7,253 </w:t>
            </w:r>
          </w:p>
        </w:tc>
      </w:tr>
      <w:tr w:rsidR="00096500" w:rsidRPr="00FB3628" w14:paraId="558F7A4A" w14:textId="77777777" w:rsidTr="00377CCF">
        <w:trPr>
          <w:trHeight w:val="240"/>
        </w:trPr>
        <w:tc>
          <w:tcPr>
            <w:tcW w:w="4503" w:type="dxa"/>
            <w:tcBorders>
              <w:top w:val="nil"/>
              <w:left w:val="nil"/>
              <w:bottom w:val="nil"/>
              <w:right w:val="nil"/>
            </w:tcBorders>
            <w:shd w:val="clear" w:color="000000" w:fill="FFFFFF"/>
            <w:hideMark/>
          </w:tcPr>
          <w:p w14:paraId="201FBE31"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Leasehold improvement</w:t>
            </w:r>
          </w:p>
        </w:tc>
        <w:tc>
          <w:tcPr>
            <w:tcW w:w="1116" w:type="dxa"/>
            <w:tcBorders>
              <w:top w:val="nil"/>
              <w:left w:val="nil"/>
              <w:bottom w:val="nil"/>
              <w:right w:val="nil"/>
            </w:tcBorders>
            <w:shd w:val="clear" w:color="000000" w:fill="FFFFFF"/>
            <w:noWrap/>
            <w:vAlign w:val="bottom"/>
            <w:hideMark/>
          </w:tcPr>
          <w:p w14:paraId="7CD033D1" w14:textId="77777777" w:rsidR="00096500" w:rsidRPr="00FB3628"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59" w:anchor="RANGE!C4" w:history="1">
              <w:r w:rsidRPr="00FB3628">
                <w:rPr>
                  <w:rFonts w:ascii="Times New Roman" w:eastAsia="Times New Roman" w:hAnsi="Times New Roman" w:cs="Times New Roman"/>
                  <w:color w:val="0000FF"/>
                  <w:sz w:val="18"/>
                  <w:szCs w:val="18"/>
                  <w:u w:val="single"/>
                  <w:lang w:eastAsia="en-AU"/>
                </w:rPr>
                <w:t>2.2A</w:t>
              </w:r>
            </w:hyperlink>
          </w:p>
        </w:tc>
        <w:tc>
          <w:tcPr>
            <w:tcW w:w="898" w:type="dxa"/>
            <w:tcBorders>
              <w:top w:val="nil"/>
              <w:left w:val="nil"/>
              <w:bottom w:val="nil"/>
              <w:right w:val="nil"/>
            </w:tcBorders>
            <w:noWrap/>
            <w:vAlign w:val="bottom"/>
            <w:hideMark/>
          </w:tcPr>
          <w:p w14:paraId="5A60DDD9"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1,852 </w:t>
            </w:r>
          </w:p>
        </w:tc>
        <w:tc>
          <w:tcPr>
            <w:tcW w:w="752" w:type="dxa"/>
            <w:tcBorders>
              <w:top w:val="nil"/>
              <w:left w:val="nil"/>
              <w:bottom w:val="nil"/>
              <w:right w:val="nil"/>
            </w:tcBorders>
            <w:shd w:val="clear" w:color="000000" w:fill="FFFFFF"/>
            <w:noWrap/>
            <w:vAlign w:val="bottom"/>
            <w:hideMark/>
          </w:tcPr>
          <w:p w14:paraId="512BB0A9"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2,048 </w:t>
            </w:r>
          </w:p>
        </w:tc>
        <w:tc>
          <w:tcPr>
            <w:tcW w:w="456" w:type="dxa"/>
            <w:tcBorders>
              <w:top w:val="nil"/>
              <w:left w:val="nil"/>
              <w:bottom w:val="nil"/>
              <w:right w:val="nil"/>
            </w:tcBorders>
            <w:shd w:val="clear" w:color="000000" w:fill="FFFFFF"/>
            <w:noWrap/>
            <w:vAlign w:val="bottom"/>
            <w:hideMark/>
          </w:tcPr>
          <w:p w14:paraId="142533A4"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noWrap/>
            <w:vAlign w:val="bottom"/>
            <w:hideMark/>
          </w:tcPr>
          <w:p w14:paraId="723AD1CC"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1,555 </w:t>
            </w:r>
          </w:p>
        </w:tc>
      </w:tr>
      <w:tr w:rsidR="00096500" w:rsidRPr="00FB3628" w14:paraId="63B38FA3" w14:textId="77777777" w:rsidTr="00377CCF">
        <w:trPr>
          <w:trHeight w:val="240"/>
        </w:trPr>
        <w:tc>
          <w:tcPr>
            <w:tcW w:w="4503" w:type="dxa"/>
            <w:tcBorders>
              <w:top w:val="nil"/>
              <w:left w:val="nil"/>
              <w:bottom w:val="nil"/>
              <w:right w:val="nil"/>
            </w:tcBorders>
            <w:shd w:val="clear" w:color="000000" w:fill="FFFFFF"/>
            <w:hideMark/>
          </w:tcPr>
          <w:p w14:paraId="7C535A65"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Computer software</w:t>
            </w:r>
          </w:p>
        </w:tc>
        <w:tc>
          <w:tcPr>
            <w:tcW w:w="1116" w:type="dxa"/>
            <w:tcBorders>
              <w:top w:val="nil"/>
              <w:left w:val="nil"/>
              <w:bottom w:val="nil"/>
              <w:right w:val="nil"/>
            </w:tcBorders>
            <w:shd w:val="clear" w:color="000000" w:fill="FFFFFF"/>
            <w:noWrap/>
            <w:vAlign w:val="bottom"/>
            <w:hideMark/>
          </w:tcPr>
          <w:p w14:paraId="24BFDC04" w14:textId="77777777" w:rsidR="00096500" w:rsidRPr="00FB3628"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60" w:anchor="RANGE!C4" w:history="1">
              <w:r w:rsidRPr="00FB3628">
                <w:rPr>
                  <w:rFonts w:ascii="Times New Roman" w:eastAsia="Times New Roman" w:hAnsi="Times New Roman" w:cs="Times New Roman"/>
                  <w:color w:val="0000FF"/>
                  <w:sz w:val="18"/>
                  <w:szCs w:val="18"/>
                  <w:u w:val="single"/>
                  <w:lang w:eastAsia="en-AU"/>
                </w:rPr>
                <w:t>2.2A</w:t>
              </w:r>
            </w:hyperlink>
          </w:p>
        </w:tc>
        <w:tc>
          <w:tcPr>
            <w:tcW w:w="898" w:type="dxa"/>
            <w:tcBorders>
              <w:top w:val="nil"/>
              <w:left w:val="nil"/>
              <w:bottom w:val="nil"/>
              <w:right w:val="nil"/>
            </w:tcBorders>
            <w:noWrap/>
            <w:vAlign w:val="bottom"/>
            <w:hideMark/>
          </w:tcPr>
          <w:p w14:paraId="6F683AB9"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1,398 </w:t>
            </w:r>
          </w:p>
        </w:tc>
        <w:tc>
          <w:tcPr>
            <w:tcW w:w="752" w:type="dxa"/>
            <w:tcBorders>
              <w:top w:val="nil"/>
              <w:left w:val="nil"/>
              <w:bottom w:val="nil"/>
              <w:right w:val="nil"/>
            </w:tcBorders>
            <w:shd w:val="clear" w:color="000000" w:fill="FFFFFF"/>
            <w:noWrap/>
            <w:vAlign w:val="bottom"/>
            <w:hideMark/>
          </w:tcPr>
          <w:p w14:paraId="0CA1D108"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1,845 </w:t>
            </w:r>
          </w:p>
        </w:tc>
        <w:tc>
          <w:tcPr>
            <w:tcW w:w="456" w:type="dxa"/>
            <w:tcBorders>
              <w:top w:val="nil"/>
              <w:left w:val="nil"/>
              <w:bottom w:val="nil"/>
              <w:right w:val="nil"/>
            </w:tcBorders>
            <w:shd w:val="clear" w:color="000000" w:fill="FFFFFF"/>
            <w:noWrap/>
            <w:vAlign w:val="bottom"/>
            <w:hideMark/>
          </w:tcPr>
          <w:p w14:paraId="36DCE345"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noWrap/>
            <w:vAlign w:val="bottom"/>
            <w:hideMark/>
          </w:tcPr>
          <w:p w14:paraId="53078CDB"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1,457 </w:t>
            </w:r>
          </w:p>
        </w:tc>
      </w:tr>
      <w:tr w:rsidR="00096500" w:rsidRPr="00FB3628" w14:paraId="3ECFE7AF" w14:textId="77777777" w:rsidTr="00377CCF">
        <w:trPr>
          <w:trHeight w:val="240"/>
        </w:trPr>
        <w:tc>
          <w:tcPr>
            <w:tcW w:w="4503" w:type="dxa"/>
            <w:tcBorders>
              <w:top w:val="nil"/>
              <w:left w:val="nil"/>
              <w:bottom w:val="nil"/>
              <w:right w:val="nil"/>
            </w:tcBorders>
            <w:shd w:val="clear" w:color="000000" w:fill="FFFFFF"/>
            <w:hideMark/>
          </w:tcPr>
          <w:p w14:paraId="7A9A577F"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Other - prepayments</w:t>
            </w:r>
          </w:p>
        </w:tc>
        <w:tc>
          <w:tcPr>
            <w:tcW w:w="1116" w:type="dxa"/>
            <w:tcBorders>
              <w:top w:val="nil"/>
              <w:left w:val="nil"/>
              <w:bottom w:val="nil"/>
              <w:right w:val="nil"/>
            </w:tcBorders>
            <w:shd w:val="clear" w:color="000000" w:fill="FFFFFF"/>
            <w:noWrap/>
            <w:vAlign w:val="bottom"/>
            <w:hideMark/>
          </w:tcPr>
          <w:p w14:paraId="0E1BA9F0" w14:textId="0C261C7C" w:rsidR="00096500" w:rsidRPr="00FB3628"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r w:rsidRPr="00FB3628">
              <w:rPr>
                <w:rFonts w:ascii="Times New Roman" w:eastAsia="Times New Roman" w:hAnsi="Times New Roman" w:cs="Times New Roman"/>
                <w:noProof/>
                <w:color w:val="0000FF"/>
                <w:sz w:val="18"/>
                <w:szCs w:val="18"/>
                <w:lang w:eastAsia="en-AU"/>
              </w:rPr>
              <w:drawing>
                <wp:anchor distT="0" distB="0" distL="114300" distR="114300" simplePos="0" relativeHeight="251674624" behindDoc="0" locked="0" layoutInCell="1" allowOverlap="1" wp14:anchorId="6E53BAFD" wp14:editId="1D398063">
                  <wp:simplePos x="0" y="0"/>
                  <wp:positionH relativeFrom="column">
                    <wp:posOffset>68580</wp:posOffset>
                  </wp:positionH>
                  <wp:positionV relativeFrom="paragraph">
                    <wp:posOffset>0</wp:posOffset>
                  </wp:positionV>
                  <wp:extent cx="152400" cy="0"/>
                  <wp:effectExtent l="0" t="0" r="0" b="0"/>
                  <wp:wrapNone/>
                  <wp:docPr id="1029422138" name="Picture 54">
                    <a:extLst xmlns:a="http://schemas.openxmlformats.org/drawingml/2006/main">
                      <a:ext uri="{63B3BB69-23CF-44E3-9099-C40C66FF867C}">
                        <a14:compatExt xmlns:a14="http://schemas.microsoft.com/office/drawing/2010/main" spid="_x0000_s7170"/>
                      </a:ext>
                      <a:ext uri="{FF2B5EF4-FFF2-40B4-BE49-F238E27FC236}">
                        <a16:creationId xmlns:a16="http://schemas.microsoft.com/office/drawing/2014/main" id="{00000000-0008-0000-0500-0000021C0000}"/>
                      </a:ext>
                    </a:extLst>
                  </wp:docPr>
                  <wp:cNvGraphicFramePr/>
                  <a:graphic xmlns:a="http://schemas.openxmlformats.org/drawingml/2006/main">
                    <a:graphicData uri="http://schemas.openxmlformats.org/drawingml/2006/picture">
                      <pic:pic xmlns:pic="http://schemas.openxmlformats.org/drawingml/2006/picture">
                        <pic:nvPicPr>
                          <pic:cNvPr id="2" name="Label 2">
                            <a:extLst>
                              <a:ext uri="{63B3BB69-23CF-44E3-9099-C40C66FF867C}">
                                <a14:compatExt xmlns:a14="http://schemas.microsoft.com/office/drawing/2010/main" spid="_x0000_s7170"/>
                              </a:ext>
                              <a:ext uri="{FF2B5EF4-FFF2-40B4-BE49-F238E27FC236}">
                                <a16:creationId xmlns:a16="http://schemas.microsoft.com/office/drawing/2014/main" id="{00000000-0008-0000-0500-0000021C0000}"/>
                              </a:ext>
                            </a:extLst>
                          </pic:cNvPr>
                          <pic:cNvPicPr>
                            <a:picLocks noChangeAspect="1"/>
                          </pic:cNvPicPr>
                        </pic:nvPicPr>
                        <pic:blipFill>
                          <a:blip r:embed="rId61"/>
                          <a:stretch>
                            <a:fillRect/>
                          </a:stretch>
                        </pic:blipFill>
                        <pic:spPr>
                          <a:xfrm>
                            <a:off x="0" y="0"/>
                            <a:ext cx="152400" cy="0"/>
                          </a:xfrm>
                          <a:prstGeom prst="rect">
                            <a:avLst/>
                          </a:prstGeom>
                        </pic:spPr>
                      </pic:pic>
                    </a:graphicData>
                  </a:graphic>
                  <wp14:sizeRelH relativeFrom="page">
                    <wp14:pctWidth>0</wp14:pctWidth>
                  </wp14:sizeRelH>
                  <wp14:sizeRelV relativeFrom="page">
                    <wp14:pctHeight>0</wp14:pctHeight>
                  </wp14:sizeRelV>
                </wp:anchor>
              </w:drawing>
            </w:r>
            <w:r w:rsidRPr="00FB3628">
              <w:rPr>
                <w:rFonts w:ascii="Times New Roman" w:eastAsia="Times New Roman" w:hAnsi="Times New Roman" w:cs="Times New Roman"/>
                <w:noProof/>
                <w:color w:val="0000FF"/>
                <w:sz w:val="18"/>
                <w:szCs w:val="18"/>
                <w:lang w:eastAsia="en-AU"/>
              </w:rPr>
              <w:drawing>
                <wp:anchor distT="0" distB="0" distL="114300" distR="114300" simplePos="0" relativeHeight="251675648" behindDoc="0" locked="0" layoutInCell="1" allowOverlap="1" wp14:anchorId="41FF0ED6" wp14:editId="70E8FC69">
                  <wp:simplePos x="0" y="0"/>
                  <wp:positionH relativeFrom="column">
                    <wp:posOffset>68580</wp:posOffset>
                  </wp:positionH>
                  <wp:positionV relativeFrom="paragraph">
                    <wp:posOffset>0</wp:posOffset>
                  </wp:positionV>
                  <wp:extent cx="152400" cy="0"/>
                  <wp:effectExtent l="0" t="0" r="0" b="0"/>
                  <wp:wrapNone/>
                  <wp:docPr id="99653722" name="Picture 53">
                    <a:extLst xmlns:a="http://schemas.openxmlformats.org/drawingml/2006/main">
                      <a:ext uri="{63B3BB69-23CF-44E3-9099-C40C66FF867C}">
                        <a14:compatExt xmlns:a14="http://schemas.microsoft.com/office/drawing/2010/main" spid="_x0000_s7171"/>
                      </a:ext>
                      <a:ext uri="{FF2B5EF4-FFF2-40B4-BE49-F238E27FC236}">
                        <a16:creationId xmlns:a16="http://schemas.microsoft.com/office/drawing/2014/main" id="{00000000-0008-0000-0500-0000031C0000}"/>
                      </a:ext>
                    </a:extLst>
                  </wp:docPr>
                  <wp:cNvGraphicFramePr/>
                  <a:graphic xmlns:a="http://schemas.openxmlformats.org/drawingml/2006/main">
                    <a:graphicData uri="http://schemas.openxmlformats.org/drawingml/2006/picture">
                      <pic:pic xmlns:pic="http://schemas.openxmlformats.org/drawingml/2006/picture">
                        <pic:nvPicPr>
                          <pic:cNvPr id="2" name="Label 3">
                            <a:extLst>
                              <a:ext uri="{63B3BB69-23CF-44E3-9099-C40C66FF867C}">
                                <a14:compatExt xmlns:a14="http://schemas.microsoft.com/office/drawing/2010/main" spid="_x0000_s7171"/>
                              </a:ext>
                              <a:ext uri="{FF2B5EF4-FFF2-40B4-BE49-F238E27FC236}">
                                <a16:creationId xmlns:a16="http://schemas.microsoft.com/office/drawing/2014/main" id="{00000000-0008-0000-0500-0000031C0000}"/>
                              </a:ext>
                            </a:extLst>
                          </pic:cNvPr>
                          <pic:cNvPicPr>
                            <a:picLocks noChangeAspect="1"/>
                          </pic:cNvPicPr>
                        </pic:nvPicPr>
                        <pic:blipFill>
                          <a:blip r:embed="rId61"/>
                          <a:stretch>
                            <a:fillRect/>
                          </a:stretch>
                        </pic:blipFill>
                        <pic:spPr>
                          <a:xfrm>
                            <a:off x="0" y="0"/>
                            <a:ext cx="152400" cy="0"/>
                          </a:xfrm>
                          <a:prstGeom prst="rect">
                            <a:avLst/>
                          </a:prstGeom>
                        </pic:spPr>
                      </pic:pic>
                    </a:graphicData>
                  </a:graphic>
                  <wp14:sizeRelH relativeFrom="page">
                    <wp14:pctWidth>0</wp14:pctWidth>
                  </wp14:sizeRelH>
                  <wp14:sizeRelV relativeFrom="page">
                    <wp14:pctHeight>0</wp14:pctHeight>
                  </wp14:sizeRelV>
                </wp:anchor>
              </w:drawing>
            </w:r>
            <w:r w:rsidRPr="00FB3628">
              <w:rPr>
                <w:rFonts w:ascii="Times New Roman" w:eastAsia="Times New Roman" w:hAnsi="Times New Roman" w:cs="Times New Roman"/>
                <w:noProof/>
                <w:color w:val="0000FF"/>
                <w:sz w:val="18"/>
                <w:szCs w:val="18"/>
                <w:lang w:eastAsia="en-AU"/>
              </w:rPr>
              <w:drawing>
                <wp:anchor distT="0" distB="0" distL="114300" distR="114300" simplePos="0" relativeHeight="251679744" behindDoc="0" locked="0" layoutInCell="1" allowOverlap="1" wp14:anchorId="35282BBA" wp14:editId="6122417B">
                  <wp:simplePos x="0" y="0"/>
                  <wp:positionH relativeFrom="column">
                    <wp:posOffset>68580</wp:posOffset>
                  </wp:positionH>
                  <wp:positionV relativeFrom="paragraph">
                    <wp:posOffset>0</wp:posOffset>
                  </wp:positionV>
                  <wp:extent cx="152400" cy="0"/>
                  <wp:effectExtent l="0" t="0" r="0" b="0"/>
                  <wp:wrapNone/>
                  <wp:docPr id="1227286047" name="Picture 52">
                    <a:extLst xmlns:a="http://schemas.openxmlformats.org/drawingml/2006/main">
                      <a:ext uri="{63B3BB69-23CF-44E3-9099-C40C66FF867C}">
                        <a14:compatExt xmlns:a14="http://schemas.microsoft.com/office/drawing/2010/main" spid="_x0000_s7175"/>
                      </a:ext>
                      <a:ext uri="{FF2B5EF4-FFF2-40B4-BE49-F238E27FC236}">
                        <a16:creationId xmlns:a16="http://schemas.microsoft.com/office/drawing/2014/main" id="{00000000-0008-0000-0500-0000071C0000}"/>
                      </a:ext>
                    </a:extLst>
                  </wp:docPr>
                  <wp:cNvGraphicFramePr/>
                  <a:graphic xmlns:a="http://schemas.openxmlformats.org/drawingml/2006/main">
                    <a:graphicData uri="http://schemas.openxmlformats.org/drawingml/2006/picture">
                      <pic:pic xmlns:pic="http://schemas.openxmlformats.org/drawingml/2006/picture">
                        <pic:nvPicPr>
                          <pic:cNvPr id="2" name="Label 7">
                            <a:extLst>
                              <a:ext uri="{63B3BB69-23CF-44E3-9099-C40C66FF867C}">
                                <a14:compatExt xmlns:a14="http://schemas.microsoft.com/office/drawing/2010/main" spid="_x0000_s7175"/>
                              </a:ext>
                              <a:ext uri="{FF2B5EF4-FFF2-40B4-BE49-F238E27FC236}">
                                <a16:creationId xmlns:a16="http://schemas.microsoft.com/office/drawing/2014/main" id="{00000000-0008-0000-0500-0000071C0000}"/>
                              </a:ext>
                            </a:extLst>
                          </pic:cNvPr>
                          <pic:cNvPicPr>
                            <a:picLocks noChangeAspect="1"/>
                          </pic:cNvPicPr>
                        </pic:nvPicPr>
                        <pic:blipFill>
                          <a:blip r:embed="rId61"/>
                          <a:stretch>
                            <a:fillRect/>
                          </a:stretch>
                        </pic:blipFill>
                        <pic:spPr>
                          <a:xfrm>
                            <a:off x="0" y="0"/>
                            <a:ext cx="152400" cy="0"/>
                          </a:xfrm>
                          <a:prstGeom prst="rect">
                            <a:avLst/>
                          </a:prstGeom>
                        </pic:spPr>
                      </pic:pic>
                    </a:graphicData>
                  </a:graphic>
                  <wp14:sizeRelH relativeFrom="page">
                    <wp14:pctWidth>0</wp14:pctWidth>
                  </wp14:sizeRelH>
                  <wp14:sizeRelV relativeFrom="page">
                    <wp14:pctHeight>0</wp14:pctHeight>
                  </wp14:sizeRelV>
                </wp:anchor>
              </w:drawing>
            </w:r>
          </w:p>
        </w:tc>
        <w:tc>
          <w:tcPr>
            <w:tcW w:w="898" w:type="dxa"/>
            <w:tcBorders>
              <w:top w:val="nil"/>
              <w:left w:val="nil"/>
              <w:bottom w:val="nil"/>
              <w:right w:val="nil"/>
            </w:tcBorders>
            <w:shd w:val="clear" w:color="000000" w:fill="FFFFFF"/>
            <w:noWrap/>
            <w:vAlign w:val="bottom"/>
            <w:hideMark/>
          </w:tcPr>
          <w:p w14:paraId="565306F8"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1,241 </w:t>
            </w:r>
          </w:p>
        </w:tc>
        <w:tc>
          <w:tcPr>
            <w:tcW w:w="752" w:type="dxa"/>
            <w:tcBorders>
              <w:top w:val="nil"/>
              <w:left w:val="nil"/>
              <w:bottom w:val="nil"/>
              <w:right w:val="nil"/>
            </w:tcBorders>
            <w:shd w:val="clear" w:color="000000" w:fill="FFFFFF"/>
            <w:noWrap/>
            <w:vAlign w:val="bottom"/>
            <w:hideMark/>
          </w:tcPr>
          <w:p w14:paraId="4A3F4D6E"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817 </w:t>
            </w:r>
          </w:p>
        </w:tc>
        <w:tc>
          <w:tcPr>
            <w:tcW w:w="456" w:type="dxa"/>
            <w:tcBorders>
              <w:top w:val="nil"/>
              <w:left w:val="nil"/>
              <w:bottom w:val="nil"/>
              <w:right w:val="nil"/>
            </w:tcBorders>
            <w:shd w:val="clear" w:color="000000" w:fill="FFFFFF"/>
            <w:noWrap/>
            <w:vAlign w:val="bottom"/>
            <w:hideMark/>
          </w:tcPr>
          <w:p w14:paraId="798A6008"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4C930266"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220 </w:t>
            </w:r>
          </w:p>
        </w:tc>
      </w:tr>
      <w:tr w:rsidR="00096500" w:rsidRPr="00FB3628" w14:paraId="7E793C1D" w14:textId="77777777" w:rsidTr="00377CCF">
        <w:trPr>
          <w:trHeight w:val="240"/>
        </w:trPr>
        <w:tc>
          <w:tcPr>
            <w:tcW w:w="4503" w:type="dxa"/>
            <w:tcBorders>
              <w:top w:val="nil"/>
              <w:left w:val="nil"/>
              <w:bottom w:val="nil"/>
              <w:right w:val="nil"/>
            </w:tcBorders>
            <w:shd w:val="clear" w:color="000000" w:fill="FFFFFF"/>
            <w:noWrap/>
            <w:vAlign w:val="bottom"/>
            <w:hideMark/>
          </w:tcPr>
          <w:p w14:paraId="48F7FC3D"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Total non-financial assets</w:t>
            </w:r>
          </w:p>
        </w:tc>
        <w:tc>
          <w:tcPr>
            <w:tcW w:w="1116" w:type="dxa"/>
            <w:tcBorders>
              <w:top w:val="nil"/>
              <w:left w:val="nil"/>
              <w:bottom w:val="nil"/>
              <w:right w:val="nil"/>
            </w:tcBorders>
            <w:shd w:val="clear" w:color="000000" w:fill="FFFFFF"/>
            <w:noWrap/>
            <w:vAlign w:val="bottom"/>
            <w:hideMark/>
          </w:tcPr>
          <w:p w14:paraId="6C949DED" w14:textId="2D1F6C6F" w:rsidR="00096500" w:rsidRPr="00FB3628"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898" w:type="dxa"/>
            <w:tcBorders>
              <w:top w:val="single" w:sz="4" w:space="0" w:color="auto"/>
              <w:left w:val="nil"/>
              <w:bottom w:val="single" w:sz="4" w:space="0" w:color="auto"/>
              <w:right w:val="nil"/>
            </w:tcBorders>
            <w:noWrap/>
            <w:vAlign w:val="bottom"/>
            <w:hideMark/>
          </w:tcPr>
          <w:p w14:paraId="1C7B9146"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11,745 </w:t>
            </w:r>
          </w:p>
        </w:tc>
        <w:tc>
          <w:tcPr>
            <w:tcW w:w="752" w:type="dxa"/>
            <w:tcBorders>
              <w:top w:val="single" w:sz="4" w:space="0" w:color="auto"/>
              <w:left w:val="nil"/>
              <w:bottom w:val="single" w:sz="4" w:space="0" w:color="auto"/>
              <w:right w:val="nil"/>
            </w:tcBorders>
            <w:shd w:val="clear" w:color="000000" w:fill="FFFFFF"/>
            <w:noWrap/>
            <w:vAlign w:val="bottom"/>
            <w:hideMark/>
          </w:tcPr>
          <w:p w14:paraId="4B80EDCA"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13,244 </w:t>
            </w:r>
          </w:p>
        </w:tc>
        <w:tc>
          <w:tcPr>
            <w:tcW w:w="456" w:type="dxa"/>
            <w:tcBorders>
              <w:top w:val="nil"/>
              <w:left w:val="nil"/>
              <w:bottom w:val="nil"/>
              <w:right w:val="nil"/>
            </w:tcBorders>
            <w:shd w:val="clear" w:color="000000" w:fill="FFFFFF"/>
            <w:noWrap/>
            <w:vAlign w:val="bottom"/>
            <w:hideMark/>
          </w:tcPr>
          <w:p w14:paraId="2C2F438A"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single" w:sz="4" w:space="0" w:color="auto"/>
              <w:left w:val="nil"/>
              <w:bottom w:val="single" w:sz="4" w:space="0" w:color="auto"/>
              <w:right w:val="nil"/>
            </w:tcBorders>
            <w:shd w:val="clear" w:color="000000" w:fill="FFFFFF"/>
            <w:noWrap/>
            <w:vAlign w:val="bottom"/>
            <w:hideMark/>
          </w:tcPr>
          <w:p w14:paraId="2C3EC0DA"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10,485 </w:t>
            </w:r>
          </w:p>
        </w:tc>
      </w:tr>
      <w:tr w:rsidR="00096500" w:rsidRPr="00FB3628" w14:paraId="7FCD9633" w14:textId="77777777" w:rsidTr="00377CCF">
        <w:trPr>
          <w:trHeight w:val="240"/>
        </w:trPr>
        <w:tc>
          <w:tcPr>
            <w:tcW w:w="4503" w:type="dxa"/>
            <w:tcBorders>
              <w:top w:val="nil"/>
              <w:left w:val="nil"/>
              <w:bottom w:val="nil"/>
              <w:right w:val="nil"/>
            </w:tcBorders>
            <w:shd w:val="clear" w:color="000000" w:fill="FFFFFF"/>
            <w:noWrap/>
            <w:vAlign w:val="bottom"/>
            <w:hideMark/>
          </w:tcPr>
          <w:p w14:paraId="0C042B56"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Total assets</w:t>
            </w:r>
          </w:p>
        </w:tc>
        <w:tc>
          <w:tcPr>
            <w:tcW w:w="1116" w:type="dxa"/>
            <w:tcBorders>
              <w:top w:val="nil"/>
              <w:left w:val="nil"/>
              <w:bottom w:val="nil"/>
              <w:right w:val="nil"/>
            </w:tcBorders>
            <w:shd w:val="clear" w:color="000000" w:fill="FFFFFF"/>
            <w:noWrap/>
            <w:vAlign w:val="bottom"/>
            <w:hideMark/>
          </w:tcPr>
          <w:p w14:paraId="16FF2D07" w14:textId="298F9852" w:rsidR="00096500" w:rsidRPr="00FB3628"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898" w:type="dxa"/>
            <w:tcBorders>
              <w:top w:val="single" w:sz="4" w:space="0" w:color="auto"/>
              <w:left w:val="nil"/>
              <w:bottom w:val="single" w:sz="4" w:space="0" w:color="auto"/>
              <w:right w:val="nil"/>
            </w:tcBorders>
            <w:shd w:val="clear" w:color="000000" w:fill="FFFFFF"/>
            <w:noWrap/>
            <w:vAlign w:val="bottom"/>
            <w:hideMark/>
          </w:tcPr>
          <w:p w14:paraId="566F3484"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107,206 </w:t>
            </w:r>
          </w:p>
        </w:tc>
        <w:tc>
          <w:tcPr>
            <w:tcW w:w="752" w:type="dxa"/>
            <w:tcBorders>
              <w:top w:val="single" w:sz="4" w:space="0" w:color="auto"/>
              <w:left w:val="nil"/>
              <w:bottom w:val="single" w:sz="4" w:space="0" w:color="auto"/>
              <w:right w:val="nil"/>
            </w:tcBorders>
            <w:shd w:val="clear" w:color="000000" w:fill="FFFFFF"/>
            <w:noWrap/>
            <w:vAlign w:val="bottom"/>
            <w:hideMark/>
          </w:tcPr>
          <w:p w14:paraId="033E9708"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88,482 </w:t>
            </w:r>
          </w:p>
        </w:tc>
        <w:tc>
          <w:tcPr>
            <w:tcW w:w="456" w:type="dxa"/>
            <w:tcBorders>
              <w:top w:val="nil"/>
              <w:left w:val="nil"/>
              <w:bottom w:val="nil"/>
              <w:right w:val="nil"/>
            </w:tcBorders>
            <w:shd w:val="clear" w:color="000000" w:fill="FFFFFF"/>
            <w:noWrap/>
            <w:vAlign w:val="bottom"/>
            <w:hideMark/>
          </w:tcPr>
          <w:p w14:paraId="1334B0AD"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single" w:sz="4" w:space="0" w:color="auto"/>
              <w:left w:val="nil"/>
              <w:bottom w:val="single" w:sz="4" w:space="0" w:color="auto"/>
              <w:right w:val="nil"/>
            </w:tcBorders>
            <w:shd w:val="clear" w:color="000000" w:fill="FFFFFF"/>
            <w:noWrap/>
            <w:vAlign w:val="bottom"/>
            <w:hideMark/>
          </w:tcPr>
          <w:p w14:paraId="676A9B1D"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59,063 </w:t>
            </w:r>
          </w:p>
        </w:tc>
      </w:tr>
      <w:tr w:rsidR="00096500" w:rsidRPr="00FB3628" w14:paraId="53BE32E7" w14:textId="77777777" w:rsidTr="00377CCF">
        <w:trPr>
          <w:trHeight w:val="102"/>
        </w:trPr>
        <w:tc>
          <w:tcPr>
            <w:tcW w:w="4503" w:type="dxa"/>
            <w:tcBorders>
              <w:top w:val="nil"/>
              <w:left w:val="nil"/>
              <w:bottom w:val="nil"/>
              <w:right w:val="nil"/>
            </w:tcBorders>
            <w:shd w:val="clear" w:color="000000" w:fill="FFFFFF"/>
            <w:noWrap/>
            <w:vAlign w:val="bottom"/>
            <w:hideMark/>
          </w:tcPr>
          <w:p w14:paraId="0D082D99"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1116" w:type="dxa"/>
            <w:tcBorders>
              <w:top w:val="nil"/>
              <w:left w:val="nil"/>
              <w:bottom w:val="nil"/>
              <w:right w:val="nil"/>
            </w:tcBorders>
            <w:shd w:val="clear" w:color="000000" w:fill="FFFFFF"/>
            <w:noWrap/>
            <w:vAlign w:val="bottom"/>
            <w:hideMark/>
          </w:tcPr>
          <w:p w14:paraId="0DC9FEDB" w14:textId="77777777" w:rsidR="00096500" w:rsidRPr="00FB3628"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898" w:type="dxa"/>
            <w:tcBorders>
              <w:top w:val="nil"/>
              <w:left w:val="nil"/>
              <w:bottom w:val="nil"/>
              <w:right w:val="nil"/>
            </w:tcBorders>
            <w:shd w:val="clear" w:color="000000" w:fill="FFFFFF"/>
            <w:noWrap/>
            <w:vAlign w:val="bottom"/>
            <w:hideMark/>
          </w:tcPr>
          <w:p w14:paraId="1942DAD9"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34D26EA8"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07EBE2E0"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7F6B558E"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70044914" w14:textId="77777777" w:rsidTr="00377CCF">
        <w:trPr>
          <w:trHeight w:val="240"/>
        </w:trPr>
        <w:tc>
          <w:tcPr>
            <w:tcW w:w="4503" w:type="dxa"/>
            <w:tcBorders>
              <w:top w:val="nil"/>
              <w:left w:val="nil"/>
              <w:bottom w:val="nil"/>
              <w:right w:val="nil"/>
            </w:tcBorders>
            <w:shd w:val="clear" w:color="000000" w:fill="FFFFFF"/>
            <w:noWrap/>
            <w:vAlign w:val="bottom"/>
            <w:hideMark/>
          </w:tcPr>
          <w:p w14:paraId="42B3ADBF"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LIABILITIES</w:t>
            </w:r>
          </w:p>
        </w:tc>
        <w:tc>
          <w:tcPr>
            <w:tcW w:w="1116" w:type="dxa"/>
            <w:tcBorders>
              <w:top w:val="nil"/>
              <w:left w:val="nil"/>
              <w:bottom w:val="nil"/>
              <w:right w:val="nil"/>
            </w:tcBorders>
            <w:shd w:val="clear" w:color="000000" w:fill="FFFFFF"/>
            <w:noWrap/>
            <w:vAlign w:val="bottom"/>
            <w:hideMark/>
          </w:tcPr>
          <w:p w14:paraId="021D4C76" w14:textId="77777777" w:rsidR="00096500" w:rsidRPr="00FB3628"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898" w:type="dxa"/>
            <w:tcBorders>
              <w:top w:val="nil"/>
              <w:left w:val="nil"/>
              <w:bottom w:val="nil"/>
              <w:right w:val="nil"/>
            </w:tcBorders>
            <w:shd w:val="clear" w:color="000000" w:fill="FFFFFF"/>
            <w:noWrap/>
            <w:vAlign w:val="bottom"/>
            <w:hideMark/>
          </w:tcPr>
          <w:p w14:paraId="390AF6B3"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74A714D5"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48D71E1F"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7FAB7714"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3E7553D7" w14:textId="77777777" w:rsidTr="00377CCF">
        <w:trPr>
          <w:trHeight w:val="240"/>
        </w:trPr>
        <w:tc>
          <w:tcPr>
            <w:tcW w:w="4503" w:type="dxa"/>
            <w:tcBorders>
              <w:top w:val="nil"/>
              <w:left w:val="nil"/>
              <w:bottom w:val="nil"/>
              <w:right w:val="nil"/>
            </w:tcBorders>
            <w:shd w:val="clear" w:color="000000" w:fill="FFFFFF"/>
            <w:noWrap/>
            <w:vAlign w:val="bottom"/>
            <w:hideMark/>
          </w:tcPr>
          <w:p w14:paraId="6F746632"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Payables</w:t>
            </w:r>
          </w:p>
        </w:tc>
        <w:tc>
          <w:tcPr>
            <w:tcW w:w="1116" w:type="dxa"/>
            <w:tcBorders>
              <w:top w:val="nil"/>
              <w:left w:val="nil"/>
              <w:bottom w:val="nil"/>
              <w:right w:val="nil"/>
            </w:tcBorders>
            <w:shd w:val="clear" w:color="000000" w:fill="FFFFFF"/>
            <w:noWrap/>
            <w:vAlign w:val="bottom"/>
            <w:hideMark/>
          </w:tcPr>
          <w:p w14:paraId="5F817596" w14:textId="77777777" w:rsidR="00096500" w:rsidRPr="00FB3628"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898" w:type="dxa"/>
            <w:tcBorders>
              <w:top w:val="nil"/>
              <w:left w:val="nil"/>
              <w:bottom w:val="nil"/>
              <w:right w:val="nil"/>
            </w:tcBorders>
            <w:shd w:val="clear" w:color="000000" w:fill="FFFFFF"/>
            <w:noWrap/>
            <w:vAlign w:val="bottom"/>
            <w:hideMark/>
          </w:tcPr>
          <w:p w14:paraId="0488EB37"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13B449CA"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067F95B1"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679E4977"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2650C45D" w14:textId="77777777" w:rsidTr="00377CCF">
        <w:trPr>
          <w:trHeight w:val="255"/>
        </w:trPr>
        <w:tc>
          <w:tcPr>
            <w:tcW w:w="4503" w:type="dxa"/>
            <w:tcBorders>
              <w:top w:val="nil"/>
              <w:left w:val="nil"/>
              <w:bottom w:val="nil"/>
              <w:right w:val="nil"/>
            </w:tcBorders>
            <w:shd w:val="clear" w:color="000000" w:fill="FFFFFF"/>
            <w:hideMark/>
          </w:tcPr>
          <w:p w14:paraId="361E3161" w14:textId="77777777" w:rsidR="00096500" w:rsidRDefault="00096500" w:rsidP="00856101">
            <w:pPr>
              <w:spacing w:after="0" w:line="240" w:lineRule="auto"/>
              <w:rPr>
                <w:rFonts w:ascii="Cambria" w:eastAsia="Times New Roman" w:hAnsi="Cambria" w:cs="Calibri"/>
                <w:color w:val="auto"/>
                <w:sz w:val="18"/>
                <w:szCs w:val="18"/>
                <w:lang w:eastAsia="en-AU"/>
              </w:rPr>
            </w:pPr>
          </w:p>
          <w:p w14:paraId="3F591AA6"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Suppliers</w:t>
            </w:r>
          </w:p>
        </w:tc>
        <w:tc>
          <w:tcPr>
            <w:tcW w:w="1116" w:type="dxa"/>
            <w:tcBorders>
              <w:top w:val="nil"/>
              <w:left w:val="nil"/>
              <w:bottom w:val="nil"/>
              <w:right w:val="nil"/>
            </w:tcBorders>
            <w:noWrap/>
            <w:vAlign w:val="bottom"/>
            <w:hideMark/>
          </w:tcPr>
          <w:p w14:paraId="586025EC" w14:textId="77777777" w:rsidR="00096500" w:rsidRPr="00FB3628" w:rsidRDefault="00096500" w:rsidP="00856101">
            <w:pPr>
              <w:spacing w:after="0" w:line="240" w:lineRule="auto"/>
              <w:rPr>
                <w:rFonts w:ascii="Calibri" w:eastAsia="Times New Roman" w:hAnsi="Calibri" w:cs="Calibri"/>
                <w:color w:val="000000"/>
                <w:lang w:eastAsia="en-AU"/>
              </w:rPr>
            </w:pPr>
            <w:r w:rsidRPr="00FB3628">
              <w:rPr>
                <w:rFonts w:ascii="Calibri" w:eastAsia="Times New Roman" w:hAnsi="Calibri" w:cs="Calibri"/>
                <w:noProof/>
                <w:color w:val="000000"/>
                <w:lang w:eastAsia="en-AU"/>
              </w:rPr>
              <w:drawing>
                <wp:anchor distT="0" distB="0" distL="114300" distR="114300" simplePos="0" relativeHeight="251673600" behindDoc="0" locked="0" layoutInCell="1" allowOverlap="1" wp14:anchorId="7A36ED63" wp14:editId="283DE9C6">
                  <wp:simplePos x="0" y="0"/>
                  <wp:positionH relativeFrom="column">
                    <wp:posOffset>68580</wp:posOffset>
                  </wp:positionH>
                  <wp:positionV relativeFrom="paragraph">
                    <wp:posOffset>152400</wp:posOffset>
                  </wp:positionV>
                  <wp:extent cx="152400" cy="0"/>
                  <wp:effectExtent l="0" t="0" r="0" b="0"/>
                  <wp:wrapNone/>
                  <wp:docPr id="144889588" name="Picture 51" descr="8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8D"/>
                          <pic:cNvPicPr preferRelativeResize="0">
                            <a:picLocks noRot="1" noChangeArrowheads="1" noChangeShapeType="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240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3628">
              <w:rPr>
                <w:rFonts w:ascii="Calibri" w:eastAsia="Times New Roman" w:hAnsi="Calibri" w:cs="Calibri"/>
                <w:noProof/>
                <w:color w:val="000000"/>
                <w:lang w:eastAsia="en-AU"/>
              </w:rPr>
              <w:drawing>
                <wp:anchor distT="0" distB="0" distL="114300" distR="114300" simplePos="0" relativeHeight="251676672" behindDoc="0" locked="0" layoutInCell="1" allowOverlap="1" wp14:anchorId="6A3E1FAD" wp14:editId="6C522C60">
                  <wp:simplePos x="0" y="0"/>
                  <wp:positionH relativeFrom="column">
                    <wp:posOffset>68580</wp:posOffset>
                  </wp:positionH>
                  <wp:positionV relativeFrom="paragraph">
                    <wp:posOffset>152400</wp:posOffset>
                  </wp:positionV>
                  <wp:extent cx="152400" cy="0"/>
                  <wp:effectExtent l="0" t="0" r="0" b="0"/>
                  <wp:wrapNone/>
                  <wp:docPr id="1879674294" name="Picture 50" descr="8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8E"/>
                          <pic:cNvPicPr preferRelativeResize="0">
                            <a:picLocks noRot="1" noChangeArrowheads="1" noChangeShapeType="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240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3628">
              <w:rPr>
                <w:rFonts w:ascii="Calibri" w:eastAsia="Times New Roman" w:hAnsi="Calibri" w:cs="Calibri"/>
                <w:noProof/>
                <w:color w:val="000000"/>
                <w:lang w:eastAsia="en-AU"/>
              </w:rPr>
              <w:drawing>
                <wp:anchor distT="0" distB="0" distL="114300" distR="114300" simplePos="0" relativeHeight="251677696" behindDoc="0" locked="0" layoutInCell="1" allowOverlap="1" wp14:anchorId="277D5ABC" wp14:editId="0F0E9B84">
                  <wp:simplePos x="0" y="0"/>
                  <wp:positionH relativeFrom="column">
                    <wp:posOffset>68580</wp:posOffset>
                  </wp:positionH>
                  <wp:positionV relativeFrom="paragraph">
                    <wp:posOffset>152400</wp:posOffset>
                  </wp:positionV>
                  <wp:extent cx="152400" cy="0"/>
                  <wp:effectExtent l="0" t="0" r="0" b="0"/>
                  <wp:wrapNone/>
                  <wp:docPr id="866196901" name="Picture 49" descr="8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8D"/>
                          <pic:cNvPicPr preferRelativeResize="0">
                            <a:picLocks noRot="1" noChangeArrowheads="1" noChangeShapeType="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240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3628">
              <w:rPr>
                <w:rFonts w:ascii="Calibri" w:eastAsia="Times New Roman" w:hAnsi="Calibri" w:cs="Calibri"/>
                <w:noProof/>
                <w:color w:val="000000"/>
                <w:lang w:eastAsia="en-AU"/>
              </w:rPr>
              <w:drawing>
                <wp:anchor distT="0" distB="0" distL="114300" distR="114300" simplePos="0" relativeHeight="251678720" behindDoc="0" locked="0" layoutInCell="1" allowOverlap="1" wp14:anchorId="3E70D9CA" wp14:editId="0A5FF520">
                  <wp:simplePos x="0" y="0"/>
                  <wp:positionH relativeFrom="column">
                    <wp:posOffset>68580</wp:posOffset>
                  </wp:positionH>
                  <wp:positionV relativeFrom="paragraph">
                    <wp:posOffset>152400</wp:posOffset>
                  </wp:positionV>
                  <wp:extent cx="152400" cy="0"/>
                  <wp:effectExtent l="0" t="0" r="0" b="0"/>
                  <wp:wrapNone/>
                  <wp:docPr id="116701629" name="Picture 48" descr="8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8D"/>
                          <pic:cNvPicPr preferRelativeResize="0">
                            <a:picLocks noRot="1" noChangeArrowheads="1" noChangeShapeType="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240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3628">
              <w:rPr>
                <w:rFonts w:ascii="Calibri" w:eastAsia="Times New Roman" w:hAnsi="Calibri" w:cs="Calibri"/>
                <w:noProof/>
                <w:color w:val="000000"/>
                <w:lang w:eastAsia="en-AU"/>
              </w:rPr>
              <w:drawing>
                <wp:anchor distT="0" distB="0" distL="114300" distR="114300" simplePos="0" relativeHeight="251680768" behindDoc="0" locked="0" layoutInCell="1" allowOverlap="1" wp14:anchorId="1E4B7ED4" wp14:editId="514D5951">
                  <wp:simplePos x="0" y="0"/>
                  <wp:positionH relativeFrom="column">
                    <wp:posOffset>68580</wp:posOffset>
                  </wp:positionH>
                  <wp:positionV relativeFrom="paragraph">
                    <wp:posOffset>152400</wp:posOffset>
                  </wp:positionV>
                  <wp:extent cx="152400" cy="0"/>
                  <wp:effectExtent l="0" t="0" r="0" b="0"/>
                  <wp:wrapNone/>
                  <wp:docPr id="1768719497" name="Picture 47" descr="8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8E"/>
                          <pic:cNvPicPr preferRelativeResize="0">
                            <a:picLocks noRot="1" noChangeArrowheads="1" noChangeShapeType="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240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3628">
              <w:rPr>
                <w:rFonts w:ascii="Calibri" w:eastAsia="Times New Roman" w:hAnsi="Calibri" w:cs="Calibri"/>
                <w:noProof/>
                <w:color w:val="000000"/>
                <w:lang w:eastAsia="en-AU"/>
              </w:rPr>
              <w:drawing>
                <wp:anchor distT="0" distB="0" distL="114300" distR="114300" simplePos="0" relativeHeight="251681792" behindDoc="0" locked="0" layoutInCell="1" allowOverlap="1" wp14:anchorId="1F684B26" wp14:editId="7F17B8A8">
                  <wp:simplePos x="0" y="0"/>
                  <wp:positionH relativeFrom="column">
                    <wp:posOffset>68580</wp:posOffset>
                  </wp:positionH>
                  <wp:positionV relativeFrom="paragraph">
                    <wp:posOffset>152400</wp:posOffset>
                  </wp:positionV>
                  <wp:extent cx="152400" cy="0"/>
                  <wp:effectExtent l="0" t="0" r="0" b="0"/>
                  <wp:wrapNone/>
                  <wp:docPr id="48543591" name="Picture 46" descr="8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8D"/>
                          <pic:cNvPicPr preferRelativeResize="0">
                            <a:picLocks noRot="1" noChangeArrowheads="1" noChangeShapeType="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2400" cy="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00"/>
            </w:tblGrid>
            <w:tr w:rsidR="00096500" w:rsidRPr="00FB3628" w14:paraId="21B53200" w14:textId="77777777" w:rsidTr="00856101">
              <w:trPr>
                <w:trHeight w:val="255"/>
                <w:tblCellSpacing w:w="0" w:type="dxa"/>
              </w:trPr>
              <w:tc>
                <w:tcPr>
                  <w:tcW w:w="900" w:type="dxa"/>
                  <w:tcBorders>
                    <w:top w:val="nil"/>
                    <w:left w:val="nil"/>
                    <w:bottom w:val="nil"/>
                    <w:right w:val="nil"/>
                  </w:tcBorders>
                  <w:shd w:val="clear" w:color="000000" w:fill="FFFFFF"/>
                  <w:noWrap/>
                  <w:vAlign w:val="bottom"/>
                  <w:hideMark/>
                </w:tcPr>
                <w:p w14:paraId="7B9BC3D8" w14:textId="77777777" w:rsidR="00096500" w:rsidRPr="00FB3628"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63" w:anchor="RANGE!C7" w:history="1">
                    <w:r w:rsidRPr="00FB3628">
                      <w:rPr>
                        <w:rFonts w:ascii="Times New Roman" w:eastAsia="Times New Roman" w:hAnsi="Times New Roman" w:cs="Times New Roman"/>
                        <w:color w:val="0000FF"/>
                        <w:sz w:val="18"/>
                        <w:szCs w:val="18"/>
                        <w:u w:val="single"/>
                        <w:lang w:eastAsia="en-AU"/>
                      </w:rPr>
                      <w:t>2.3A</w:t>
                    </w:r>
                  </w:hyperlink>
                </w:p>
              </w:tc>
            </w:tr>
          </w:tbl>
          <w:p w14:paraId="3F4BFFA5" w14:textId="77777777" w:rsidR="00096500" w:rsidRPr="00FB3628" w:rsidRDefault="00096500" w:rsidP="00856101">
            <w:pPr>
              <w:spacing w:after="0" w:line="240" w:lineRule="auto"/>
              <w:rPr>
                <w:rFonts w:ascii="Calibri" w:eastAsia="Times New Roman" w:hAnsi="Calibri" w:cs="Calibri"/>
                <w:color w:val="000000"/>
                <w:lang w:eastAsia="en-AU"/>
              </w:rPr>
            </w:pPr>
          </w:p>
        </w:tc>
        <w:tc>
          <w:tcPr>
            <w:tcW w:w="898" w:type="dxa"/>
            <w:tcBorders>
              <w:top w:val="nil"/>
              <w:left w:val="nil"/>
              <w:bottom w:val="nil"/>
              <w:right w:val="nil"/>
            </w:tcBorders>
            <w:noWrap/>
            <w:vAlign w:val="bottom"/>
            <w:hideMark/>
          </w:tcPr>
          <w:p w14:paraId="619B2805"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3,675 </w:t>
            </w:r>
          </w:p>
        </w:tc>
        <w:tc>
          <w:tcPr>
            <w:tcW w:w="752" w:type="dxa"/>
            <w:tcBorders>
              <w:top w:val="nil"/>
              <w:left w:val="nil"/>
              <w:bottom w:val="nil"/>
              <w:right w:val="nil"/>
            </w:tcBorders>
            <w:shd w:val="clear" w:color="000000" w:fill="FFFFFF"/>
            <w:noWrap/>
            <w:vAlign w:val="bottom"/>
            <w:hideMark/>
          </w:tcPr>
          <w:p w14:paraId="185B21CF"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2,435 </w:t>
            </w:r>
          </w:p>
        </w:tc>
        <w:tc>
          <w:tcPr>
            <w:tcW w:w="456" w:type="dxa"/>
            <w:tcBorders>
              <w:top w:val="nil"/>
              <w:left w:val="nil"/>
              <w:bottom w:val="nil"/>
              <w:right w:val="nil"/>
            </w:tcBorders>
            <w:shd w:val="clear" w:color="000000" w:fill="FFFFFF"/>
            <w:noWrap/>
            <w:vAlign w:val="bottom"/>
            <w:hideMark/>
          </w:tcPr>
          <w:p w14:paraId="7B2CBB71"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7E1FD58F"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3,021 </w:t>
            </w:r>
          </w:p>
        </w:tc>
      </w:tr>
      <w:tr w:rsidR="00096500" w:rsidRPr="00FB3628" w14:paraId="0341AFD6" w14:textId="77777777" w:rsidTr="00377CCF">
        <w:trPr>
          <w:trHeight w:val="255"/>
        </w:trPr>
        <w:tc>
          <w:tcPr>
            <w:tcW w:w="4503" w:type="dxa"/>
            <w:tcBorders>
              <w:top w:val="nil"/>
              <w:left w:val="nil"/>
              <w:bottom w:val="nil"/>
              <w:right w:val="nil"/>
            </w:tcBorders>
            <w:shd w:val="clear" w:color="000000" w:fill="FFFFFF"/>
            <w:hideMark/>
          </w:tcPr>
          <w:p w14:paraId="0389EF8B"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Other payables</w:t>
            </w:r>
          </w:p>
        </w:tc>
        <w:tc>
          <w:tcPr>
            <w:tcW w:w="1116" w:type="dxa"/>
            <w:tcBorders>
              <w:top w:val="nil"/>
              <w:left w:val="nil"/>
              <w:bottom w:val="nil"/>
              <w:right w:val="nil"/>
            </w:tcBorders>
            <w:shd w:val="clear" w:color="000000" w:fill="FFFFFF"/>
            <w:noWrap/>
            <w:vAlign w:val="bottom"/>
            <w:hideMark/>
          </w:tcPr>
          <w:p w14:paraId="5DB74D1C" w14:textId="77777777" w:rsidR="00096500" w:rsidRPr="00FB3628"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64" w:anchor="RANGE!C56" w:history="1">
              <w:r w:rsidRPr="00FB3628">
                <w:rPr>
                  <w:rFonts w:ascii="Times New Roman" w:eastAsia="Times New Roman" w:hAnsi="Times New Roman" w:cs="Times New Roman"/>
                  <w:color w:val="0000FF"/>
                  <w:sz w:val="18"/>
                  <w:szCs w:val="18"/>
                  <w:u w:val="single"/>
                  <w:lang w:eastAsia="en-AU"/>
                </w:rPr>
                <w:t>2.3B</w:t>
              </w:r>
            </w:hyperlink>
          </w:p>
        </w:tc>
        <w:tc>
          <w:tcPr>
            <w:tcW w:w="898" w:type="dxa"/>
            <w:tcBorders>
              <w:top w:val="nil"/>
              <w:left w:val="nil"/>
              <w:bottom w:val="nil"/>
              <w:right w:val="nil"/>
            </w:tcBorders>
            <w:shd w:val="clear" w:color="000000" w:fill="FFFFFF"/>
            <w:noWrap/>
            <w:vAlign w:val="bottom"/>
            <w:hideMark/>
          </w:tcPr>
          <w:p w14:paraId="5C160C0E"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20 </w:t>
            </w:r>
          </w:p>
        </w:tc>
        <w:tc>
          <w:tcPr>
            <w:tcW w:w="752" w:type="dxa"/>
            <w:tcBorders>
              <w:top w:val="nil"/>
              <w:left w:val="nil"/>
              <w:bottom w:val="nil"/>
              <w:right w:val="nil"/>
            </w:tcBorders>
            <w:shd w:val="clear" w:color="000000" w:fill="FFFFFF"/>
            <w:noWrap/>
            <w:vAlign w:val="bottom"/>
            <w:hideMark/>
          </w:tcPr>
          <w:p w14:paraId="54D9499B"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17 </w:t>
            </w:r>
          </w:p>
        </w:tc>
        <w:tc>
          <w:tcPr>
            <w:tcW w:w="456" w:type="dxa"/>
            <w:tcBorders>
              <w:top w:val="nil"/>
              <w:left w:val="nil"/>
              <w:bottom w:val="nil"/>
              <w:right w:val="nil"/>
            </w:tcBorders>
            <w:shd w:val="clear" w:color="000000" w:fill="FFFFFF"/>
            <w:noWrap/>
            <w:vAlign w:val="bottom"/>
            <w:hideMark/>
          </w:tcPr>
          <w:p w14:paraId="2EE994F4"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52041FB8"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18 </w:t>
            </w:r>
          </w:p>
        </w:tc>
      </w:tr>
      <w:tr w:rsidR="00096500" w:rsidRPr="00FB3628" w14:paraId="78FE5EC2" w14:textId="77777777" w:rsidTr="00377CCF">
        <w:trPr>
          <w:trHeight w:val="240"/>
        </w:trPr>
        <w:tc>
          <w:tcPr>
            <w:tcW w:w="4503" w:type="dxa"/>
            <w:tcBorders>
              <w:top w:val="nil"/>
              <w:left w:val="nil"/>
              <w:bottom w:val="nil"/>
              <w:right w:val="nil"/>
            </w:tcBorders>
            <w:shd w:val="clear" w:color="000000" w:fill="FFFFFF"/>
            <w:noWrap/>
            <w:vAlign w:val="bottom"/>
            <w:hideMark/>
          </w:tcPr>
          <w:p w14:paraId="0A035DFE"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Total payables</w:t>
            </w:r>
          </w:p>
        </w:tc>
        <w:tc>
          <w:tcPr>
            <w:tcW w:w="1116" w:type="dxa"/>
            <w:tcBorders>
              <w:top w:val="nil"/>
              <w:left w:val="nil"/>
              <w:bottom w:val="nil"/>
              <w:right w:val="nil"/>
            </w:tcBorders>
            <w:shd w:val="clear" w:color="000000" w:fill="FFFFFF"/>
            <w:noWrap/>
            <w:vAlign w:val="bottom"/>
            <w:hideMark/>
          </w:tcPr>
          <w:p w14:paraId="3E39840F" w14:textId="77777777" w:rsidR="00096500" w:rsidRPr="00FB3628"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898" w:type="dxa"/>
            <w:tcBorders>
              <w:top w:val="single" w:sz="4" w:space="0" w:color="auto"/>
              <w:left w:val="nil"/>
              <w:bottom w:val="single" w:sz="4" w:space="0" w:color="auto"/>
              <w:right w:val="nil"/>
            </w:tcBorders>
            <w:shd w:val="clear" w:color="000000" w:fill="FFFFFF"/>
            <w:noWrap/>
            <w:vAlign w:val="bottom"/>
            <w:hideMark/>
          </w:tcPr>
          <w:p w14:paraId="3F8C196B"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3,695 </w:t>
            </w:r>
          </w:p>
        </w:tc>
        <w:tc>
          <w:tcPr>
            <w:tcW w:w="752" w:type="dxa"/>
            <w:tcBorders>
              <w:top w:val="single" w:sz="4" w:space="0" w:color="auto"/>
              <w:left w:val="nil"/>
              <w:bottom w:val="single" w:sz="4" w:space="0" w:color="auto"/>
              <w:right w:val="nil"/>
            </w:tcBorders>
            <w:shd w:val="clear" w:color="000000" w:fill="FFFFFF"/>
            <w:noWrap/>
            <w:vAlign w:val="bottom"/>
            <w:hideMark/>
          </w:tcPr>
          <w:p w14:paraId="7CB7F097"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2,452 </w:t>
            </w:r>
          </w:p>
        </w:tc>
        <w:tc>
          <w:tcPr>
            <w:tcW w:w="456" w:type="dxa"/>
            <w:tcBorders>
              <w:top w:val="nil"/>
              <w:left w:val="nil"/>
              <w:bottom w:val="nil"/>
              <w:right w:val="nil"/>
            </w:tcBorders>
            <w:shd w:val="clear" w:color="000000" w:fill="FFFFFF"/>
            <w:noWrap/>
            <w:vAlign w:val="bottom"/>
            <w:hideMark/>
          </w:tcPr>
          <w:p w14:paraId="3795BF13"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single" w:sz="4" w:space="0" w:color="auto"/>
              <w:left w:val="nil"/>
              <w:bottom w:val="single" w:sz="4" w:space="0" w:color="auto"/>
              <w:right w:val="nil"/>
            </w:tcBorders>
            <w:shd w:val="clear" w:color="000000" w:fill="FFFFFF"/>
            <w:noWrap/>
            <w:vAlign w:val="bottom"/>
            <w:hideMark/>
          </w:tcPr>
          <w:p w14:paraId="06D01D3D"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3,039 </w:t>
            </w:r>
          </w:p>
        </w:tc>
      </w:tr>
      <w:tr w:rsidR="00096500" w:rsidRPr="00FB3628" w14:paraId="26FEC79C" w14:textId="77777777" w:rsidTr="00377CCF">
        <w:trPr>
          <w:trHeight w:val="165"/>
        </w:trPr>
        <w:tc>
          <w:tcPr>
            <w:tcW w:w="4503" w:type="dxa"/>
            <w:tcBorders>
              <w:top w:val="nil"/>
              <w:left w:val="nil"/>
              <w:bottom w:val="nil"/>
              <w:right w:val="nil"/>
            </w:tcBorders>
            <w:shd w:val="clear" w:color="000000" w:fill="FFFFFF"/>
            <w:noWrap/>
            <w:vAlign w:val="bottom"/>
            <w:hideMark/>
          </w:tcPr>
          <w:p w14:paraId="5186421E"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1116" w:type="dxa"/>
            <w:tcBorders>
              <w:top w:val="nil"/>
              <w:left w:val="nil"/>
              <w:bottom w:val="nil"/>
              <w:right w:val="nil"/>
            </w:tcBorders>
            <w:shd w:val="clear" w:color="000000" w:fill="FFFFFF"/>
            <w:noWrap/>
            <w:vAlign w:val="bottom"/>
            <w:hideMark/>
          </w:tcPr>
          <w:p w14:paraId="26A36CAA" w14:textId="77777777" w:rsidR="00096500" w:rsidRPr="00FB3628"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898" w:type="dxa"/>
            <w:tcBorders>
              <w:top w:val="nil"/>
              <w:left w:val="nil"/>
              <w:bottom w:val="nil"/>
              <w:right w:val="nil"/>
            </w:tcBorders>
            <w:shd w:val="clear" w:color="000000" w:fill="FFFFFF"/>
            <w:noWrap/>
            <w:vAlign w:val="bottom"/>
            <w:hideMark/>
          </w:tcPr>
          <w:p w14:paraId="668C8195"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37542A70"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32ECE773"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4577FBAC"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2E7435A5" w14:textId="77777777" w:rsidTr="00377CCF">
        <w:trPr>
          <w:trHeight w:val="267"/>
        </w:trPr>
        <w:tc>
          <w:tcPr>
            <w:tcW w:w="4503" w:type="dxa"/>
            <w:tcBorders>
              <w:top w:val="nil"/>
              <w:left w:val="nil"/>
              <w:bottom w:val="nil"/>
              <w:right w:val="nil"/>
            </w:tcBorders>
            <w:shd w:val="clear" w:color="000000" w:fill="FFFFFF"/>
            <w:noWrap/>
            <w:vAlign w:val="bottom"/>
            <w:hideMark/>
          </w:tcPr>
          <w:p w14:paraId="173C6226" w14:textId="77777777" w:rsidR="00096500" w:rsidRPr="00FB3628" w:rsidRDefault="00096500" w:rsidP="00856101">
            <w:pPr>
              <w:spacing w:after="0" w:line="240" w:lineRule="auto"/>
              <w:outlineLvl w:val="0"/>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Interest bearing liabilities</w:t>
            </w:r>
          </w:p>
        </w:tc>
        <w:tc>
          <w:tcPr>
            <w:tcW w:w="1116" w:type="dxa"/>
            <w:tcBorders>
              <w:top w:val="nil"/>
              <w:left w:val="nil"/>
              <w:bottom w:val="nil"/>
              <w:right w:val="nil"/>
            </w:tcBorders>
            <w:shd w:val="clear" w:color="000000" w:fill="FFFFFF"/>
            <w:noWrap/>
            <w:vAlign w:val="bottom"/>
            <w:hideMark/>
          </w:tcPr>
          <w:p w14:paraId="028E014F" w14:textId="77777777" w:rsidR="00096500" w:rsidRPr="00FB3628" w:rsidRDefault="00096500" w:rsidP="00856101">
            <w:pPr>
              <w:spacing w:after="0" w:line="240" w:lineRule="auto"/>
              <w:jc w:val="center"/>
              <w:outlineLvl w:val="0"/>
              <w:rPr>
                <w:rFonts w:ascii="Cambria" w:eastAsia="Times New Roman" w:hAnsi="Cambria" w:cs="Calibri"/>
                <w:color w:val="0000FF"/>
                <w:sz w:val="18"/>
                <w:szCs w:val="18"/>
                <w:u w:val="single"/>
                <w:lang w:eastAsia="en-AU"/>
              </w:rPr>
            </w:pPr>
          </w:p>
        </w:tc>
        <w:tc>
          <w:tcPr>
            <w:tcW w:w="898" w:type="dxa"/>
            <w:tcBorders>
              <w:top w:val="nil"/>
              <w:left w:val="nil"/>
              <w:bottom w:val="nil"/>
              <w:right w:val="nil"/>
            </w:tcBorders>
            <w:shd w:val="clear" w:color="000000" w:fill="FFFFFF"/>
            <w:noWrap/>
            <w:vAlign w:val="bottom"/>
            <w:hideMark/>
          </w:tcPr>
          <w:p w14:paraId="1CD4DB57" w14:textId="77777777" w:rsidR="00096500" w:rsidRPr="00FB3628" w:rsidRDefault="00096500" w:rsidP="00856101">
            <w:pPr>
              <w:spacing w:after="0" w:line="240" w:lineRule="auto"/>
              <w:jc w:val="right"/>
              <w:outlineLvl w:val="0"/>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2CEF4F75"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73C8047B"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5B60DFBD"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4F25F69A" w14:textId="77777777" w:rsidTr="00377CCF">
        <w:trPr>
          <w:trHeight w:val="270"/>
        </w:trPr>
        <w:tc>
          <w:tcPr>
            <w:tcW w:w="4503" w:type="dxa"/>
            <w:tcBorders>
              <w:top w:val="nil"/>
              <w:left w:val="nil"/>
              <w:bottom w:val="nil"/>
              <w:right w:val="nil"/>
            </w:tcBorders>
            <w:shd w:val="clear" w:color="000000" w:fill="FFFFFF"/>
            <w:hideMark/>
          </w:tcPr>
          <w:p w14:paraId="3B3AC891" w14:textId="69473CE7" w:rsidR="00096500" w:rsidRPr="00FB3628" w:rsidRDefault="00096500" w:rsidP="00856101">
            <w:pPr>
              <w:spacing w:after="0" w:line="240" w:lineRule="auto"/>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Lease liabilities</w:t>
            </w:r>
          </w:p>
        </w:tc>
        <w:tc>
          <w:tcPr>
            <w:tcW w:w="1116" w:type="dxa"/>
            <w:tcBorders>
              <w:top w:val="nil"/>
              <w:left w:val="nil"/>
              <w:bottom w:val="nil"/>
              <w:right w:val="nil"/>
            </w:tcBorders>
            <w:shd w:val="clear" w:color="000000" w:fill="FFFFFF"/>
            <w:noWrap/>
            <w:vAlign w:val="bottom"/>
            <w:hideMark/>
          </w:tcPr>
          <w:p w14:paraId="592D4368" w14:textId="77777777" w:rsidR="00096500" w:rsidRPr="00FB3628" w:rsidRDefault="00096500" w:rsidP="00856101">
            <w:pPr>
              <w:spacing w:after="0" w:line="240" w:lineRule="auto"/>
              <w:jc w:val="center"/>
              <w:outlineLvl w:val="0"/>
              <w:rPr>
                <w:rFonts w:ascii="Times New Roman" w:eastAsia="Times New Roman" w:hAnsi="Times New Roman" w:cs="Times New Roman"/>
                <w:color w:val="0000FF"/>
                <w:sz w:val="18"/>
                <w:szCs w:val="18"/>
                <w:u w:val="single"/>
                <w:lang w:eastAsia="en-AU"/>
              </w:rPr>
            </w:pPr>
            <w:r w:rsidRPr="00FB3628">
              <w:rPr>
                <w:rFonts w:ascii="Times New Roman" w:eastAsia="Times New Roman" w:hAnsi="Times New Roman" w:cs="Times New Roman"/>
                <w:color w:val="0000FF"/>
                <w:sz w:val="18"/>
                <w:szCs w:val="18"/>
                <w:u w:val="single"/>
                <w:lang w:eastAsia="en-AU"/>
              </w:rPr>
              <w:t>2.4A</w:t>
            </w:r>
          </w:p>
        </w:tc>
        <w:tc>
          <w:tcPr>
            <w:tcW w:w="898" w:type="dxa"/>
            <w:tcBorders>
              <w:top w:val="nil"/>
              <w:left w:val="nil"/>
              <w:bottom w:val="nil"/>
              <w:right w:val="nil"/>
            </w:tcBorders>
            <w:shd w:val="clear" w:color="000000" w:fill="FFFFFF"/>
            <w:noWrap/>
            <w:vAlign w:val="bottom"/>
            <w:hideMark/>
          </w:tcPr>
          <w:p w14:paraId="387FD9BA" w14:textId="77777777" w:rsidR="00096500" w:rsidRPr="00FB3628" w:rsidRDefault="00096500" w:rsidP="00856101">
            <w:pPr>
              <w:spacing w:after="0" w:line="240" w:lineRule="auto"/>
              <w:jc w:val="right"/>
              <w:outlineLvl w:val="0"/>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8,821 </w:t>
            </w:r>
          </w:p>
        </w:tc>
        <w:tc>
          <w:tcPr>
            <w:tcW w:w="752" w:type="dxa"/>
            <w:tcBorders>
              <w:top w:val="nil"/>
              <w:left w:val="nil"/>
              <w:bottom w:val="nil"/>
              <w:right w:val="nil"/>
            </w:tcBorders>
            <w:shd w:val="clear" w:color="000000" w:fill="FFFFFF"/>
            <w:noWrap/>
            <w:vAlign w:val="bottom"/>
            <w:hideMark/>
          </w:tcPr>
          <w:p w14:paraId="1BD09275"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9,845 </w:t>
            </w:r>
          </w:p>
        </w:tc>
        <w:tc>
          <w:tcPr>
            <w:tcW w:w="456" w:type="dxa"/>
            <w:tcBorders>
              <w:top w:val="nil"/>
              <w:left w:val="nil"/>
              <w:bottom w:val="nil"/>
              <w:right w:val="nil"/>
            </w:tcBorders>
            <w:shd w:val="clear" w:color="000000" w:fill="FFFFFF"/>
            <w:noWrap/>
            <w:vAlign w:val="bottom"/>
            <w:hideMark/>
          </w:tcPr>
          <w:p w14:paraId="2B8F5CD6"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35E93869"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8,821 </w:t>
            </w:r>
          </w:p>
        </w:tc>
      </w:tr>
      <w:tr w:rsidR="00096500" w:rsidRPr="00FB3628" w14:paraId="101ADF55" w14:textId="77777777" w:rsidTr="00377CCF">
        <w:trPr>
          <w:trHeight w:val="222"/>
        </w:trPr>
        <w:tc>
          <w:tcPr>
            <w:tcW w:w="4503" w:type="dxa"/>
            <w:tcBorders>
              <w:top w:val="nil"/>
              <w:left w:val="nil"/>
              <w:bottom w:val="nil"/>
              <w:right w:val="nil"/>
            </w:tcBorders>
            <w:shd w:val="clear" w:color="000000" w:fill="FFFFFF"/>
            <w:noWrap/>
            <w:vAlign w:val="bottom"/>
            <w:hideMark/>
          </w:tcPr>
          <w:p w14:paraId="7E723F58" w14:textId="5B474761" w:rsidR="00096500" w:rsidRPr="00FB3628" w:rsidRDefault="00096500" w:rsidP="00856101">
            <w:pPr>
              <w:spacing w:after="0" w:line="240" w:lineRule="auto"/>
              <w:outlineLvl w:val="0"/>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Total interest bearing liabilities</w:t>
            </w:r>
          </w:p>
        </w:tc>
        <w:tc>
          <w:tcPr>
            <w:tcW w:w="1116" w:type="dxa"/>
            <w:tcBorders>
              <w:top w:val="nil"/>
              <w:left w:val="nil"/>
              <w:bottom w:val="nil"/>
              <w:right w:val="nil"/>
            </w:tcBorders>
            <w:shd w:val="clear" w:color="000000" w:fill="FFFFFF"/>
            <w:noWrap/>
            <w:vAlign w:val="bottom"/>
            <w:hideMark/>
          </w:tcPr>
          <w:p w14:paraId="7FF50528" w14:textId="77777777" w:rsidR="00096500" w:rsidRPr="00FB3628" w:rsidRDefault="00096500" w:rsidP="00856101">
            <w:pPr>
              <w:spacing w:after="0" w:line="240" w:lineRule="auto"/>
              <w:jc w:val="center"/>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898" w:type="dxa"/>
            <w:tcBorders>
              <w:top w:val="single" w:sz="4" w:space="0" w:color="auto"/>
              <w:left w:val="nil"/>
              <w:bottom w:val="single" w:sz="4" w:space="0" w:color="auto"/>
              <w:right w:val="nil"/>
            </w:tcBorders>
            <w:shd w:val="clear" w:color="000000" w:fill="FFFFFF"/>
            <w:noWrap/>
            <w:vAlign w:val="bottom"/>
            <w:hideMark/>
          </w:tcPr>
          <w:p w14:paraId="75D3C8D6" w14:textId="77777777" w:rsidR="00096500" w:rsidRPr="00FB3628" w:rsidRDefault="00096500" w:rsidP="00856101">
            <w:pPr>
              <w:spacing w:after="0" w:line="240" w:lineRule="auto"/>
              <w:jc w:val="right"/>
              <w:outlineLvl w:val="0"/>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8,821 </w:t>
            </w:r>
          </w:p>
        </w:tc>
        <w:tc>
          <w:tcPr>
            <w:tcW w:w="752" w:type="dxa"/>
            <w:tcBorders>
              <w:top w:val="single" w:sz="4" w:space="0" w:color="auto"/>
              <w:left w:val="nil"/>
              <w:bottom w:val="single" w:sz="4" w:space="0" w:color="auto"/>
              <w:right w:val="nil"/>
            </w:tcBorders>
            <w:shd w:val="clear" w:color="000000" w:fill="FFFFFF"/>
            <w:noWrap/>
            <w:vAlign w:val="bottom"/>
            <w:hideMark/>
          </w:tcPr>
          <w:p w14:paraId="58CCBCF1"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9,845 </w:t>
            </w:r>
          </w:p>
        </w:tc>
        <w:tc>
          <w:tcPr>
            <w:tcW w:w="456" w:type="dxa"/>
            <w:tcBorders>
              <w:top w:val="nil"/>
              <w:left w:val="nil"/>
              <w:bottom w:val="nil"/>
              <w:right w:val="nil"/>
            </w:tcBorders>
            <w:shd w:val="clear" w:color="000000" w:fill="FFFFFF"/>
            <w:noWrap/>
            <w:vAlign w:val="bottom"/>
            <w:hideMark/>
          </w:tcPr>
          <w:p w14:paraId="4179457D"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single" w:sz="4" w:space="0" w:color="auto"/>
              <w:left w:val="nil"/>
              <w:bottom w:val="single" w:sz="4" w:space="0" w:color="auto"/>
              <w:right w:val="nil"/>
            </w:tcBorders>
            <w:shd w:val="clear" w:color="000000" w:fill="FFFFFF"/>
            <w:noWrap/>
            <w:vAlign w:val="bottom"/>
            <w:hideMark/>
          </w:tcPr>
          <w:p w14:paraId="646BA160"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8,821 </w:t>
            </w:r>
          </w:p>
        </w:tc>
      </w:tr>
      <w:tr w:rsidR="00096500" w:rsidRPr="00FB3628" w14:paraId="4D4ED12F" w14:textId="77777777" w:rsidTr="00377CCF">
        <w:trPr>
          <w:trHeight w:val="105"/>
        </w:trPr>
        <w:tc>
          <w:tcPr>
            <w:tcW w:w="4503" w:type="dxa"/>
            <w:tcBorders>
              <w:top w:val="nil"/>
              <w:left w:val="nil"/>
              <w:bottom w:val="nil"/>
              <w:right w:val="nil"/>
            </w:tcBorders>
            <w:shd w:val="clear" w:color="000000" w:fill="FFFFFF"/>
            <w:noWrap/>
            <w:vAlign w:val="bottom"/>
            <w:hideMark/>
          </w:tcPr>
          <w:p w14:paraId="71F6723A" w14:textId="7DA12049" w:rsidR="00096500" w:rsidRPr="00FB3628" w:rsidRDefault="00096500" w:rsidP="00856101">
            <w:pPr>
              <w:spacing w:after="0" w:line="240" w:lineRule="auto"/>
              <w:outlineLvl w:val="0"/>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1116" w:type="dxa"/>
            <w:tcBorders>
              <w:top w:val="nil"/>
              <w:left w:val="nil"/>
              <w:bottom w:val="nil"/>
              <w:right w:val="nil"/>
            </w:tcBorders>
            <w:shd w:val="clear" w:color="000000" w:fill="FFFFFF"/>
            <w:noWrap/>
            <w:vAlign w:val="bottom"/>
            <w:hideMark/>
          </w:tcPr>
          <w:p w14:paraId="16891DAC" w14:textId="77777777" w:rsidR="00096500" w:rsidRPr="00FB3628" w:rsidRDefault="00096500" w:rsidP="00856101">
            <w:pPr>
              <w:spacing w:after="0" w:line="240" w:lineRule="auto"/>
              <w:jc w:val="center"/>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898" w:type="dxa"/>
            <w:tcBorders>
              <w:top w:val="nil"/>
              <w:left w:val="nil"/>
              <w:bottom w:val="nil"/>
              <w:right w:val="nil"/>
            </w:tcBorders>
            <w:shd w:val="clear" w:color="000000" w:fill="FFFFFF"/>
            <w:noWrap/>
            <w:vAlign w:val="bottom"/>
            <w:hideMark/>
          </w:tcPr>
          <w:p w14:paraId="25441A0A" w14:textId="77777777" w:rsidR="00096500" w:rsidRPr="00FB3628" w:rsidRDefault="00096500" w:rsidP="00856101">
            <w:pPr>
              <w:spacing w:after="0" w:line="240" w:lineRule="auto"/>
              <w:jc w:val="right"/>
              <w:outlineLvl w:val="0"/>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40A7C135"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7EABE458"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2363F8DC" w14:textId="77777777" w:rsidR="00096500" w:rsidRPr="00FB3628" w:rsidRDefault="00096500" w:rsidP="00856101">
            <w:pPr>
              <w:spacing w:after="0" w:line="240" w:lineRule="auto"/>
              <w:jc w:val="right"/>
              <w:outlineLvl w:val="0"/>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7BF6F89F" w14:textId="77777777" w:rsidTr="00377CCF">
        <w:trPr>
          <w:trHeight w:val="240"/>
        </w:trPr>
        <w:tc>
          <w:tcPr>
            <w:tcW w:w="4503" w:type="dxa"/>
            <w:tcBorders>
              <w:top w:val="nil"/>
              <w:left w:val="nil"/>
              <w:bottom w:val="nil"/>
              <w:right w:val="nil"/>
            </w:tcBorders>
            <w:shd w:val="clear" w:color="000000" w:fill="FFFFFF"/>
            <w:noWrap/>
            <w:vAlign w:val="bottom"/>
            <w:hideMark/>
          </w:tcPr>
          <w:p w14:paraId="63BBD9EE" w14:textId="4726806F"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Provisions</w:t>
            </w:r>
          </w:p>
        </w:tc>
        <w:tc>
          <w:tcPr>
            <w:tcW w:w="1116" w:type="dxa"/>
            <w:tcBorders>
              <w:top w:val="nil"/>
              <w:left w:val="nil"/>
              <w:bottom w:val="nil"/>
              <w:right w:val="nil"/>
            </w:tcBorders>
            <w:shd w:val="clear" w:color="000000" w:fill="FFFFFF"/>
            <w:noWrap/>
            <w:vAlign w:val="bottom"/>
            <w:hideMark/>
          </w:tcPr>
          <w:p w14:paraId="38A461D8" w14:textId="77777777" w:rsidR="00096500" w:rsidRPr="00FB3628" w:rsidRDefault="00096500" w:rsidP="00856101">
            <w:pPr>
              <w:spacing w:after="0" w:line="240" w:lineRule="auto"/>
              <w:jc w:val="center"/>
              <w:rPr>
                <w:rFonts w:ascii="Cambria" w:eastAsia="Times New Roman" w:hAnsi="Cambria" w:cs="Calibri"/>
                <w:color w:val="0000FF"/>
                <w:sz w:val="18"/>
                <w:szCs w:val="18"/>
                <w:u w:val="single"/>
                <w:lang w:eastAsia="en-AU"/>
              </w:rPr>
            </w:pPr>
          </w:p>
        </w:tc>
        <w:tc>
          <w:tcPr>
            <w:tcW w:w="898" w:type="dxa"/>
            <w:tcBorders>
              <w:top w:val="nil"/>
              <w:left w:val="nil"/>
              <w:bottom w:val="nil"/>
              <w:right w:val="nil"/>
            </w:tcBorders>
            <w:shd w:val="clear" w:color="000000" w:fill="FFFFFF"/>
            <w:noWrap/>
            <w:vAlign w:val="bottom"/>
            <w:hideMark/>
          </w:tcPr>
          <w:p w14:paraId="154A61E7"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619AAADD"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0599D939"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7A2F19A0"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400E5C65" w14:textId="77777777" w:rsidTr="00377CCF">
        <w:trPr>
          <w:trHeight w:val="240"/>
        </w:trPr>
        <w:tc>
          <w:tcPr>
            <w:tcW w:w="4503" w:type="dxa"/>
            <w:tcBorders>
              <w:top w:val="nil"/>
              <w:left w:val="nil"/>
              <w:bottom w:val="nil"/>
              <w:right w:val="nil"/>
            </w:tcBorders>
            <w:shd w:val="clear" w:color="000000" w:fill="FFFFFF"/>
            <w:hideMark/>
          </w:tcPr>
          <w:p w14:paraId="4CACE25F" w14:textId="790E93B3"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Employee provisions</w:t>
            </w:r>
          </w:p>
        </w:tc>
        <w:tc>
          <w:tcPr>
            <w:tcW w:w="1116" w:type="dxa"/>
            <w:tcBorders>
              <w:top w:val="nil"/>
              <w:left w:val="nil"/>
              <w:bottom w:val="nil"/>
              <w:right w:val="nil"/>
            </w:tcBorders>
            <w:shd w:val="clear" w:color="000000" w:fill="FFFFFF"/>
            <w:noWrap/>
            <w:vAlign w:val="bottom"/>
            <w:hideMark/>
          </w:tcPr>
          <w:p w14:paraId="1F754509" w14:textId="2E4B6BD0" w:rsidR="00096500" w:rsidRPr="00FB3628"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65" w:anchor="RANGE!D8" w:history="1">
              <w:r w:rsidRPr="00FB3628">
                <w:rPr>
                  <w:rFonts w:ascii="Times New Roman" w:eastAsia="Times New Roman" w:hAnsi="Times New Roman" w:cs="Times New Roman"/>
                  <w:color w:val="0000FF"/>
                  <w:sz w:val="18"/>
                  <w:szCs w:val="18"/>
                  <w:u w:val="single"/>
                  <w:lang w:eastAsia="en-AU"/>
                </w:rPr>
                <w:t>3.1A</w:t>
              </w:r>
            </w:hyperlink>
          </w:p>
        </w:tc>
        <w:tc>
          <w:tcPr>
            <w:tcW w:w="898" w:type="dxa"/>
            <w:tcBorders>
              <w:top w:val="nil"/>
              <w:left w:val="nil"/>
              <w:bottom w:val="nil"/>
              <w:right w:val="nil"/>
            </w:tcBorders>
            <w:shd w:val="clear" w:color="000000" w:fill="FFFFFF"/>
            <w:noWrap/>
            <w:vAlign w:val="bottom"/>
            <w:hideMark/>
          </w:tcPr>
          <w:p w14:paraId="70E61AAC"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214 </w:t>
            </w:r>
          </w:p>
        </w:tc>
        <w:tc>
          <w:tcPr>
            <w:tcW w:w="752" w:type="dxa"/>
            <w:tcBorders>
              <w:top w:val="nil"/>
              <w:left w:val="nil"/>
              <w:bottom w:val="nil"/>
              <w:right w:val="nil"/>
            </w:tcBorders>
            <w:shd w:val="clear" w:color="000000" w:fill="FFFFFF"/>
            <w:noWrap/>
            <w:vAlign w:val="bottom"/>
            <w:hideMark/>
          </w:tcPr>
          <w:p w14:paraId="469A1F5C"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145 </w:t>
            </w:r>
          </w:p>
        </w:tc>
        <w:tc>
          <w:tcPr>
            <w:tcW w:w="456" w:type="dxa"/>
            <w:tcBorders>
              <w:top w:val="nil"/>
              <w:left w:val="nil"/>
              <w:bottom w:val="nil"/>
              <w:right w:val="nil"/>
            </w:tcBorders>
            <w:shd w:val="clear" w:color="000000" w:fill="FFFFFF"/>
            <w:noWrap/>
            <w:vAlign w:val="bottom"/>
            <w:hideMark/>
          </w:tcPr>
          <w:p w14:paraId="21B1F566"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43200FE3"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141 </w:t>
            </w:r>
          </w:p>
        </w:tc>
      </w:tr>
      <w:tr w:rsidR="00096500" w:rsidRPr="00FB3628" w14:paraId="04C811AD" w14:textId="77777777" w:rsidTr="00377CCF">
        <w:trPr>
          <w:trHeight w:val="255"/>
        </w:trPr>
        <w:tc>
          <w:tcPr>
            <w:tcW w:w="4503" w:type="dxa"/>
            <w:tcBorders>
              <w:top w:val="nil"/>
              <w:left w:val="nil"/>
              <w:bottom w:val="nil"/>
              <w:right w:val="nil"/>
            </w:tcBorders>
            <w:shd w:val="clear" w:color="000000" w:fill="FFFFFF"/>
            <w:noWrap/>
            <w:vAlign w:val="bottom"/>
            <w:hideMark/>
          </w:tcPr>
          <w:p w14:paraId="01FB5BDF" w14:textId="445353D4"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Total provisions</w:t>
            </w:r>
          </w:p>
        </w:tc>
        <w:tc>
          <w:tcPr>
            <w:tcW w:w="1116" w:type="dxa"/>
            <w:tcBorders>
              <w:top w:val="nil"/>
              <w:left w:val="nil"/>
              <w:bottom w:val="nil"/>
              <w:right w:val="nil"/>
            </w:tcBorders>
            <w:shd w:val="clear" w:color="000000" w:fill="FFFFFF"/>
            <w:noWrap/>
            <w:vAlign w:val="bottom"/>
            <w:hideMark/>
          </w:tcPr>
          <w:p w14:paraId="230030F0" w14:textId="77777777" w:rsidR="00096500" w:rsidRPr="00FB3628" w:rsidRDefault="00096500" w:rsidP="00856101">
            <w:pPr>
              <w:spacing w:after="0" w:line="240" w:lineRule="auto"/>
              <w:jc w:val="center"/>
              <w:rPr>
                <w:rFonts w:ascii="Cambria" w:eastAsia="Times New Roman" w:hAnsi="Cambria" w:cs="Calibri"/>
                <w:i/>
                <w:iCs/>
                <w:color w:val="auto"/>
                <w:sz w:val="18"/>
                <w:szCs w:val="18"/>
                <w:lang w:eastAsia="en-AU"/>
              </w:rPr>
            </w:pPr>
            <w:r w:rsidRPr="00FB3628">
              <w:rPr>
                <w:rFonts w:ascii="Cambria" w:eastAsia="Times New Roman" w:hAnsi="Cambria" w:cs="Calibri"/>
                <w:i/>
                <w:iCs/>
                <w:color w:val="auto"/>
                <w:sz w:val="18"/>
                <w:szCs w:val="18"/>
                <w:lang w:eastAsia="en-AU"/>
              </w:rPr>
              <w:t> </w:t>
            </w:r>
          </w:p>
        </w:tc>
        <w:tc>
          <w:tcPr>
            <w:tcW w:w="898" w:type="dxa"/>
            <w:tcBorders>
              <w:top w:val="single" w:sz="4" w:space="0" w:color="auto"/>
              <w:left w:val="nil"/>
              <w:bottom w:val="single" w:sz="4" w:space="0" w:color="auto"/>
              <w:right w:val="nil"/>
            </w:tcBorders>
            <w:shd w:val="clear" w:color="000000" w:fill="FFFFFF"/>
            <w:noWrap/>
            <w:vAlign w:val="bottom"/>
            <w:hideMark/>
          </w:tcPr>
          <w:p w14:paraId="59622022"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214 </w:t>
            </w:r>
          </w:p>
        </w:tc>
        <w:tc>
          <w:tcPr>
            <w:tcW w:w="752" w:type="dxa"/>
            <w:tcBorders>
              <w:top w:val="single" w:sz="4" w:space="0" w:color="auto"/>
              <w:left w:val="nil"/>
              <w:bottom w:val="single" w:sz="4" w:space="0" w:color="auto"/>
              <w:right w:val="nil"/>
            </w:tcBorders>
            <w:shd w:val="clear" w:color="000000" w:fill="FFFFFF"/>
            <w:noWrap/>
            <w:vAlign w:val="bottom"/>
            <w:hideMark/>
          </w:tcPr>
          <w:p w14:paraId="2477AAFE"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145 </w:t>
            </w:r>
          </w:p>
        </w:tc>
        <w:tc>
          <w:tcPr>
            <w:tcW w:w="456" w:type="dxa"/>
            <w:tcBorders>
              <w:top w:val="nil"/>
              <w:left w:val="nil"/>
              <w:bottom w:val="nil"/>
              <w:right w:val="nil"/>
            </w:tcBorders>
            <w:shd w:val="clear" w:color="000000" w:fill="FFFFFF"/>
            <w:noWrap/>
            <w:vAlign w:val="bottom"/>
            <w:hideMark/>
          </w:tcPr>
          <w:p w14:paraId="1DE7A8AB"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single" w:sz="4" w:space="0" w:color="auto"/>
              <w:left w:val="nil"/>
              <w:bottom w:val="single" w:sz="4" w:space="0" w:color="auto"/>
              <w:right w:val="nil"/>
            </w:tcBorders>
            <w:shd w:val="clear" w:color="000000" w:fill="FFFFFF"/>
            <w:noWrap/>
            <w:vAlign w:val="bottom"/>
            <w:hideMark/>
          </w:tcPr>
          <w:p w14:paraId="5B3E6C28"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141 </w:t>
            </w:r>
          </w:p>
        </w:tc>
      </w:tr>
      <w:tr w:rsidR="00096500" w:rsidRPr="00FB3628" w14:paraId="54EED8F8" w14:textId="77777777" w:rsidTr="00377CCF">
        <w:trPr>
          <w:trHeight w:val="60"/>
        </w:trPr>
        <w:tc>
          <w:tcPr>
            <w:tcW w:w="4503" w:type="dxa"/>
            <w:tcBorders>
              <w:top w:val="nil"/>
              <w:left w:val="nil"/>
              <w:bottom w:val="nil"/>
              <w:right w:val="nil"/>
            </w:tcBorders>
            <w:shd w:val="clear" w:color="000000" w:fill="FFFFFF"/>
            <w:noWrap/>
            <w:vAlign w:val="bottom"/>
            <w:hideMark/>
          </w:tcPr>
          <w:p w14:paraId="0A5AD6D8" w14:textId="58D9835D"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116" w:type="dxa"/>
            <w:tcBorders>
              <w:top w:val="nil"/>
              <w:left w:val="nil"/>
              <w:bottom w:val="nil"/>
              <w:right w:val="nil"/>
            </w:tcBorders>
            <w:shd w:val="clear" w:color="000000" w:fill="FFFFFF"/>
            <w:noWrap/>
            <w:vAlign w:val="bottom"/>
            <w:hideMark/>
          </w:tcPr>
          <w:p w14:paraId="59F0CA66" w14:textId="77777777" w:rsidR="00096500" w:rsidRPr="00FB3628" w:rsidRDefault="00096500" w:rsidP="00856101">
            <w:pPr>
              <w:spacing w:after="0" w:line="240" w:lineRule="auto"/>
              <w:jc w:val="center"/>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898" w:type="dxa"/>
            <w:tcBorders>
              <w:top w:val="nil"/>
              <w:left w:val="nil"/>
              <w:bottom w:val="nil"/>
              <w:right w:val="nil"/>
            </w:tcBorders>
            <w:shd w:val="clear" w:color="000000" w:fill="FFFFFF"/>
            <w:noWrap/>
            <w:vAlign w:val="bottom"/>
            <w:hideMark/>
          </w:tcPr>
          <w:p w14:paraId="05919229"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3CA0DFF9"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02BD2C53"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2E5A2FF7"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64A8E9C8" w14:textId="77777777" w:rsidTr="00377CCF">
        <w:trPr>
          <w:trHeight w:val="285"/>
        </w:trPr>
        <w:tc>
          <w:tcPr>
            <w:tcW w:w="4503" w:type="dxa"/>
            <w:tcBorders>
              <w:top w:val="nil"/>
              <w:left w:val="nil"/>
              <w:bottom w:val="nil"/>
              <w:right w:val="nil"/>
            </w:tcBorders>
            <w:shd w:val="clear" w:color="000000" w:fill="FFFFFF"/>
            <w:noWrap/>
            <w:vAlign w:val="bottom"/>
            <w:hideMark/>
          </w:tcPr>
          <w:p w14:paraId="6A068273" w14:textId="1CD7EF72"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Total liabilities</w:t>
            </w:r>
          </w:p>
        </w:tc>
        <w:tc>
          <w:tcPr>
            <w:tcW w:w="1116" w:type="dxa"/>
            <w:tcBorders>
              <w:top w:val="nil"/>
              <w:left w:val="nil"/>
              <w:bottom w:val="nil"/>
              <w:right w:val="nil"/>
            </w:tcBorders>
            <w:shd w:val="clear" w:color="000000" w:fill="FFFFFF"/>
            <w:noWrap/>
            <w:vAlign w:val="bottom"/>
            <w:hideMark/>
          </w:tcPr>
          <w:p w14:paraId="16C7663F" w14:textId="77777777" w:rsidR="00096500" w:rsidRPr="00FB3628" w:rsidRDefault="00096500" w:rsidP="00856101">
            <w:pPr>
              <w:spacing w:after="0" w:line="240" w:lineRule="auto"/>
              <w:jc w:val="center"/>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898" w:type="dxa"/>
            <w:tcBorders>
              <w:top w:val="nil"/>
              <w:left w:val="nil"/>
              <w:bottom w:val="single" w:sz="4" w:space="0" w:color="auto"/>
              <w:right w:val="nil"/>
            </w:tcBorders>
            <w:shd w:val="clear" w:color="000000" w:fill="FFFFFF"/>
            <w:noWrap/>
            <w:vAlign w:val="bottom"/>
            <w:hideMark/>
          </w:tcPr>
          <w:p w14:paraId="7AAA4B03"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12,730 </w:t>
            </w:r>
          </w:p>
        </w:tc>
        <w:tc>
          <w:tcPr>
            <w:tcW w:w="752" w:type="dxa"/>
            <w:tcBorders>
              <w:top w:val="nil"/>
              <w:left w:val="nil"/>
              <w:bottom w:val="single" w:sz="4" w:space="0" w:color="auto"/>
              <w:right w:val="nil"/>
            </w:tcBorders>
            <w:shd w:val="clear" w:color="000000" w:fill="FFFFFF"/>
            <w:noWrap/>
            <w:vAlign w:val="bottom"/>
            <w:hideMark/>
          </w:tcPr>
          <w:p w14:paraId="720CA0E8"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12,442 </w:t>
            </w:r>
          </w:p>
        </w:tc>
        <w:tc>
          <w:tcPr>
            <w:tcW w:w="456" w:type="dxa"/>
            <w:tcBorders>
              <w:top w:val="nil"/>
              <w:left w:val="nil"/>
              <w:bottom w:val="nil"/>
              <w:right w:val="nil"/>
            </w:tcBorders>
            <w:shd w:val="clear" w:color="000000" w:fill="FFFFFF"/>
            <w:noWrap/>
            <w:vAlign w:val="bottom"/>
            <w:hideMark/>
          </w:tcPr>
          <w:p w14:paraId="6985D6FF"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single" w:sz="4" w:space="0" w:color="auto"/>
              <w:right w:val="nil"/>
            </w:tcBorders>
            <w:shd w:val="clear" w:color="000000" w:fill="FFFFFF"/>
            <w:noWrap/>
            <w:vAlign w:val="bottom"/>
            <w:hideMark/>
          </w:tcPr>
          <w:p w14:paraId="4E95D212"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12,001 </w:t>
            </w:r>
          </w:p>
        </w:tc>
      </w:tr>
      <w:tr w:rsidR="00096500" w:rsidRPr="00FB3628" w14:paraId="6399F5A6" w14:textId="77777777" w:rsidTr="00377CCF">
        <w:trPr>
          <w:trHeight w:val="270"/>
        </w:trPr>
        <w:tc>
          <w:tcPr>
            <w:tcW w:w="4503" w:type="dxa"/>
            <w:tcBorders>
              <w:top w:val="nil"/>
              <w:left w:val="nil"/>
              <w:bottom w:val="nil"/>
              <w:right w:val="nil"/>
            </w:tcBorders>
            <w:shd w:val="clear" w:color="000000" w:fill="FFFFFF"/>
            <w:noWrap/>
            <w:vAlign w:val="bottom"/>
            <w:hideMark/>
          </w:tcPr>
          <w:p w14:paraId="3F1D976A" w14:textId="05FDB630"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Net assets</w:t>
            </w:r>
          </w:p>
        </w:tc>
        <w:tc>
          <w:tcPr>
            <w:tcW w:w="1116" w:type="dxa"/>
            <w:tcBorders>
              <w:top w:val="nil"/>
              <w:left w:val="nil"/>
              <w:bottom w:val="nil"/>
              <w:right w:val="nil"/>
            </w:tcBorders>
            <w:shd w:val="clear" w:color="000000" w:fill="FFFFFF"/>
            <w:noWrap/>
            <w:vAlign w:val="bottom"/>
            <w:hideMark/>
          </w:tcPr>
          <w:p w14:paraId="6D469DB7" w14:textId="77777777" w:rsidR="00096500" w:rsidRPr="00FB3628" w:rsidRDefault="00096500" w:rsidP="00856101">
            <w:pPr>
              <w:spacing w:after="0" w:line="240" w:lineRule="auto"/>
              <w:jc w:val="center"/>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898" w:type="dxa"/>
            <w:tcBorders>
              <w:top w:val="single" w:sz="4" w:space="0" w:color="auto"/>
              <w:left w:val="nil"/>
              <w:bottom w:val="single" w:sz="4" w:space="0" w:color="auto"/>
              <w:right w:val="nil"/>
            </w:tcBorders>
            <w:shd w:val="clear" w:color="000000" w:fill="FFFFFF"/>
            <w:noWrap/>
            <w:vAlign w:val="bottom"/>
            <w:hideMark/>
          </w:tcPr>
          <w:p w14:paraId="491D5803"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94,476 </w:t>
            </w:r>
          </w:p>
        </w:tc>
        <w:tc>
          <w:tcPr>
            <w:tcW w:w="752" w:type="dxa"/>
            <w:tcBorders>
              <w:top w:val="single" w:sz="4" w:space="0" w:color="auto"/>
              <w:left w:val="nil"/>
              <w:bottom w:val="single" w:sz="4" w:space="0" w:color="auto"/>
              <w:right w:val="nil"/>
            </w:tcBorders>
            <w:shd w:val="clear" w:color="000000" w:fill="FFFFFF"/>
            <w:noWrap/>
            <w:vAlign w:val="bottom"/>
            <w:hideMark/>
          </w:tcPr>
          <w:p w14:paraId="05C63F8A"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76,040 </w:t>
            </w:r>
          </w:p>
        </w:tc>
        <w:tc>
          <w:tcPr>
            <w:tcW w:w="456" w:type="dxa"/>
            <w:tcBorders>
              <w:top w:val="nil"/>
              <w:left w:val="nil"/>
              <w:bottom w:val="nil"/>
              <w:right w:val="nil"/>
            </w:tcBorders>
            <w:shd w:val="clear" w:color="000000" w:fill="FFFFFF"/>
            <w:noWrap/>
            <w:vAlign w:val="bottom"/>
            <w:hideMark/>
          </w:tcPr>
          <w:p w14:paraId="21803972"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single" w:sz="4" w:space="0" w:color="auto"/>
              <w:left w:val="nil"/>
              <w:bottom w:val="single" w:sz="4" w:space="0" w:color="auto"/>
              <w:right w:val="nil"/>
            </w:tcBorders>
            <w:shd w:val="clear" w:color="000000" w:fill="FFFFFF"/>
            <w:noWrap/>
            <w:vAlign w:val="bottom"/>
            <w:hideMark/>
          </w:tcPr>
          <w:p w14:paraId="4F28999D"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47,062 </w:t>
            </w:r>
          </w:p>
        </w:tc>
      </w:tr>
      <w:tr w:rsidR="00096500" w:rsidRPr="00FB3628" w14:paraId="774551E1" w14:textId="77777777" w:rsidTr="00377CCF">
        <w:trPr>
          <w:trHeight w:val="117"/>
        </w:trPr>
        <w:tc>
          <w:tcPr>
            <w:tcW w:w="4503" w:type="dxa"/>
            <w:tcBorders>
              <w:top w:val="nil"/>
              <w:left w:val="nil"/>
              <w:bottom w:val="nil"/>
              <w:right w:val="nil"/>
            </w:tcBorders>
            <w:shd w:val="clear" w:color="000000" w:fill="FFFFFF"/>
            <w:noWrap/>
            <w:vAlign w:val="bottom"/>
            <w:hideMark/>
          </w:tcPr>
          <w:p w14:paraId="2471C470" w14:textId="1F3EF2DF"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w:t>
            </w:r>
          </w:p>
        </w:tc>
        <w:tc>
          <w:tcPr>
            <w:tcW w:w="1116" w:type="dxa"/>
            <w:tcBorders>
              <w:top w:val="nil"/>
              <w:left w:val="nil"/>
              <w:bottom w:val="nil"/>
              <w:right w:val="nil"/>
            </w:tcBorders>
            <w:shd w:val="clear" w:color="000000" w:fill="FFFFFF"/>
            <w:noWrap/>
            <w:vAlign w:val="bottom"/>
            <w:hideMark/>
          </w:tcPr>
          <w:p w14:paraId="3B89BC14" w14:textId="77777777" w:rsidR="00096500" w:rsidRPr="00FB3628" w:rsidRDefault="00096500" w:rsidP="00856101">
            <w:pPr>
              <w:spacing w:after="0" w:line="240" w:lineRule="auto"/>
              <w:jc w:val="center"/>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898" w:type="dxa"/>
            <w:tcBorders>
              <w:top w:val="nil"/>
              <w:left w:val="nil"/>
              <w:bottom w:val="nil"/>
              <w:right w:val="nil"/>
            </w:tcBorders>
            <w:shd w:val="clear" w:color="000000" w:fill="FFFFFF"/>
            <w:noWrap/>
            <w:vAlign w:val="bottom"/>
            <w:hideMark/>
          </w:tcPr>
          <w:p w14:paraId="2E01185E"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7B10A476"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48824CA9"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49C3CABB"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6D7B2A18" w14:textId="77777777" w:rsidTr="00377CCF">
        <w:trPr>
          <w:trHeight w:val="240"/>
        </w:trPr>
        <w:tc>
          <w:tcPr>
            <w:tcW w:w="4503" w:type="dxa"/>
            <w:tcBorders>
              <w:top w:val="nil"/>
              <w:left w:val="nil"/>
              <w:bottom w:val="nil"/>
              <w:right w:val="nil"/>
            </w:tcBorders>
            <w:shd w:val="clear" w:color="000000" w:fill="FFFFFF"/>
            <w:noWrap/>
            <w:vAlign w:val="bottom"/>
            <w:hideMark/>
          </w:tcPr>
          <w:p w14:paraId="39631ECC" w14:textId="5D11B3C8"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EQUITY</w:t>
            </w:r>
          </w:p>
        </w:tc>
        <w:tc>
          <w:tcPr>
            <w:tcW w:w="1116" w:type="dxa"/>
            <w:tcBorders>
              <w:top w:val="nil"/>
              <w:left w:val="nil"/>
              <w:bottom w:val="nil"/>
              <w:right w:val="nil"/>
            </w:tcBorders>
            <w:shd w:val="clear" w:color="000000" w:fill="FFFFFF"/>
            <w:noWrap/>
            <w:vAlign w:val="bottom"/>
            <w:hideMark/>
          </w:tcPr>
          <w:p w14:paraId="2AA14DE7" w14:textId="77777777" w:rsidR="00096500" w:rsidRPr="00FB3628" w:rsidRDefault="00096500" w:rsidP="00856101">
            <w:pPr>
              <w:spacing w:after="0" w:line="240" w:lineRule="auto"/>
              <w:jc w:val="center"/>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898" w:type="dxa"/>
            <w:tcBorders>
              <w:top w:val="nil"/>
              <w:left w:val="nil"/>
              <w:bottom w:val="nil"/>
              <w:right w:val="nil"/>
            </w:tcBorders>
            <w:shd w:val="clear" w:color="000000" w:fill="FFFFFF"/>
            <w:noWrap/>
            <w:vAlign w:val="bottom"/>
            <w:hideMark/>
          </w:tcPr>
          <w:p w14:paraId="09366FF0"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0870F593"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7089C265"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6FF38D28"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r>
      <w:tr w:rsidR="00096500" w:rsidRPr="00FB3628" w14:paraId="3B94D6E2" w14:textId="77777777" w:rsidTr="00377CCF">
        <w:trPr>
          <w:trHeight w:val="240"/>
        </w:trPr>
        <w:tc>
          <w:tcPr>
            <w:tcW w:w="4503" w:type="dxa"/>
            <w:tcBorders>
              <w:top w:val="nil"/>
              <w:left w:val="nil"/>
              <w:bottom w:val="nil"/>
              <w:right w:val="nil"/>
            </w:tcBorders>
            <w:shd w:val="clear" w:color="000000" w:fill="FFFFFF"/>
            <w:hideMark/>
          </w:tcPr>
          <w:p w14:paraId="290AD095" w14:textId="290453B9"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Contributed equity</w:t>
            </w:r>
          </w:p>
        </w:tc>
        <w:tc>
          <w:tcPr>
            <w:tcW w:w="1116" w:type="dxa"/>
            <w:tcBorders>
              <w:top w:val="nil"/>
              <w:left w:val="nil"/>
              <w:bottom w:val="nil"/>
              <w:right w:val="nil"/>
            </w:tcBorders>
            <w:shd w:val="clear" w:color="000000" w:fill="FFFFFF"/>
            <w:noWrap/>
            <w:vAlign w:val="bottom"/>
            <w:hideMark/>
          </w:tcPr>
          <w:p w14:paraId="1EF0B355" w14:textId="77777777" w:rsidR="00096500" w:rsidRPr="00FB3628" w:rsidRDefault="00096500" w:rsidP="00856101">
            <w:pPr>
              <w:spacing w:after="0" w:line="240" w:lineRule="auto"/>
              <w:jc w:val="center"/>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898" w:type="dxa"/>
            <w:tcBorders>
              <w:top w:val="nil"/>
              <w:left w:val="nil"/>
              <w:bottom w:val="nil"/>
              <w:right w:val="nil"/>
            </w:tcBorders>
            <w:shd w:val="clear" w:color="000000" w:fill="FFFFFF"/>
            <w:noWrap/>
            <w:vAlign w:val="bottom"/>
            <w:hideMark/>
          </w:tcPr>
          <w:p w14:paraId="131C7722"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400 </w:t>
            </w:r>
          </w:p>
        </w:tc>
        <w:tc>
          <w:tcPr>
            <w:tcW w:w="752" w:type="dxa"/>
            <w:tcBorders>
              <w:top w:val="nil"/>
              <w:left w:val="nil"/>
              <w:bottom w:val="nil"/>
              <w:right w:val="nil"/>
            </w:tcBorders>
            <w:shd w:val="clear" w:color="000000" w:fill="FFFFFF"/>
            <w:noWrap/>
            <w:vAlign w:val="bottom"/>
            <w:hideMark/>
          </w:tcPr>
          <w:p w14:paraId="4613101E"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400 </w:t>
            </w:r>
          </w:p>
        </w:tc>
        <w:tc>
          <w:tcPr>
            <w:tcW w:w="456" w:type="dxa"/>
            <w:tcBorders>
              <w:top w:val="nil"/>
              <w:left w:val="nil"/>
              <w:bottom w:val="nil"/>
              <w:right w:val="nil"/>
            </w:tcBorders>
            <w:shd w:val="clear" w:color="000000" w:fill="FFFFFF"/>
            <w:noWrap/>
            <w:vAlign w:val="bottom"/>
            <w:hideMark/>
          </w:tcPr>
          <w:p w14:paraId="645E34A6"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0D16B7C6"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400 </w:t>
            </w:r>
          </w:p>
        </w:tc>
      </w:tr>
      <w:tr w:rsidR="00096500" w:rsidRPr="00FB3628" w14:paraId="40AB708D" w14:textId="77777777" w:rsidTr="00377CCF">
        <w:trPr>
          <w:trHeight w:val="270"/>
        </w:trPr>
        <w:tc>
          <w:tcPr>
            <w:tcW w:w="4503" w:type="dxa"/>
            <w:tcBorders>
              <w:top w:val="nil"/>
              <w:left w:val="nil"/>
              <w:bottom w:val="nil"/>
              <w:right w:val="nil"/>
            </w:tcBorders>
            <w:shd w:val="clear" w:color="000000" w:fill="FFFFFF"/>
            <w:hideMark/>
          </w:tcPr>
          <w:p w14:paraId="58047F88" w14:textId="5D188D26"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Asset revaluation reserve</w:t>
            </w:r>
          </w:p>
        </w:tc>
        <w:tc>
          <w:tcPr>
            <w:tcW w:w="1116" w:type="dxa"/>
            <w:tcBorders>
              <w:top w:val="nil"/>
              <w:left w:val="nil"/>
              <w:bottom w:val="nil"/>
              <w:right w:val="nil"/>
            </w:tcBorders>
            <w:shd w:val="clear" w:color="000000" w:fill="FFFFFF"/>
            <w:noWrap/>
            <w:vAlign w:val="bottom"/>
            <w:hideMark/>
          </w:tcPr>
          <w:p w14:paraId="3F9D5FAB" w14:textId="383AF18D" w:rsidR="00096500" w:rsidRPr="00FB3628" w:rsidRDefault="00096500" w:rsidP="00856101">
            <w:pPr>
              <w:spacing w:after="0" w:line="240" w:lineRule="auto"/>
              <w:jc w:val="center"/>
              <w:rPr>
                <w:rFonts w:ascii="Times New Roman" w:eastAsia="Times New Roman" w:hAnsi="Times New Roman" w:cs="Times New Roman"/>
                <w:color w:val="0000FF"/>
                <w:sz w:val="18"/>
                <w:szCs w:val="18"/>
                <w:u w:val="single"/>
                <w:lang w:eastAsia="en-AU"/>
              </w:rPr>
            </w:pPr>
          </w:p>
        </w:tc>
        <w:tc>
          <w:tcPr>
            <w:tcW w:w="898" w:type="dxa"/>
            <w:tcBorders>
              <w:top w:val="nil"/>
              <w:left w:val="nil"/>
              <w:bottom w:val="nil"/>
              <w:right w:val="nil"/>
            </w:tcBorders>
            <w:shd w:val="clear" w:color="000000" w:fill="FFFFFF"/>
            <w:noWrap/>
            <w:vAlign w:val="bottom"/>
            <w:hideMark/>
          </w:tcPr>
          <w:p w14:paraId="136C061B"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221 </w:t>
            </w:r>
          </w:p>
        </w:tc>
        <w:tc>
          <w:tcPr>
            <w:tcW w:w="752" w:type="dxa"/>
            <w:tcBorders>
              <w:top w:val="nil"/>
              <w:left w:val="nil"/>
              <w:bottom w:val="nil"/>
              <w:right w:val="nil"/>
            </w:tcBorders>
            <w:shd w:val="clear" w:color="000000" w:fill="FFFFFF"/>
            <w:noWrap/>
            <w:vAlign w:val="bottom"/>
            <w:hideMark/>
          </w:tcPr>
          <w:p w14:paraId="3232EB43"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221 </w:t>
            </w:r>
          </w:p>
        </w:tc>
        <w:tc>
          <w:tcPr>
            <w:tcW w:w="456" w:type="dxa"/>
            <w:tcBorders>
              <w:top w:val="nil"/>
              <w:left w:val="nil"/>
              <w:bottom w:val="nil"/>
              <w:right w:val="nil"/>
            </w:tcBorders>
            <w:shd w:val="clear" w:color="000000" w:fill="FFFFFF"/>
            <w:noWrap/>
            <w:vAlign w:val="bottom"/>
            <w:hideMark/>
          </w:tcPr>
          <w:p w14:paraId="66783EAE"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2E099525"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 - </w:t>
            </w:r>
          </w:p>
        </w:tc>
      </w:tr>
      <w:tr w:rsidR="00096500" w:rsidRPr="00FB3628" w14:paraId="28F6EF81" w14:textId="77777777" w:rsidTr="00377CCF">
        <w:trPr>
          <w:trHeight w:val="240"/>
        </w:trPr>
        <w:tc>
          <w:tcPr>
            <w:tcW w:w="4503" w:type="dxa"/>
            <w:tcBorders>
              <w:top w:val="nil"/>
              <w:left w:val="nil"/>
              <w:bottom w:val="nil"/>
              <w:right w:val="nil"/>
            </w:tcBorders>
            <w:shd w:val="clear" w:color="000000" w:fill="FFFFFF"/>
            <w:hideMark/>
          </w:tcPr>
          <w:p w14:paraId="0C09AF56"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Retained surplus</w:t>
            </w:r>
          </w:p>
        </w:tc>
        <w:tc>
          <w:tcPr>
            <w:tcW w:w="1116" w:type="dxa"/>
            <w:tcBorders>
              <w:top w:val="nil"/>
              <w:left w:val="nil"/>
              <w:bottom w:val="nil"/>
              <w:right w:val="nil"/>
            </w:tcBorders>
            <w:shd w:val="clear" w:color="000000" w:fill="FFFFFF"/>
            <w:noWrap/>
            <w:vAlign w:val="bottom"/>
            <w:hideMark/>
          </w:tcPr>
          <w:p w14:paraId="6A982F1C" w14:textId="77777777" w:rsidR="00096500" w:rsidRPr="00FB3628" w:rsidRDefault="00096500" w:rsidP="00856101">
            <w:pPr>
              <w:spacing w:after="0" w:line="240" w:lineRule="auto"/>
              <w:jc w:val="center"/>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898" w:type="dxa"/>
            <w:tcBorders>
              <w:top w:val="nil"/>
              <w:left w:val="nil"/>
              <w:bottom w:val="nil"/>
              <w:right w:val="nil"/>
            </w:tcBorders>
            <w:shd w:val="clear" w:color="000000" w:fill="FFFFFF"/>
            <w:noWrap/>
            <w:vAlign w:val="bottom"/>
            <w:hideMark/>
          </w:tcPr>
          <w:p w14:paraId="6B544034"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93,855 </w:t>
            </w:r>
          </w:p>
        </w:tc>
        <w:tc>
          <w:tcPr>
            <w:tcW w:w="752" w:type="dxa"/>
            <w:tcBorders>
              <w:top w:val="nil"/>
              <w:left w:val="nil"/>
              <w:bottom w:val="nil"/>
              <w:right w:val="nil"/>
            </w:tcBorders>
            <w:noWrap/>
            <w:vAlign w:val="bottom"/>
            <w:hideMark/>
          </w:tcPr>
          <w:p w14:paraId="1A2FEE79"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75,419 </w:t>
            </w:r>
          </w:p>
        </w:tc>
        <w:tc>
          <w:tcPr>
            <w:tcW w:w="456" w:type="dxa"/>
            <w:tcBorders>
              <w:top w:val="nil"/>
              <w:left w:val="nil"/>
              <w:bottom w:val="nil"/>
              <w:right w:val="nil"/>
            </w:tcBorders>
            <w:shd w:val="clear" w:color="000000" w:fill="FFFFFF"/>
            <w:noWrap/>
            <w:vAlign w:val="bottom"/>
            <w:hideMark/>
          </w:tcPr>
          <w:p w14:paraId="3BDC5ADE"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0F96D85C"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46,662 </w:t>
            </w:r>
          </w:p>
        </w:tc>
      </w:tr>
      <w:tr w:rsidR="00096500" w:rsidRPr="00FB3628" w14:paraId="185C9BD0" w14:textId="77777777" w:rsidTr="00377CCF">
        <w:trPr>
          <w:trHeight w:val="240"/>
        </w:trPr>
        <w:tc>
          <w:tcPr>
            <w:tcW w:w="4503" w:type="dxa"/>
            <w:tcBorders>
              <w:top w:val="nil"/>
              <w:left w:val="nil"/>
              <w:bottom w:val="nil"/>
              <w:right w:val="nil"/>
            </w:tcBorders>
            <w:noWrap/>
            <w:vAlign w:val="bottom"/>
            <w:hideMark/>
          </w:tcPr>
          <w:p w14:paraId="244EF68A" w14:textId="4EE725EC" w:rsidR="00096500" w:rsidRPr="00FB3628" w:rsidRDefault="00096500" w:rsidP="00856101">
            <w:pPr>
              <w:spacing w:after="0" w:line="240" w:lineRule="auto"/>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Total equity</w:t>
            </w:r>
          </w:p>
        </w:tc>
        <w:tc>
          <w:tcPr>
            <w:tcW w:w="1116" w:type="dxa"/>
            <w:tcBorders>
              <w:top w:val="nil"/>
              <w:left w:val="nil"/>
              <w:bottom w:val="nil"/>
              <w:right w:val="nil"/>
            </w:tcBorders>
            <w:noWrap/>
            <w:vAlign w:val="bottom"/>
            <w:hideMark/>
          </w:tcPr>
          <w:p w14:paraId="0454DB56" w14:textId="77777777" w:rsidR="00096500" w:rsidRPr="00FB3628" w:rsidRDefault="00096500" w:rsidP="00856101">
            <w:pPr>
              <w:spacing w:after="0" w:line="240" w:lineRule="auto"/>
              <w:rPr>
                <w:rFonts w:ascii="Cambria" w:eastAsia="Times New Roman" w:hAnsi="Cambria" w:cs="Calibri"/>
                <w:b/>
                <w:bCs/>
                <w:color w:val="auto"/>
                <w:sz w:val="18"/>
                <w:szCs w:val="18"/>
                <w:lang w:eastAsia="en-AU"/>
              </w:rPr>
            </w:pPr>
          </w:p>
        </w:tc>
        <w:tc>
          <w:tcPr>
            <w:tcW w:w="898" w:type="dxa"/>
            <w:tcBorders>
              <w:top w:val="single" w:sz="4" w:space="0" w:color="auto"/>
              <w:left w:val="nil"/>
              <w:bottom w:val="single" w:sz="4" w:space="0" w:color="auto"/>
              <w:right w:val="nil"/>
            </w:tcBorders>
            <w:noWrap/>
            <w:vAlign w:val="bottom"/>
            <w:hideMark/>
          </w:tcPr>
          <w:p w14:paraId="466F257E" w14:textId="77777777" w:rsidR="00096500" w:rsidRPr="00FB3628" w:rsidRDefault="00096500" w:rsidP="00856101">
            <w:pPr>
              <w:spacing w:after="0" w:line="240" w:lineRule="auto"/>
              <w:jc w:val="right"/>
              <w:rPr>
                <w:rFonts w:ascii="Cambria" w:eastAsia="Times New Roman" w:hAnsi="Cambria" w:cs="Calibri"/>
                <w:b/>
                <w:bCs/>
                <w:color w:val="auto"/>
                <w:sz w:val="18"/>
                <w:szCs w:val="18"/>
                <w:lang w:eastAsia="en-AU"/>
              </w:rPr>
            </w:pPr>
            <w:r w:rsidRPr="00FB3628">
              <w:rPr>
                <w:rFonts w:ascii="Cambria" w:eastAsia="Times New Roman" w:hAnsi="Cambria" w:cs="Calibri"/>
                <w:b/>
                <w:bCs/>
                <w:color w:val="auto"/>
                <w:sz w:val="18"/>
                <w:szCs w:val="18"/>
                <w:lang w:eastAsia="en-AU"/>
              </w:rPr>
              <w:t xml:space="preserve">94,476 </w:t>
            </w:r>
          </w:p>
        </w:tc>
        <w:tc>
          <w:tcPr>
            <w:tcW w:w="752" w:type="dxa"/>
            <w:tcBorders>
              <w:top w:val="single" w:sz="4" w:space="0" w:color="auto"/>
              <w:left w:val="nil"/>
              <w:bottom w:val="single" w:sz="4" w:space="0" w:color="auto"/>
              <w:right w:val="nil"/>
            </w:tcBorders>
            <w:noWrap/>
            <w:vAlign w:val="bottom"/>
            <w:hideMark/>
          </w:tcPr>
          <w:p w14:paraId="30FE35E8"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76,040 </w:t>
            </w:r>
          </w:p>
        </w:tc>
        <w:tc>
          <w:tcPr>
            <w:tcW w:w="456" w:type="dxa"/>
            <w:tcBorders>
              <w:top w:val="nil"/>
              <w:left w:val="nil"/>
              <w:bottom w:val="nil"/>
              <w:right w:val="nil"/>
            </w:tcBorders>
            <w:noWrap/>
            <w:vAlign w:val="bottom"/>
            <w:hideMark/>
          </w:tcPr>
          <w:p w14:paraId="2366C4AC"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single" w:sz="4" w:space="0" w:color="auto"/>
              <w:left w:val="nil"/>
              <w:bottom w:val="single" w:sz="4" w:space="0" w:color="auto"/>
              <w:right w:val="nil"/>
            </w:tcBorders>
            <w:noWrap/>
            <w:vAlign w:val="bottom"/>
            <w:hideMark/>
          </w:tcPr>
          <w:p w14:paraId="3893C796" w14:textId="77777777" w:rsidR="00096500" w:rsidRPr="00FB3628" w:rsidRDefault="00096500" w:rsidP="00856101">
            <w:pPr>
              <w:spacing w:after="0" w:line="240" w:lineRule="auto"/>
              <w:jc w:val="right"/>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 xml:space="preserve">47,062 </w:t>
            </w:r>
          </w:p>
        </w:tc>
      </w:tr>
      <w:tr w:rsidR="00096500" w:rsidRPr="00FB3628" w14:paraId="1DA60BC1" w14:textId="77777777" w:rsidTr="00377CCF">
        <w:trPr>
          <w:trHeight w:val="315"/>
        </w:trPr>
        <w:tc>
          <w:tcPr>
            <w:tcW w:w="7269" w:type="dxa"/>
            <w:gridSpan w:val="4"/>
            <w:tcBorders>
              <w:top w:val="nil"/>
              <w:left w:val="nil"/>
              <w:bottom w:val="nil"/>
              <w:right w:val="nil"/>
            </w:tcBorders>
            <w:noWrap/>
            <w:vAlign w:val="bottom"/>
            <w:hideMark/>
          </w:tcPr>
          <w:p w14:paraId="33D237A1" w14:textId="796DBA3D" w:rsidR="00096500" w:rsidRPr="00FB3628" w:rsidRDefault="00096500" w:rsidP="00856101">
            <w:pPr>
              <w:spacing w:after="0" w:line="240" w:lineRule="auto"/>
              <w:rPr>
                <w:rFonts w:ascii="Cambria" w:eastAsia="Times New Roman" w:hAnsi="Cambria" w:cs="Calibri"/>
                <w:color w:val="auto"/>
                <w:sz w:val="18"/>
                <w:szCs w:val="18"/>
                <w:lang w:eastAsia="en-AU"/>
              </w:rPr>
            </w:pPr>
            <w:r w:rsidRPr="00FB3628">
              <w:rPr>
                <w:rFonts w:ascii="Cambria" w:eastAsia="Times New Roman" w:hAnsi="Cambria" w:cs="Calibri"/>
                <w:color w:val="auto"/>
                <w:sz w:val="18"/>
                <w:szCs w:val="18"/>
                <w:lang w:eastAsia="en-AU"/>
              </w:rPr>
              <w:t>The above statement should be read in conjunction with the accompanying notes.</w:t>
            </w:r>
          </w:p>
        </w:tc>
        <w:tc>
          <w:tcPr>
            <w:tcW w:w="456" w:type="dxa"/>
            <w:tcBorders>
              <w:top w:val="nil"/>
              <w:left w:val="nil"/>
              <w:bottom w:val="nil"/>
              <w:right w:val="nil"/>
            </w:tcBorders>
            <w:noWrap/>
            <w:hideMark/>
          </w:tcPr>
          <w:p w14:paraId="22ACF6C1" w14:textId="77777777" w:rsidR="00096500" w:rsidRPr="00FB3628" w:rsidRDefault="00096500" w:rsidP="00856101">
            <w:pPr>
              <w:spacing w:after="0" w:line="240" w:lineRule="auto"/>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608306BB" w14:textId="77777777" w:rsidR="00096500" w:rsidRPr="00FB3628" w:rsidRDefault="00096500" w:rsidP="00856101">
            <w:pPr>
              <w:spacing w:after="0" w:line="240" w:lineRule="auto"/>
              <w:rPr>
                <w:rFonts w:ascii="Times New Roman" w:eastAsia="Times New Roman" w:hAnsi="Times New Roman" w:cs="Times New Roman"/>
                <w:color w:val="auto"/>
                <w:sz w:val="20"/>
                <w:szCs w:val="20"/>
                <w:lang w:eastAsia="en-AU"/>
              </w:rPr>
            </w:pPr>
          </w:p>
        </w:tc>
      </w:tr>
      <w:tr w:rsidR="00096500" w:rsidRPr="00FB3628" w14:paraId="38AD604A" w14:textId="77777777" w:rsidTr="00377CCF">
        <w:trPr>
          <w:trHeight w:val="288"/>
        </w:trPr>
        <w:tc>
          <w:tcPr>
            <w:tcW w:w="8961" w:type="dxa"/>
            <w:gridSpan w:val="6"/>
            <w:tcBorders>
              <w:top w:val="nil"/>
              <w:left w:val="nil"/>
              <w:bottom w:val="nil"/>
              <w:right w:val="nil"/>
            </w:tcBorders>
            <w:noWrap/>
            <w:vAlign w:val="bottom"/>
            <w:hideMark/>
          </w:tcPr>
          <w:p w14:paraId="061D9A19" w14:textId="46D58E76" w:rsidR="00096500" w:rsidRPr="00FB3628" w:rsidRDefault="00096500" w:rsidP="00856101">
            <w:pPr>
              <w:spacing w:after="0" w:line="240" w:lineRule="auto"/>
              <w:rPr>
                <w:rFonts w:ascii="Times New Roman" w:eastAsia="Times New Roman" w:hAnsi="Times New Roman" w:cs="Times New Roman"/>
                <w:color w:val="auto"/>
                <w:sz w:val="20"/>
                <w:szCs w:val="20"/>
                <w:lang w:eastAsia="en-AU"/>
              </w:rPr>
            </w:pPr>
          </w:p>
        </w:tc>
      </w:tr>
    </w:tbl>
    <w:p w14:paraId="0192A3BF" w14:textId="621C011F" w:rsidR="00096500" w:rsidRDefault="00096500" w:rsidP="00EB0D85"/>
    <w:p w14:paraId="705C5354" w14:textId="77777777" w:rsidR="00096500" w:rsidRDefault="00096500" w:rsidP="00EB0D85"/>
    <w:p w14:paraId="5BA2895F" w14:textId="77777777" w:rsidR="00096500" w:rsidRDefault="00096500" w:rsidP="00EB0D85"/>
    <w:p w14:paraId="4906D57B" w14:textId="77777777" w:rsidR="00096500" w:rsidRDefault="00096500" w:rsidP="00EB0D85"/>
    <w:p w14:paraId="471B5F35" w14:textId="77777777" w:rsidR="00096500" w:rsidRDefault="00096500" w:rsidP="00EB0D85"/>
    <w:p w14:paraId="26E4CE2F" w14:textId="77777777" w:rsidR="00096500" w:rsidRDefault="00096500" w:rsidP="00EB0D85"/>
    <w:p w14:paraId="621D9377" w14:textId="016AA05D" w:rsidR="00096500" w:rsidRDefault="00377CCF" w:rsidP="00EB0D85">
      <w:r>
        <w:rPr>
          <w:noProof/>
        </w:rPr>
        <w:lastRenderedPageBreak/>
        <mc:AlternateContent>
          <mc:Choice Requires="wps">
            <w:drawing>
              <wp:anchor distT="0" distB="0" distL="114300" distR="114300" simplePos="0" relativeHeight="251683840" behindDoc="0" locked="0" layoutInCell="1" allowOverlap="1" wp14:anchorId="14481771" wp14:editId="02DC8059">
                <wp:simplePos x="0" y="0"/>
                <wp:positionH relativeFrom="margin">
                  <wp:posOffset>52070</wp:posOffset>
                </wp:positionH>
                <wp:positionV relativeFrom="paragraph">
                  <wp:posOffset>12700</wp:posOffset>
                </wp:positionV>
                <wp:extent cx="5428615" cy="1802130"/>
                <wp:effectExtent l="0" t="0" r="19685" b="26670"/>
                <wp:wrapSquare wrapText="bothSides"/>
                <wp:docPr id="2" name="TextBox 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microsoft.com/office/word/2010/wordprocessingShape">
                    <wps:wsp>
                      <wps:cNvSpPr txBox="1"/>
                      <wps:spPr>
                        <a:xfrm>
                          <a:off x="0" y="0"/>
                          <a:ext cx="5428615" cy="1802130"/>
                        </a:xfrm>
                        <a:prstGeom prst="rect">
                          <a:avLst/>
                        </a:prstGeom>
                        <a:noFill/>
                        <a:ln w="12700" cmpd="sng">
                          <a:solidFill>
                            <a:srgbClr val="009560"/>
                          </a:solidFill>
                        </a:ln>
                        <a:effectLst/>
                      </wps:spPr>
                      <wps:txbx>
                        <w:txbxContent>
                          <w:p w14:paraId="520F2981" w14:textId="77777777" w:rsidR="00377CCF" w:rsidRPr="00245485" w:rsidRDefault="00377CCF" w:rsidP="00377CCF">
                            <w:pPr>
                              <w:rPr>
                                <w:rFonts w:cs="Arial"/>
                                <w:b/>
                                <w:bCs/>
                                <w:color w:val="15272F" w:themeColor="dark1"/>
                                <w:sz w:val="18"/>
                                <w:szCs w:val="18"/>
                              </w:rPr>
                            </w:pPr>
                            <w:r w:rsidRPr="00245485">
                              <w:rPr>
                                <w:rFonts w:cs="Arial"/>
                                <w:b/>
                                <w:bCs/>
                                <w:color w:val="15272F" w:themeColor="dark1"/>
                                <w:sz w:val="18"/>
                                <w:szCs w:val="18"/>
                              </w:rPr>
                              <w:t>Budget variances commentary</w:t>
                            </w:r>
                          </w:p>
                          <w:p w14:paraId="2AB82CBB" w14:textId="77777777" w:rsidR="00377CCF" w:rsidRPr="00245485" w:rsidRDefault="00377CCF" w:rsidP="00377CCF">
                            <w:pPr>
                              <w:rPr>
                                <w:rFonts w:cs="Arial"/>
                                <w:b/>
                                <w:bCs/>
                                <w:color w:val="15272F" w:themeColor="dark1"/>
                                <w:sz w:val="18"/>
                                <w:szCs w:val="18"/>
                              </w:rPr>
                            </w:pPr>
                            <w:r w:rsidRPr="00245485">
                              <w:rPr>
                                <w:rFonts w:cs="Arial"/>
                                <w:b/>
                                <w:bCs/>
                                <w:color w:val="15272F" w:themeColor="dark1"/>
                                <w:sz w:val="18"/>
                                <w:szCs w:val="18"/>
                              </w:rPr>
                              <w:t xml:space="preserve">Statement of financial position </w:t>
                            </w:r>
                          </w:p>
                          <w:p w14:paraId="7698C6DD" w14:textId="77777777" w:rsidR="00377CCF" w:rsidRPr="00245485" w:rsidRDefault="00377CCF" w:rsidP="00377CCF">
                            <w:pPr>
                              <w:rPr>
                                <w:rFonts w:cs="Arial"/>
                                <w:color w:val="15272F" w:themeColor="dark1"/>
                                <w:sz w:val="18"/>
                                <w:szCs w:val="18"/>
                              </w:rPr>
                            </w:pPr>
                            <w:r w:rsidRPr="00245485">
                              <w:rPr>
                                <w:rFonts w:cs="Arial"/>
                                <w:color w:val="15272F" w:themeColor="dark1"/>
                                <w:sz w:val="18"/>
                                <w:szCs w:val="18"/>
                              </w:rPr>
                              <w:t xml:space="preserve">Total assets of $107.206m were $48.143m higher than budget primarily due to the increase in cash holdings from retained surpluses. </w:t>
                            </w:r>
                          </w:p>
                          <w:p w14:paraId="5E1210AF" w14:textId="77777777" w:rsidR="00377CCF" w:rsidRPr="00245485" w:rsidRDefault="00377CCF" w:rsidP="00377CCF">
                            <w:pPr>
                              <w:rPr>
                                <w:rFonts w:cs="Arial"/>
                                <w:color w:val="15272F" w:themeColor="dark1"/>
                                <w:sz w:val="18"/>
                                <w:szCs w:val="18"/>
                              </w:rPr>
                            </w:pPr>
                            <w:r w:rsidRPr="00245485">
                              <w:rPr>
                                <w:rFonts w:cs="Arial"/>
                                <w:color w:val="15272F" w:themeColor="dark1"/>
                                <w:sz w:val="18"/>
                                <w:szCs w:val="18"/>
                              </w:rPr>
                              <w:t>Total liabilities of $12.730m were $0.729m higher than budget primarily due to higher supplier payables.</w:t>
                            </w:r>
                          </w:p>
                          <w:p w14:paraId="7616E1E9" w14:textId="77777777" w:rsidR="00377CCF" w:rsidRPr="00245485" w:rsidRDefault="00377CCF" w:rsidP="00377CCF">
                            <w:pPr>
                              <w:textAlignment w:val="baseline"/>
                              <w:rPr>
                                <w:rFonts w:cs="Arial"/>
                                <w:color w:val="15272F" w:themeColor="dark1"/>
                                <w:sz w:val="18"/>
                                <w:szCs w:val="18"/>
                              </w:rPr>
                            </w:pPr>
                            <w:r w:rsidRPr="00245485">
                              <w:rPr>
                                <w:rFonts w:cs="Arial"/>
                                <w:color w:val="15272F" w:themeColor="dark1"/>
                                <w:sz w:val="18"/>
                                <w:szCs w:val="18"/>
                              </w:rPr>
                              <w:t>Total equity of $94.476m was $47.414m higher than the budget primarily due to retained surpluses noting that the budget is derived on a break-even assumption.</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14481771" id="TextBox 1" o:spid="_x0000_s1028" type="#_x0000_t202" style="position:absolute;margin-left:4.1pt;margin-top:1pt;width:427.45pt;height:141.9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" filled="f" strokecolor="#009560" strokeweight="1pt">
                <v:textbox>
                  <w:txbxContent>
                    <w:p w14:paraId="520F2981" w14:textId="77777777" w:rsidR="00377CCF" w:rsidRPr="00245485" w:rsidRDefault="00377CCF" w:rsidP="00377CCF">
                      <w:pPr>
                        <w:rPr>
                          <w:rFonts w:cs="Arial"/>
                          <w:b/>
                          <w:bCs/>
                          <w:color w:val="15272F" w:themeColor="dark1"/>
                          <w:sz w:val="18"/>
                          <w:szCs w:val="18"/>
                        </w:rPr>
                      </w:pPr>
                      <w:r w:rsidRPr="00245485">
                        <w:rPr>
                          <w:rFonts w:cs="Arial"/>
                          <w:b/>
                          <w:bCs/>
                          <w:color w:val="15272F" w:themeColor="dark1"/>
                          <w:sz w:val="18"/>
                          <w:szCs w:val="18"/>
                        </w:rPr>
                        <w:t>Budget variances commentary</w:t>
                      </w:r>
                    </w:p>
                    <w:p w14:paraId="2AB82CBB" w14:textId="77777777" w:rsidR="00377CCF" w:rsidRPr="00245485" w:rsidRDefault="00377CCF" w:rsidP="00377CCF">
                      <w:pPr>
                        <w:rPr>
                          <w:rFonts w:cs="Arial"/>
                          <w:b/>
                          <w:bCs/>
                          <w:color w:val="15272F" w:themeColor="dark1"/>
                          <w:sz w:val="18"/>
                          <w:szCs w:val="18"/>
                        </w:rPr>
                      </w:pPr>
                      <w:r w:rsidRPr="00245485">
                        <w:rPr>
                          <w:rFonts w:cs="Arial"/>
                          <w:b/>
                          <w:bCs/>
                          <w:color w:val="15272F" w:themeColor="dark1"/>
                          <w:sz w:val="18"/>
                          <w:szCs w:val="18"/>
                        </w:rPr>
                        <w:t xml:space="preserve">Statement of financial position </w:t>
                      </w:r>
                    </w:p>
                    <w:p w14:paraId="7698C6DD" w14:textId="77777777" w:rsidR="00377CCF" w:rsidRPr="00245485" w:rsidRDefault="00377CCF" w:rsidP="00377CCF">
                      <w:pPr>
                        <w:rPr>
                          <w:rFonts w:cs="Arial"/>
                          <w:color w:val="15272F" w:themeColor="dark1"/>
                          <w:sz w:val="18"/>
                          <w:szCs w:val="18"/>
                        </w:rPr>
                      </w:pPr>
                      <w:r w:rsidRPr="00245485">
                        <w:rPr>
                          <w:rFonts w:cs="Arial"/>
                          <w:color w:val="15272F" w:themeColor="dark1"/>
                          <w:sz w:val="18"/>
                          <w:szCs w:val="18"/>
                        </w:rPr>
                        <w:t xml:space="preserve">Total assets of $107.206m were $48.143m higher than budget primarily due to the increase in cash holdings from retained surpluses. </w:t>
                      </w:r>
                    </w:p>
                    <w:p w14:paraId="5E1210AF" w14:textId="77777777" w:rsidR="00377CCF" w:rsidRPr="00245485" w:rsidRDefault="00377CCF" w:rsidP="00377CCF">
                      <w:pPr>
                        <w:rPr>
                          <w:rFonts w:cs="Arial"/>
                          <w:color w:val="15272F" w:themeColor="dark1"/>
                          <w:sz w:val="18"/>
                          <w:szCs w:val="18"/>
                        </w:rPr>
                      </w:pPr>
                      <w:r w:rsidRPr="00245485">
                        <w:rPr>
                          <w:rFonts w:cs="Arial"/>
                          <w:color w:val="15272F" w:themeColor="dark1"/>
                          <w:sz w:val="18"/>
                          <w:szCs w:val="18"/>
                        </w:rPr>
                        <w:t>Total liabilities of $12.730m were $0.729m higher than budget primarily due to higher supplier payables.</w:t>
                      </w:r>
                    </w:p>
                    <w:p w14:paraId="7616E1E9" w14:textId="77777777" w:rsidR="00377CCF" w:rsidRPr="00245485" w:rsidRDefault="00377CCF" w:rsidP="00377CCF">
                      <w:pPr>
                        <w:textAlignment w:val="baseline"/>
                        <w:rPr>
                          <w:rFonts w:cs="Arial"/>
                          <w:color w:val="15272F" w:themeColor="dark1"/>
                          <w:sz w:val="18"/>
                          <w:szCs w:val="18"/>
                        </w:rPr>
                      </w:pPr>
                      <w:r w:rsidRPr="00245485">
                        <w:rPr>
                          <w:rFonts w:cs="Arial"/>
                          <w:color w:val="15272F" w:themeColor="dark1"/>
                          <w:sz w:val="18"/>
                          <w:szCs w:val="18"/>
                        </w:rPr>
                        <w:t>Total equity of $94.476m was $47.414m higher than the budget primarily due to retained surpluses noting that the budget is derived on a break-even assumption.</w:t>
                      </w:r>
                    </w:p>
                  </w:txbxContent>
                </v:textbox>
                <w10:wrap type="square" anchorx="margin"/>
              </v:shape>
            </w:pict>
          </mc:Fallback>
        </mc:AlternateContent>
      </w:r>
    </w:p>
    <w:p w14:paraId="0C10A958" w14:textId="77777777" w:rsidR="00096500" w:rsidRDefault="00096500" w:rsidP="00EB0D85"/>
    <w:p w14:paraId="2ACF1D88" w14:textId="34357231" w:rsidR="00096500" w:rsidRDefault="00096500" w:rsidP="00EB0D85"/>
    <w:p w14:paraId="4406B49E" w14:textId="77777777" w:rsidR="00096500" w:rsidRDefault="00096500" w:rsidP="00EB0D85"/>
    <w:p w14:paraId="54DF99B0" w14:textId="293D74EE" w:rsidR="00096500" w:rsidRDefault="00096500" w:rsidP="00EB0D85"/>
    <w:bookmarkEnd w:id="987"/>
    <w:bookmarkEnd w:id="988"/>
    <w:bookmarkEnd w:id="989"/>
    <w:p w14:paraId="2EF9BED9" w14:textId="6859605C" w:rsidR="00EB0D85" w:rsidRDefault="00EB0D85" w:rsidP="00EB0D85"/>
    <w:p w14:paraId="3E1B6712" w14:textId="0F78B2D8" w:rsidR="00EB0D85" w:rsidRDefault="00EB0D85" w:rsidP="00EB0D85"/>
    <w:p w14:paraId="3C4DE805" w14:textId="56886CB5" w:rsidR="00EB0D85" w:rsidRDefault="00EB0D85" w:rsidP="00EB0D85"/>
    <w:p w14:paraId="13CAD06D" w14:textId="646DBA03" w:rsidR="00EB0D85" w:rsidRDefault="00EB0D85" w:rsidP="00EB0D85"/>
    <w:p w14:paraId="66AA9972" w14:textId="77777777" w:rsidR="00EB0D85" w:rsidRDefault="00EB0D85" w:rsidP="00EB0D85"/>
    <w:p w14:paraId="00B2A216" w14:textId="77777777" w:rsidR="00377CCF" w:rsidRDefault="00377CCF" w:rsidP="00EB0D85"/>
    <w:p w14:paraId="19229F1C" w14:textId="77777777" w:rsidR="00377CCF" w:rsidRDefault="00377CCF" w:rsidP="00EB0D85"/>
    <w:p w14:paraId="603D29F0" w14:textId="77777777" w:rsidR="00377CCF" w:rsidRDefault="00377CCF" w:rsidP="00EB0D85"/>
    <w:p w14:paraId="0CF10FFD" w14:textId="77777777" w:rsidR="00377CCF" w:rsidRDefault="00377CCF" w:rsidP="00EB0D85"/>
    <w:p w14:paraId="53946715" w14:textId="77777777" w:rsidR="00377CCF" w:rsidRDefault="00377CCF" w:rsidP="00EB0D85"/>
    <w:p w14:paraId="59B6FF7D" w14:textId="77777777" w:rsidR="00377CCF" w:rsidRDefault="00377CCF" w:rsidP="00EB0D85"/>
    <w:p w14:paraId="70F248AE" w14:textId="77777777" w:rsidR="00377CCF" w:rsidRDefault="00377CCF" w:rsidP="00EB0D85"/>
    <w:p w14:paraId="074188C3" w14:textId="77777777" w:rsidR="00377CCF" w:rsidRDefault="00377CCF" w:rsidP="00EB0D85"/>
    <w:p w14:paraId="4011C3C2" w14:textId="77777777" w:rsidR="00377CCF" w:rsidRDefault="00377CCF" w:rsidP="00EB0D85"/>
    <w:p w14:paraId="1BCBBA83" w14:textId="77777777" w:rsidR="00377CCF" w:rsidRDefault="00377CCF" w:rsidP="00EB0D85"/>
    <w:p w14:paraId="45E0EFC2" w14:textId="77777777" w:rsidR="00377CCF" w:rsidRDefault="00377CCF" w:rsidP="00EB0D85"/>
    <w:p w14:paraId="7244CE44" w14:textId="77777777" w:rsidR="00377CCF" w:rsidRDefault="00377CCF" w:rsidP="00EB0D85"/>
    <w:p w14:paraId="18D50FAC" w14:textId="77777777" w:rsidR="00377CCF" w:rsidRDefault="00377CCF" w:rsidP="00EB0D85"/>
    <w:p w14:paraId="298ED5C6" w14:textId="77777777" w:rsidR="00377CCF" w:rsidRDefault="00377CCF" w:rsidP="00EB0D85"/>
    <w:p w14:paraId="48340B93" w14:textId="77777777" w:rsidR="00377CCF" w:rsidRDefault="00377CCF" w:rsidP="00EB0D85"/>
    <w:p w14:paraId="77964B82" w14:textId="77777777" w:rsidR="00377CCF" w:rsidRDefault="00377CCF" w:rsidP="00EB0D85"/>
    <w:p w14:paraId="184C771F" w14:textId="77777777" w:rsidR="00377CCF" w:rsidRDefault="00377CCF" w:rsidP="00EB0D85"/>
    <w:p w14:paraId="554DA11D" w14:textId="77777777" w:rsidR="00377CCF" w:rsidRDefault="00377CCF" w:rsidP="00EB0D85"/>
    <w:p w14:paraId="6979864F" w14:textId="77777777" w:rsidR="00377CCF" w:rsidRDefault="00377CCF" w:rsidP="00EB0D85"/>
    <w:p w14:paraId="21C22C97" w14:textId="77777777" w:rsidR="00377CCF" w:rsidRDefault="00377CCF" w:rsidP="00EB0D85"/>
    <w:p w14:paraId="6596DBB4" w14:textId="77777777" w:rsidR="00377CCF" w:rsidRDefault="00377CCF" w:rsidP="00EB0D85"/>
    <w:tbl>
      <w:tblPr>
        <w:tblW w:w="8795" w:type="dxa"/>
        <w:tblLook w:val="04A0" w:firstRow="1" w:lastRow="0" w:firstColumn="1" w:lastColumn="0" w:noHBand="0" w:noVBand="1"/>
      </w:tblPr>
      <w:tblGrid>
        <w:gridCol w:w="4875"/>
        <w:gridCol w:w="685"/>
        <w:gridCol w:w="791"/>
        <w:gridCol w:w="752"/>
        <w:gridCol w:w="456"/>
        <w:gridCol w:w="1236"/>
      </w:tblGrid>
      <w:tr w:rsidR="00377CCF" w:rsidRPr="00245485" w14:paraId="710EB870" w14:textId="77777777" w:rsidTr="00856101">
        <w:trPr>
          <w:trHeight w:val="300"/>
        </w:trPr>
        <w:tc>
          <w:tcPr>
            <w:tcW w:w="7103" w:type="dxa"/>
            <w:gridSpan w:val="4"/>
            <w:tcBorders>
              <w:top w:val="nil"/>
              <w:left w:val="nil"/>
              <w:bottom w:val="nil"/>
              <w:right w:val="nil"/>
            </w:tcBorders>
            <w:hideMark/>
          </w:tcPr>
          <w:p w14:paraId="06D05B2C"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Statement of changes in equity</w:t>
            </w:r>
          </w:p>
        </w:tc>
        <w:tc>
          <w:tcPr>
            <w:tcW w:w="456" w:type="dxa"/>
            <w:tcBorders>
              <w:top w:val="nil"/>
              <w:left w:val="nil"/>
              <w:bottom w:val="nil"/>
              <w:right w:val="nil"/>
            </w:tcBorders>
            <w:noWrap/>
            <w:vAlign w:val="bottom"/>
            <w:hideMark/>
          </w:tcPr>
          <w:p w14:paraId="02466E65"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1236" w:type="dxa"/>
            <w:tcBorders>
              <w:top w:val="nil"/>
              <w:left w:val="nil"/>
              <w:bottom w:val="nil"/>
              <w:right w:val="nil"/>
            </w:tcBorders>
            <w:noWrap/>
            <w:vAlign w:val="bottom"/>
            <w:hideMark/>
          </w:tcPr>
          <w:p w14:paraId="6305D023"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r>
      <w:tr w:rsidR="00377CCF" w:rsidRPr="00245485" w14:paraId="5BD9FEFE" w14:textId="77777777" w:rsidTr="00856101">
        <w:trPr>
          <w:trHeight w:val="300"/>
        </w:trPr>
        <w:tc>
          <w:tcPr>
            <w:tcW w:w="7103" w:type="dxa"/>
            <w:gridSpan w:val="4"/>
            <w:tcBorders>
              <w:top w:val="nil"/>
              <w:left w:val="nil"/>
              <w:bottom w:val="nil"/>
              <w:right w:val="nil"/>
            </w:tcBorders>
            <w:noWrap/>
            <w:vAlign w:val="bottom"/>
            <w:hideMark/>
          </w:tcPr>
          <w:p w14:paraId="5CC69CD8" w14:textId="77777777" w:rsidR="00377CCF" w:rsidRPr="00245485" w:rsidRDefault="00377CCF" w:rsidP="00856101">
            <w:pPr>
              <w:spacing w:after="0" w:line="240" w:lineRule="auto"/>
              <w:rPr>
                <w:rFonts w:ascii="Cambria" w:eastAsia="Times New Roman" w:hAnsi="Cambria" w:cs="Calibri"/>
                <w:i/>
                <w:iCs/>
                <w:color w:val="auto"/>
                <w:sz w:val="18"/>
                <w:szCs w:val="18"/>
                <w:lang w:eastAsia="en-AU"/>
              </w:rPr>
            </w:pPr>
            <w:r w:rsidRPr="00245485">
              <w:rPr>
                <w:rFonts w:ascii="Cambria" w:eastAsia="Times New Roman" w:hAnsi="Cambria" w:cs="Calibri"/>
                <w:i/>
                <w:iCs/>
                <w:color w:val="auto"/>
                <w:sz w:val="18"/>
                <w:szCs w:val="18"/>
                <w:lang w:eastAsia="en-AU"/>
              </w:rPr>
              <w:t>for the period ended 30 June 2026</w:t>
            </w:r>
          </w:p>
        </w:tc>
        <w:tc>
          <w:tcPr>
            <w:tcW w:w="456" w:type="dxa"/>
            <w:tcBorders>
              <w:top w:val="nil"/>
              <w:left w:val="nil"/>
              <w:bottom w:val="nil"/>
              <w:right w:val="nil"/>
            </w:tcBorders>
            <w:noWrap/>
            <w:vAlign w:val="bottom"/>
            <w:hideMark/>
          </w:tcPr>
          <w:p w14:paraId="4A7BE38F" w14:textId="77777777" w:rsidR="00377CCF" w:rsidRPr="00245485" w:rsidRDefault="00377CCF" w:rsidP="00856101">
            <w:pPr>
              <w:spacing w:after="0" w:line="240" w:lineRule="auto"/>
              <w:rPr>
                <w:rFonts w:ascii="Cambria" w:eastAsia="Times New Roman" w:hAnsi="Cambria" w:cs="Calibri"/>
                <w:i/>
                <w:iCs/>
                <w:color w:val="auto"/>
                <w:sz w:val="18"/>
                <w:szCs w:val="18"/>
                <w:lang w:eastAsia="en-AU"/>
              </w:rPr>
            </w:pPr>
          </w:p>
        </w:tc>
        <w:tc>
          <w:tcPr>
            <w:tcW w:w="1236" w:type="dxa"/>
            <w:tcBorders>
              <w:top w:val="nil"/>
              <w:left w:val="nil"/>
              <w:bottom w:val="nil"/>
              <w:right w:val="nil"/>
            </w:tcBorders>
            <w:noWrap/>
            <w:vAlign w:val="bottom"/>
            <w:hideMark/>
          </w:tcPr>
          <w:p w14:paraId="0DD5BDAB"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r>
      <w:tr w:rsidR="00377CCF" w:rsidRPr="00245485" w14:paraId="573ABA7F" w14:textId="77777777" w:rsidTr="00856101">
        <w:trPr>
          <w:trHeight w:val="600"/>
        </w:trPr>
        <w:tc>
          <w:tcPr>
            <w:tcW w:w="4875" w:type="dxa"/>
            <w:tcBorders>
              <w:top w:val="single" w:sz="8" w:space="0" w:color="009560"/>
              <w:left w:val="nil"/>
              <w:bottom w:val="nil"/>
              <w:right w:val="nil"/>
            </w:tcBorders>
            <w:noWrap/>
            <w:vAlign w:val="bottom"/>
            <w:hideMark/>
          </w:tcPr>
          <w:p w14:paraId="5518471D"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685" w:type="dxa"/>
            <w:tcBorders>
              <w:top w:val="single" w:sz="8" w:space="0" w:color="009560"/>
              <w:left w:val="nil"/>
              <w:bottom w:val="nil"/>
              <w:right w:val="nil"/>
            </w:tcBorders>
            <w:noWrap/>
            <w:vAlign w:val="bottom"/>
            <w:hideMark/>
          </w:tcPr>
          <w:p w14:paraId="1F6D1282"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791" w:type="dxa"/>
            <w:tcBorders>
              <w:top w:val="single" w:sz="8" w:space="0" w:color="009560"/>
              <w:left w:val="nil"/>
              <w:bottom w:val="nil"/>
              <w:right w:val="nil"/>
            </w:tcBorders>
            <w:noWrap/>
            <w:vAlign w:val="bottom"/>
            <w:hideMark/>
          </w:tcPr>
          <w:p w14:paraId="366BB914"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2026</w:t>
            </w:r>
          </w:p>
        </w:tc>
        <w:tc>
          <w:tcPr>
            <w:tcW w:w="752" w:type="dxa"/>
            <w:tcBorders>
              <w:top w:val="single" w:sz="8" w:space="0" w:color="009560"/>
              <w:left w:val="nil"/>
              <w:bottom w:val="nil"/>
              <w:right w:val="nil"/>
            </w:tcBorders>
            <w:noWrap/>
            <w:vAlign w:val="bottom"/>
            <w:hideMark/>
          </w:tcPr>
          <w:p w14:paraId="5DA8026A"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2025</w:t>
            </w:r>
          </w:p>
        </w:tc>
        <w:tc>
          <w:tcPr>
            <w:tcW w:w="456" w:type="dxa"/>
            <w:tcBorders>
              <w:top w:val="single" w:sz="8" w:space="0" w:color="009560"/>
              <w:left w:val="nil"/>
              <w:bottom w:val="nil"/>
              <w:right w:val="nil"/>
            </w:tcBorders>
            <w:noWrap/>
            <w:vAlign w:val="bottom"/>
            <w:hideMark/>
          </w:tcPr>
          <w:p w14:paraId="117187A9"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1236" w:type="dxa"/>
            <w:tcBorders>
              <w:top w:val="single" w:sz="8" w:space="0" w:color="009560"/>
              <w:left w:val="nil"/>
              <w:bottom w:val="nil"/>
              <w:right w:val="nil"/>
            </w:tcBorders>
            <w:vAlign w:val="bottom"/>
            <w:hideMark/>
          </w:tcPr>
          <w:p w14:paraId="4B6E0821"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Original Budget</w:t>
            </w:r>
          </w:p>
        </w:tc>
      </w:tr>
      <w:tr w:rsidR="00377CCF" w:rsidRPr="00245485" w14:paraId="0A36A648" w14:textId="77777777" w:rsidTr="00856101">
        <w:trPr>
          <w:trHeight w:val="300"/>
        </w:trPr>
        <w:tc>
          <w:tcPr>
            <w:tcW w:w="4875" w:type="dxa"/>
            <w:tcBorders>
              <w:top w:val="nil"/>
              <w:left w:val="nil"/>
              <w:bottom w:val="single" w:sz="8" w:space="0" w:color="009560"/>
              <w:right w:val="nil"/>
            </w:tcBorders>
            <w:noWrap/>
            <w:vAlign w:val="bottom"/>
            <w:hideMark/>
          </w:tcPr>
          <w:p w14:paraId="0311722E"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685" w:type="dxa"/>
            <w:tcBorders>
              <w:top w:val="nil"/>
              <w:left w:val="nil"/>
              <w:bottom w:val="single" w:sz="8" w:space="0" w:color="009560"/>
              <w:right w:val="nil"/>
            </w:tcBorders>
            <w:noWrap/>
            <w:vAlign w:val="bottom"/>
            <w:hideMark/>
          </w:tcPr>
          <w:p w14:paraId="4F561298"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Notes</w:t>
            </w:r>
          </w:p>
        </w:tc>
        <w:tc>
          <w:tcPr>
            <w:tcW w:w="791" w:type="dxa"/>
            <w:tcBorders>
              <w:top w:val="nil"/>
              <w:left w:val="nil"/>
              <w:bottom w:val="single" w:sz="8" w:space="0" w:color="009560"/>
              <w:right w:val="nil"/>
            </w:tcBorders>
            <w:noWrap/>
            <w:vAlign w:val="bottom"/>
            <w:hideMark/>
          </w:tcPr>
          <w:p w14:paraId="341440CA"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$’000</w:t>
            </w:r>
          </w:p>
        </w:tc>
        <w:tc>
          <w:tcPr>
            <w:tcW w:w="752" w:type="dxa"/>
            <w:tcBorders>
              <w:top w:val="nil"/>
              <w:left w:val="nil"/>
              <w:bottom w:val="single" w:sz="8" w:space="0" w:color="009560"/>
              <w:right w:val="nil"/>
            </w:tcBorders>
            <w:noWrap/>
            <w:vAlign w:val="bottom"/>
            <w:hideMark/>
          </w:tcPr>
          <w:p w14:paraId="080661A0"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$’000</w:t>
            </w:r>
          </w:p>
        </w:tc>
        <w:tc>
          <w:tcPr>
            <w:tcW w:w="456" w:type="dxa"/>
            <w:tcBorders>
              <w:top w:val="nil"/>
              <w:left w:val="nil"/>
              <w:bottom w:val="single" w:sz="8" w:space="0" w:color="009560"/>
              <w:right w:val="nil"/>
            </w:tcBorders>
            <w:noWrap/>
            <w:vAlign w:val="bottom"/>
            <w:hideMark/>
          </w:tcPr>
          <w:p w14:paraId="77DBDB3D"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1236" w:type="dxa"/>
            <w:tcBorders>
              <w:top w:val="nil"/>
              <w:left w:val="nil"/>
              <w:bottom w:val="single" w:sz="8" w:space="0" w:color="009560"/>
              <w:right w:val="nil"/>
            </w:tcBorders>
            <w:noWrap/>
            <w:vAlign w:val="bottom"/>
            <w:hideMark/>
          </w:tcPr>
          <w:p w14:paraId="4876A221"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$’000</w:t>
            </w:r>
          </w:p>
        </w:tc>
      </w:tr>
      <w:tr w:rsidR="00377CCF" w:rsidRPr="00245485" w14:paraId="1123EC7D" w14:textId="77777777" w:rsidTr="00856101">
        <w:trPr>
          <w:trHeight w:val="300"/>
        </w:trPr>
        <w:tc>
          <w:tcPr>
            <w:tcW w:w="4875" w:type="dxa"/>
            <w:tcBorders>
              <w:top w:val="nil"/>
              <w:left w:val="nil"/>
              <w:bottom w:val="nil"/>
              <w:right w:val="nil"/>
            </w:tcBorders>
            <w:noWrap/>
            <w:vAlign w:val="bottom"/>
            <w:hideMark/>
          </w:tcPr>
          <w:p w14:paraId="6D95C6E9"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CONTRIBUTED EQUITY</w:t>
            </w:r>
          </w:p>
        </w:tc>
        <w:tc>
          <w:tcPr>
            <w:tcW w:w="685" w:type="dxa"/>
            <w:tcBorders>
              <w:top w:val="nil"/>
              <w:left w:val="nil"/>
              <w:bottom w:val="nil"/>
              <w:right w:val="nil"/>
            </w:tcBorders>
            <w:noWrap/>
            <w:vAlign w:val="bottom"/>
            <w:hideMark/>
          </w:tcPr>
          <w:p w14:paraId="25FCBFAC"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6C51FA08"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1FF1E8DD"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1E7F25C0"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0ED80AD3"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4B7A7CF5" w14:textId="77777777" w:rsidTr="00856101">
        <w:trPr>
          <w:trHeight w:val="240"/>
        </w:trPr>
        <w:tc>
          <w:tcPr>
            <w:tcW w:w="4875" w:type="dxa"/>
            <w:tcBorders>
              <w:top w:val="nil"/>
              <w:left w:val="nil"/>
              <w:bottom w:val="nil"/>
              <w:right w:val="nil"/>
            </w:tcBorders>
            <w:noWrap/>
            <w:vAlign w:val="bottom"/>
            <w:hideMark/>
          </w:tcPr>
          <w:p w14:paraId="2A3434DA"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Opening balance</w:t>
            </w:r>
          </w:p>
        </w:tc>
        <w:tc>
          <w:tcPr>
            <w:tcW w:w="685" w:type="dxa"/>
            <w:tcBorders>
              <w:top w:val="nil"/>
              <w:left w:val="nil"/>
              <w:bottom w:val="nil"/>
              <w:right w:val="nil"/>
            </w:tcBorders>
            <w:noWrap/>
            <w:vAlign w:val="bottom"/>
            <w:hideMark/>
          </w:tcPr>
          <w:p w14:paraId="2FDC66F0"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3565D390"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1E721501"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199C8B1A"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25911FB7"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r>
      <w:tr w:rsidR="00377CCF" w:rsidRPr="00245485" w14:paraId="21D01E9B" w14:textId="77777777" w:rsidTr="00856101">
        <w:trPr>
          <w:trHeight w:val="240"/>
        </w:trPr>
        <w:tc>
          <w:tcPr>
            <w:tcW w:w="4875" w:type="dxa"/>
            <w:tcBorders>
              <w:top w:val="nil"/>
              <w:left w:val="nil"/>
              <w:bottom w:val="nil"/>
              <w:right w:val="nil"/>
            </w:tcBorders>
            <w:noWrap/>
            <w:vAlign w:val="bottom"/>
            <w:hideMark/>
          </w:tcPr>
          <w:p w14:paraId="351895CD"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Balance carried forward from previous period</w:t>
            </w:r>
          </w:p>
        </w:tc>
        <w:tc>
          <w:tcPr>
            <w:tcW w:w="685" w:type="dxa"/>
            <w:tcBorders>
              <w:top w:val="nil"/>
              <w:left w:val="nil"/>
              <w:bottom w:val="nil"/>
              <w:right w:val="nil"/>
            </w:tcBorders>
            <w:noWrap/>
            <w:vAlign w:val="bottom"/>
            <w:hideMark/>
          </w:tcPr>
          <w:p w14:paraId="0B37A84D"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791" w:type="dxa"/>
            <w:tcBorders>
              <w:top w:val="nil"/>
              <w:left w:val="nil"/>
              <w:bottom w:val="nil"/>
              <w:right w:val="nil"/>
            </w:tcBorders>
            <w:noWrap/>
            <w:vAlign w:val="bottom"/>
            <w:hideMark/>
          </w:tcPr>
          <w:p w14:paraId="714048BE"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400 </w:t>
            </w:r>
          </w:p>
        </w:tc>
        <w:tc>
          <w:tcPr>
            <w:tcW w:w="752" w:type="dxa"/>
            <w:tcBorders>
              <w:top w:val="nil"/>
              <w:left w:val="nil"/>
              <w:bottom w:val="nil"/>
              <w:right w:val="nil"/>
            </w:tcBorders>
            <w:noWrap/>
            <w:vAlign w:val="bottom"/>
            <w:hideMark/>
          </w:tcPr>
          <w:p w14:paraId="4A3398C2"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400 </w:t>
            </w:r>
          </w:p>
        </w:tc>
        <w:tc>
          <w:tcPr>
            <w:tcW w:w="456" w:type="dxa"/>
            <w:tcBorders>
              <w:top w:val="nil"/>
              <w:left w:val="nil"/>
              <w:bottom w:val="nil"/>
              <w:right w:val="nil"/>
            </w:tcBorders>
            <w:noWrap/>
            <w:vAlign w:val="bottom"/>
            <w:hideMark/>
          </w:tcPr>
          <w:p w14:paraId="38782E82"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759CF782"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400 </w:t>
            </w:r>
          </w:p>
        </w:tc>
      </w:tr>
      <w:tr w:rsidR="00377CCF" w:rsidRPr="00245485" w14:paraId="736C8909" w14:textId="77777777" w:rsidTr="00856101">
        <w:trPr>
          <w:trHeight w:val="240"/>
        </w:trPr>
        <w:tc>
          <w:tcPr>
            <w:tcW w:w="4875" w:type="dxa"/>
            <w:tcBorders>
              <w:top w:val="nil"/>
              <w:left w:val="nil"/>
              <w:bottom w:val="nil"/>
              <w:right w:val="nil"/>
            </w:tcBorders>
            <w:noWrap/>
            <w:vAlign w:val="bottom"/>
            <w:hideMark/>
          </w:tcPr>
          <w:p w14:paraId="4832D4D5"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685" w:type="dxa"/>
            <w:tcBorders>
              <w:top w:val="nil"/>
              <w:left w:val="nil"/>
              <w:bottom w:val="nil"/>
              <w:right w:val="nil"/>
            </w:tcBorders>
            <w:noWrap/>
            <w:vAlign w:val="bottom"/>
            <w:hideMark/>
          </w:tcPr>
          <w:p w14:paraId="611BD5E1"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91" w:type="dxa"/>
            <w:tcBorders>
              <w:top w:val="nil"/>
              <w:left w:val="nil"/>
              <w:bottom w:val="nil"/>
              <w:right w:val="nil"/>
            </w:tcBorders>
            <w:noWrap/>
            <w:vAlign w:val="bottom"/>
            <w:hideMark/>
          </w:tcPr>
          <w:p w14:paraId="03E9052A"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1D77C95E"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1774DBF7"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79274AC6"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28056890" w14:textId="77777777" w:rsidTr="00856101">
        <w:trPr>
          <w:trHeight w:val="240"/>
        </w:trPr>
        <w:tc>
          <w:tcPr>
            <w:tcW w:w="4875" w:type="dxa"/>
            <w:tcBorders>
              <w:top w:val="nil"/>
              <w:left w:val="nil"/>
              <w:bottom w:val="nil"/>
              <w:right w:val="nil"/>
            </w:tcBorders>
            <w:noWrap/>
            <w:vAlign w:val="bottom"/>
            <w:hideMark/>
          </w:tcPr>
          <w:p w14:paraId="25D208E5"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Closing balance as at 30 June</w:t>
            </w:r>
          </w:p>
        </w:tc>
        <w:tc>
          <w:tcPr>
            <w:tcW w:w="685" w:type="dxa"/>
            <w:tcBorders>
              <w:top w:val="nil"/>
              <w:left w:val="nil"/>
              <w:bottom w:val="nil"/>
              <w:right w:val="nil"/>
            </w:tcBorders>
            <w:noWrap/>
            <w:vAlign w:val="bottom"/>
            <w:hideMark/>
          </w:tcPr>
          <w:p w14:paraId="05ABFEF4"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single" w:sz="4" w:space="0" w:color="auto"/>
              <w:left w:val="nil"/>
              <w:bottom w:val="single" w:sz="4" w:space="0" w:color="auto"/>
              <w:right w:val="nil"/>
            </w:tcBorders>
            <w:noWrap/>
            <w:vAlign w:val="bottom"/>
            <w:hideMark/>
          </w:tcPr>
          <w:p w14:paraId="32608E3D"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400 </w:t>
            </w:r>
          </w:p>
        </w:tc>
        <w:tc>
          <w:tcPr>
            <w:tcW w:w="752" w:type="dxa"/>
            <w:tcBorders>
              <w:top w:val="single" w:sz="4" w:space="0" w:color="auto"/>
              <w:left w:val="nil"/>
              <w:bottom w:val="single" w:sz="4" w:space="0" w:color="auto"/>
              <w:right w:val="nil"/>
            </w:tcBorders>
            <w:noWrap/>
            <w:vAlign w:val="bottom"/>
            <w:hideMark/>
          </w:tcPr>
          <w:p w14:paraId="3D3D8B75"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400 </w:t>
            </w:r>
          </w:p>
        </w:tc>
        <w:tc>
          <w:tcPr>
            <w:tcW w:w="456" w:type="dxa"/>
            <w:tcBorders>
              <w:top w:val="nil"/>
              <w:left w:val="nil"/>
              <w:bottom w:val="nil"/>
              <w:right w:val="nil"/>
            </w:tcBorders>
            <w:noWrap/>
            <w:vAlign w:val="bottom"/>
            <w:hideMark/>
          </w:tcPr>
          <w:p w14:paraId="7D1BE469"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single" w:sz="4" w:space="0" w:color="auto"/>
              <w:left w:val="nil"/>
              <w:bottom w:val="single" w:sz="4" w:space="0" w:color="auto"/>
              <w:right w:val="nil"/>
            </w:tcBorders>
            <w:noWrap/>
            <w:vAlign w:val="bottom"/>
            <w:hideMark/>
          </w:tcPr>
          <w:p w14:paraId="32169957"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400 </w:t>
            </w:r>
          </w:p>
        </w:tc>
      </w:tr>
      <w:tr w:rsidR="00377CCF" w:rsidRPr="00245485" w14:paraId="2B36C04D" w14:textId="77777777" w:rsidTr="00856101">
        <w:trPr>
          <w:trHeight w:val="252"/>
        </w:trPr>
        <w:tc>
          <w:tcPr>
            <w:tcW w:w="4875" w:type="dxa"/>
            <w:tcBorders>
              <w:top w:val="nil"/>
              <w:left w:val="nil"/>
              <w:bottom w:val="nil"/>
              <w:right w:val="nil"/>
            </w:tcBorders>
            <w:noWrap/>
            <w:vAlign w:val="bottom"/>
            <w:hideMark/>
          </w:tcPr>
          <w:p w14:paraId="72891A80"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685" w:type="dxa"/>
            <w:tcBorders>
              <w:top w:val="nil"/>
              <w:left w:val="nil"/>
              <w:bottom w:val="nil"/>
              <w:right w:val="nil"/>
            </w:tcBorders>
            <w:noWrap/>
            <w:vAlign w:val="bottom"/>
            <w:hideMark/>
          </w:tcPr>
          <w:p w14:paraId="10CA9790"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91" w:type="dxa"/>
            <w:tcBorders>
              <w:top w:val="nil"/>
              <w:left w:val="nil"/>
              <w:bottom w:val="nil"/>
              <w:right w:val="nil"/>
            </w:tcBorders>
            <w:noWrap/>
            <w:vAlign w:val="bottom"/>
            <w:hideMark/>
          </w:tcPr>
          <w:p w14:paraId="47253AEA"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7A520769"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37F33045"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078F9AEA"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4AC5C660" w14:textId="77777777" w:rsidTr="00856101">
        <w:trPr>
          <w:trHeight w:val="240"/>
        </w:trPr>
        <w:tc>
          <w:tcPr>
            <w:tcW w:w="4875" w:type="dxa"/>
            <w:tcBorders>
              <w:top w:val="nil"/>
              <w:left w:val="nil"/>
              <w:bottom w:val="nil"/>
              <w:right w:val="nil"/>
            </w:tcBorders>
            <w:noWrap/>
            <w:vAlign w:val="bottom"/>
            <w:hideMark/>
          </w:tcPr>
          <w:p w14:paraId="6E7C13C6"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ASSET REVALUATION RESERVE</w:t>
            </w:r>
          </w:p>
        </w:tc>
        <w:tc>
          <w:tcPr>
            <w:tcW w:w="685" w:type="dxa"/>
            <w:tcBorders>
              <w:top w:val="nil"/>
              <w:left w:val="nil"/>
              <w:bottom w:val="nil"/>
              <w:right w:val="nil"/>
            </w:tcBorders>
            <w:noWrap/>
            <w:vAlign w:val="bottom"/>
            <w:hideMark/>
          </w:tcPr>
          <w:p w14:paraId="290F8FE9"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5510B695"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7D396344"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1DA2328C"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7279EEA9"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3A8A3277" w14:textId="77777777" w:rsidTr="00856101">
        <w:trPr>
          <w:trHeight w:val="240"/>
        </w:trPr>
        <w:tc>
          <w:tcPr>
            <w:tcW w:w="4875" w:type="dxa"/>
            <w:tcBorders>
              <w:top w:val="nil"/>
              <w:left w:val="nil"/>
              <w:bottom w:val="nil"/>
              <w:right w:val="nil"/>
            </w:tcBorders>
            <w:noWrap/>
            <w:vAlign w:val="bottom"/>
            <w:hideMark/>
          </w:tcPr>
          <w:p w14:paraId="205829D1"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Opening balance</w:t>
            </w:r>
          </w:p>
        </w:tc>
        <w:tc>
          <w:tcPr>
            <w:tcW w:w="685" w:type="dxa"/>
            <w:tcBorders>
              <w:top w:val="nil"/>
              <w:left w:val="nil"/>
              <w:bottom w:val="nil"/>
              <w:right w:val="nil"/>
            </w:tcBorders>
            <w:noWrap/>
            <w:vAlign w:val="bottom"/>
            <w:hideMark/>
          </w:tcPr>
          <w:p w14:paraId="714901B4"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18D33ADF"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7A8646D0"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0C57968C"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17372B70"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r>
      <w:tr w:rsidR="00377CCF" w:rsidRPr="00245485" w14:paraId="44B450CF" w14:textId="77777777" w:rsidTr="00856101">
        <w:trPr>
          <w:trHeight w:val="240"/>
        </w:trPr>
        <w:tc>
          <w:tcPr>
            <w:tcW w:w="4875" w:type="dxa"/>
            <w:tcBorders>
              <w:top w:val="nil"/>
              <w:left w:val="nil"/>
              <w:bottom w:val="nil"/>
              <w:right w:val="nil"/>
            </w:tcBorders>
            <w:noWrap/>
            <w:vAlign w:val="bottom"/>
            <w:hideMark/>
          </w:tcPr>
          <w:p w14:paraId="62BEE3B5"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Balance carried forward from previous period</w:t>
            </w:r>
          </w:p>
        </w:tc>
        <w:tc>
          <w:tcPr>
            <w:tcW w:w="685" w:type="dxa"/>
            <w:tcBorders>
              <w:top w:val="nil"/>
              <w:left w:val="nil"/>
              <w:bottom w:val="nil"/>
              <w:right w:val="nil"/>
            </w:tcBorders>
            <w:noWrap/>
            <w:vAlign w:val="bottom"/>
            <w:hideMark/>
          </w:tcPr>
          <w:p w14:paraId="503286D9"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791" w:type="dxa"/>
            <w:tcBorders>
              <w:top w:val="nil"/>
              <w:left w:val="nil"/>
              <w:bottom w:val="nil"/>
              <w:right w:val="nil"/>
            </w:tcBorders>
            <w:noWrap/>
            <w:vAlign w:val="bottom"/>
            <w:hideMark/>
          </w:tcPr>
          <w:p w14:paraId="3D6C027B"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221 </w:t>
            </w:r>
          </w:p>
        </w:tc>
        <w:tc>
          <w:tcPr>
            <w:tcW w:w="752" w:type="dxa"/>
            <w:tcBorders>
              <w:top w:val="nil"/>
              <w:left w:val="nil"/>
              <w:bottom w:val="nil"/>
              <w:right w:val="nil"/>
            </w:tcBorders>
            <w:noWrap/>
            <w:vAlign w:val="bottom"/>
            <w:hideMark/>
          </w:tcPr>
          <w:p w14:paraId="73A805BE"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 - </w:t>
            </w:r>
          </w:p>
        </w:tc>
        <w:tc>
          <w:tcPr>
            <w:tcW w:w="456" w:type="dxa"/>
            <w:tcBorders>
              <w:top w:val="nil"/>
              <w:left w:val="nil"/>
              <w:bottom w:val="nil"/>
              <w:right w:val="nil"/>
            </w:tcBorders>
            <w:noWrap/>
            <w:vAlign w:val="bottom"/>
            <w:hideMark/>
          </w:tcPr>
          <w:p w14:paraId="0FF13ACB"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34693F76"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 - </w:t>
            </w:r>
          </w:p>
        </w:tc>
      </w:tr>
      <w:tr w:rsidR="00377CCF" w:rsidRPr="00245485" w14:paraId="3E7E5EDC" w14:textId="77777777" w:rsidTr="00856101">
        <w:trPr>
          <w:trHeight w:val="240"/>
        </w:trPr>
        <w:tc>
          <w:tcPr>
            <w:tcW w:w="4875" w:type="dxa"/>
            <w:tcBorders>
              <w:top w:val="nil"/>
              <w:left w:val="nil"/>
              <w:bottom w:val="nil"/>
              <w:right w:val="nil"/>
            </w:tcBorders>
            <w:noWrap/>
            <w:vAlign w:val="bottom"/>
            <w:hideMark/>
          </w:tcPr>
          <w:p w14:paraId="548CDEDA"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Other Comprehensive income</w:t>
            </w:r>
          </w:p>
        </w:tc>
        <w:tc>
          <w:tcPr>
            <w:tcW w:w="685" w:type="dxa"/>
            <w:tcBorders>
              <w:top w:val="nil"/>
              <w:left w:val="nil"/>
              <w:bottom w:val="nil"/>
              <w:right w:val="nil"/>
            </w:tcBorders>
            <w:noWrap/>
            <w:vAlign w:val="bottom"/>
            <w:hideMark/>
          </w:tcPr>
          <w:p w14:paraId="3B4E403D"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791" w:type="dxa"/>
            <w:tcBorders>
              <w:top w:val="nil"/>
              <w:left w:val="nil"/>
              <w:bottom w:val="nil"/>
              <w:right w:val="nil"/>
            </w:tcBorders>
            <w:noWrap/>
            <w:vAlign w:val="bottom"/>
            <w:hideMark/>
          </w:tcPr>
          <w:p w14:paraId="44034558"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 - </w:t>
            </w:r>
          </w:p>
        </w:tc>
        <w:tc>
          <w:tcPr>
            <w:tcW w:w="752" w:type="dxa"/>
            <w:tcBorders>
              <w:top w:val="nil"/>
              <w:left w:val="nil"/>
              <w:bottom w:val="nil"/>
              <w:right w:val="nil"/>
            </w:tcBorders>
            <w:noWrap/>
            <w:vAlign w:val="bottom"/>
            <w:hideMark/>
          </w:tcPr>
          <w:p w14:paraId="4C880AFF"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221 </w:t>
            </w:r>
          </w:p>
        </w:tc>
        <w:tc>
          <w:tcPr>
            <w:tcW w:w="456" w:type="dxa"/>
            <w:tcBorders>
              <w:top w:val="nil"/>
              <w:left w:val="nil"/>
              <w:bottom w:val="nil"/>
              <w:right w:val="nil"/>
            </w:tcBorders>
            <w:noWrap/>
            <w:vAlign w:val="bottom"/>
            <w:hideMark/>
          </w:tcPr>
          <w:p w14:paraId="1A1AC429"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0FE42579"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 - </w:t>
            </w:r>
          </w:p>
        </w:tc>
      </w:tr>
      <w:tr w:rsidR="00377CCF" w:rsidRPr="00245485" w14:paraId="067E6A72" w14:textId="77777777" w:rsidTr="00856101">
        <w:trPr>
          <w:trHeight w:val="240"/>
        </w:trPr>
        <w:tc>
          <w:tcPr>
            <w:tcW w:w="4875" w:type="dxa"/>
            <w:tcBorders>
              <w:top w:val="nil"/>
              <w:left w:val="nil"/>
              <w:bottom w:val="nil"/>
              <w:right w:val="nil"/>
            </w:tcBorders>
            <w:noWrap/>
            <w:vAlign w:val="bottom"/>
            <w:hideMark/>
          </w:tcPr>
          <w:p w14:paraId="1109F7D7"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Closing balance as at 30 June</w:t>
            </w:r>
          </w:p>
        </w:tc>
        <w:tc>
          <w:tcPr>
            <w:tcW w:w="685" w:type="dxa"/>
            <w:tcBorders>
              <w:top w:val="nil"/>
              <w:left w:val="nil"/>
              <w:bottom w:val="nil"/>
              <w:right w:val="nil"/>
            </w:tcBorders>
            <w:noWrap/>
            <w:vAlign w:val="bottom"/>
            <w:hideMark/>
          </w:tcPr>
          <w:p w14:paraId="4675A562"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single" w:sz="4" w:space="0" w:color="auto"/>
              <w:left w:val="nil"/>
              <w:bottom w:val="single" w:sz="4" w:space="0" w:color="auto"/>
              <w:right w:val="nil"/>
            </w:tcBorders>
            <w:noWrap/>
            <w:vAlign w:val="bottom"/>
            <w:hideMark/>
          </w:tcPr>
          <w:p w14:paraId="2A5675DF"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221 </w:t>
            </w:r>
          </w:p>
        </w:tc>
        <w:tc>
          <w:tcPr>
            <w:tcW w:w="752" w:type="dxa"/>
            <w:tcBorders>
              <w:top w:val="single" w:sz="4" w:space="0" w:color="auto"/>
              <w:left w:val="nil"/>
              <w:bottom w:val="single" w:sz="4" w:space="0" w:color="auto"/>
              <w:right w:val="nil"/>
            </w:tcBorders>
            <w:noWrap/>
            <w:vAlign w:val="bottom"/>
            <w:hideMark/>
          </w:tcPr>
          <w:p w14:paraId="51F4BA9C"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221 </w:t>
            </w:r>
          </w:p>
        </w:tc>
        <w:tc>
          <w:tcPr>
            <w:tcW w:w="456" w:type="dxa"/>
            <w:tcBorders>
              <w:top w:val="nil"/>
              <w:left w:val="nil"/>
              <w:bottom w:val="nil"/>
              <w:right w:val="nil"/>
            </w:tcBorders>
            <w:noWrap/>
            <w:vAlign w:val="bottom"/>
            <w:hideMark/>
          </w:tcPr>
          <w:p w14:paraId="34A7E144"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single" w:sz="4" w:space="0" w:color="auto"/>
              <w:left w:val="nil"/>
              <w:bottom w:val="single" w:sz="4" w:space="0" w:color="auto"/>
              <w:right w:val="nil"/>
            </w:tcBorders>
            <w:noWrap/>
            <w:vAlign w:val="bottom"/>
            <w:hideMark/>
          </w:tcPr>
          <w:p w14:paraId="2779CB71"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 - </w:t>
            </w:r>
          </w:p>
        </w:tc>
      </w:tr>
      <w:tr w:rsidR="00377CCF" w:rsidRPr="00245485" w14:paraId="05BFEBFC" w14:textId="77777777" w:rsidTr="00856101">
        <w:trPr>
          <w:trHeight w:val="240"/>
        </w:trPr>
        <w:tc>
          <w:tcPr>
            <w:tcW w:w="4875" w:type="dxa"/>
            <w:tcBorders>
              <w:top w:val="nil"/>
              <w:left w:val="nil"/>
              <w:bottom w:val="nil"/>
              <w:right w:val="nil"/>
            </w:tcBorders>
            <w:noWrap/>
            <w:vAlign w:val="bottom"/>
            <w:hideMark/>
          </w:tcPr>
          <w:p w14:paraId="3AC65A5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685" w:type="dxa"/>
            <w:tcBorders>
              <w:top w:val="nil"/>
              <w:left w:val="nil"/>
              <w:bottom w:val="nil"/>
              <w:right w:val="nil"/>
            </w:tcBorders>
            <w:noWrap/>
            <w:vAlign w:val="bottom"/>
            <w:hideMark/>
          </w:tcPr>
          <w:p w14:paraId="668403DB"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91" w:type="dxa"/>
            <w:tcBorders>
              <w:top w:val="nil"/>
              <w:left w:val="nil"/>
              <w:bottom w:val="nil"/>
              <w:right w:val="nil"/>
            </w:tcBorders>
            <w:noWrap/>
            <w:vAlign w:val="bottom"/>
            <w:hideMark/>
          </w:tcPr>
          <w:p w14:paraId="7194E35D"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77E35BD2"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68467D00"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7336509F"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6A40C09E" w14:textId="77777777" w:rsidTr="00856101">
        <w:trPr>
          <w:trHeight w:val="240"/>
        </w:trPr>
        <w:tc>
          <w:tcPr>
            <w:tcW w:w="4875" w:type="dxa"/>
            <w:tcBorders>
              <w:top w:val="nil"/>
              <w:left w:val="nil"/>
              <w:bottom w:val="nil"/>
              <w:right w:val="nil"/>
            </w:tcBorders>
            <w:noWrap/>
            <w:vAlign w:val="bottom"/>
            <w:hideMark/>
          </w:tcPr>
          <w:p w14:paraId="2ECCDEB7"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RETAINED EARNINGS</w:t>
            </w:r>
          </w:p>
        </w:tc>
        <w:tc>
          <w:tcPr>
            <w:tcW w:w="685" w:type="dxa"/>
            <w:tcBorders>
              <w:top w:val="nil"/>
              <w:left w:val="nil"/>
              <w:bottom w:val="nil"/>
              <w:right w:val="nil"/>
            </w:tcBorders>
            <w:noWrap/>
            <w:vAlign w:val="bottom"/>
            <w:hideMark/>
          </w:tcPr>
          <w:p w14:paraId="0488E6DB"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130D00E8"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74E8713C"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144D0A67"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6A94D1C7"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65500999" w14:textId="77777777" w:rsidTr="00856101">
        <w:trPr>
          <w:trHeight w:val="240"/>
        </w:trPr>
        <w:tc>
          <w:tcPr>
            <w:tcW w:w="4875" w:type="dxa"/>
            <w:tcBorders>
              <w:top w:val="nil"/>
              <w:left w:val="nil"/>
              <w:bottom w:val="nil"/>
              <w:right w:val="nil"/>
            </w:tcBorders>
            <w:noWrap/>
            <w:vAlign w:val="bottom"/>
            <w:hideMark/>
          </w:tcPr>
          <w:p w14:paraId="512A5ADE"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Opening balance</w:t>
            </w:r>
          </w:p>
        </w:tc>
        <w:tc>
          <w:tcPr>
            <w:tcW w:w="685" w:type="dxa"/>
            <w:tcBorders>
              <w:top w:val="nil"/>
              <w:left w:val="nil"/>
              <w:bottom w:val="nil"/>
              <w:right w:val="nil"/>
            </w:tcBorders>
            <w:noWrap/>
            <w:vAlign w:val="bottom"/>
            <w:hideMark/>
          </w:tcPr>
          <w:p w14:paraId="60ECDEF2"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7A31E41E"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67095CEA"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6D3E6D53"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0EF4EDB6"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r>
      <w:tr w:rsidR="00377CCF" w:rsidRPr="00245485" w14:paraId="53E58D1A" w14:textId="77777777" w:rsidTr="00856101">
        <w:trPr>
          <w:trHeight w:val="240"/>
        </w:trPr>
        <w:tc>
          <w:tcPr>
            <w:tcW w:w="4875" w:type="dxa"/>
            <w:tcBorders>
              <w:top w:val="nil"/>
              <w:left w:val="nil"/>
              <w:bottom w:val="nil"/>
              <w:right w:val="nil"/>
            </w:tcBorders>
            <w:noWrap/>
            <w:vAlign w:val="bottom"/>
            <w:hideMark/>
          </w:tcPr>
          <w:p w14:paraId="4A8D3269"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Balance carried forward from previous period</w:t>
            </w:r>
          </w:p>
        </w:tc>
        <w:tc>
          <w:tcPr>
            <w:tcW w:w="685" w:type="dxa"/>
            <w:tcBorders>
              <w:top w:val="nil"/>
              <w:left w:val="nil"/>
              <w:bottom w:val="nil"/>
              <w:right w:val="nil"/>
            </w:tcBorders>
            <w:noWrap/>
            <w:vAlign w:val="bottom"/>
            <w:hideMark/>
          </w:tcPr>
          <w:p w14:paraId="25D3BB57"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791" w:type="dxa"/>
            <w:tcBorders>
              <w:top w:val="nil"/>
              <w:left w:val="nil"/>
              <w:bottom w:val="nil"/>
              <w:right w:val="nil"/>
            </w:tcBorders>
            <w:noWrap/>
            <w:vAlign w:val="bottom"/>
            <w:hideMark/>
          </w:tcPr>
          <w:p w14:paraId="46C6C03D"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75,419 </w:t>
            </w:r>
          </w:p>
        </w:tc>
        <w:tc>
          <w:tcPr>
            <w:tcW w:w="752" w:type="dxa"/>
            <w:tcBorders>
              <w:top w:val="nil"/>
              <w:left w:val="nil"/>
              <w:bottom w:val="nil"/>
              <w:right w:val="nil"/>
            </w:tcBorders>
            <w:noWrap/>
            <w:vAlign w:val="bottom"/>
            <w:hideMark/>
          </w:tcPr>
          <w:p w14:paraId="51C9B08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47,240 </w:t>
            </w:r>
          </w:p>
        </w:tc>
        <w:tc>
          <w:tcPr>
            <w:tcW w:w="456" w:type="dxa"/>
            <w:tcBorders>
              <w:top w:val="nil"/>
              <w:left w:val="nil"/>
              <w:bottom w:val="nil"/>
              <w:right w:val="nil"/>
            </w:tcBorders>
            <w:noWrap/>
            <w:vAlign w:val="bottom"/>
            <w:hideMark/>
          </w:tcPr>
          <w:p w14:paraId="41856EF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36FE468E"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46,918 </w:t>
            </w:r>
          </w:p>
        </w:tc>
      </w:tr>
      <w:tr w:rsidR="00377CCF" w:rsidRPr="00245485" w14:paraId="2AEDF3F0" w14:textId="77777777" w:rsidTr="00856101">
        <w:trPr>
          <w:trHeight w:val="240"/>
        </w:trPr>
        <w:tc>
          <w:tcPr>
            <w:tcW w:w="4875" w:type="dxa"/>
            <w:tcBorders>
              <w:top w:val="nil"/>
              <w:left w:val="nil"/>
              <w:bottom w:val="nil"/>
              <w:right w:val="nil"/>
            </w:tcBorders>
            <w:shd w:val="clear" w:color="000000" w:fill="FFFFFF"/>
            <w:noWrap/>
            <w:vAlign w:val="bottom"/>
            <w:hideMark/>
          </w:tcPr>
          <w:p w14:paraId="2862FE48"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w:t>
            </w:r>
          </w:p>
        </w:tc>
        <w:tc>
          <w:tcPr>
            <w:tcW w:w="685" w:type="dxa"/>
            <w:tcBorders>
              <w:top w:val="nil"/>
              <w:left w:val="nil"/>
              <w:bottom w:val="nil"/>
              <w:right w:val="nil"/>
            </w:tcBorders>
            <w:shd w:val="clear" w:color="000000" w:fill="FFFFFF"/>
            <w:noWrap/>
            <w:vAlign w:val="bottom"/>
            <w:hideMark/>
          </w:tcPr>
          <w:p w14:paraId="78C1CFD8"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w:t>
            </w:r>
          </w:p>
        </w:tc>
        <w:tc>
          <w:tcPr>
            <w:tcW w:w="791" w:type="dxa"/>
            <w:tcBorders>
              <w:top w:val="nil"/>
              <w:left w:val="nil"/>
              <w:bottom w:val="nil"/>
              <w:right w:val="nil"/>
            </w:tcBorders>
            <w:shd w:val="clear" w:color="000000" w:fill="FFFFFF"/>
            <w:noWrap/>
            <w:vAlign w:val="bottom"/>
            <w:hideMark/>
          </w:tcPr>
          <w:p w14:paraId="3E4F7A72"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0A192D5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02EC8EB1"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482ABEFE"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r>
      <w:tr w:rsidR="00377CCF" w:rsidRPr="00245485" w14:paraId="0E0FB549" w14:textId="77777777" w:rsidTr="00856101">
        <w:trPr>
          <w:trHeight w:val="240"/>
        </w:trPr>
        <w:tc>
          <w:tcPr>
            <w:tcW w:w="4875" w:type="dxa"/>
            <w:tcBorders>
              <w:top w:val="nil"/>
              <w:left w:val="nil"/>
              <w:bottom w:val="nil"/>
              <w:right w:val="nil"/>
            </w:tcBorders>
            <w:noWrap/>
            <w:vAlign w:val="bottom"/>
            <w:hideMark/>
          </w:tcPr>
          <w:p w14:paraId="05B40A9E"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Comprehensive income</w:t>
            </w:r>
          </w:p>
        </w:tc>
        <w:tc>
          <w:tcPr>
            <w:tcW w:w="685" w:type="dxa"/>
            <w:tcBorders>
              <w:top w:val="nil"/>
              <w:left w:val="nil"/>
              <w:bottom w:val="nil"/>
              <w:right w:val="nil"/>
            </w:tcBorders>
            <w:noWrap/>
            <w:vAlign w:val="bottom"/>
            <w:hideMark/>
          </w:tcPr>
          <w:p w14:paraId="67080D5D"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3AF58AF1"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78E01770"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47F0265D"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62FC8F3B"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195D818E" w14:textId="77777777" w:rsidTr="00856101">
        <w:trPr>
          <w:trHeight w:val="225"/>
        </w:trPr>
        <w:tc>
          <w:tcPr>
            <w:tcW w:w="4875" w:type="dxa"/>
            <w:tcBorders>
              <w:top w:val="nil"/>
              <w:left w:val="nil"/>
              <w:bottom w:val="nil"/>
              <w:right w:val="nil"/>
            </w:tcBorders>
            <w:noWrap/>
            <w:vAlign w:val="bottom"/>
            <w:hideMark/>
          </w:tcPr>
          <w:p w14:paraId="0BAA65C0"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Surplus / (deficit) for the period</w:t>
            </w:r>
          </w:p>
        </w:tc>
        <w:tc>
          <w:tcPr>
            <w:tcW w:w="685" w:type="dxa"/>
            <w:tcBorders>
              <w:top w:val="nil"/>
              <w:left w:val="nil"/>
              <w:bottom w:val="nil"/>
              <w:right w:val="nil"/>
            </w:tcBorders>
            <w:noWrap/>
            <w:vAlign w:val="bottom"/>
            <w:hideMark/>
          </w:tcPr>
          <w:p w14:paraId="230E1B04"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791" w:type="dxa"/>
            <w:tcBorders>
              <w:top w:val="nil"/>
              <w:left w:val="nil"/>
              <w:bottom w:val="nil"/>
              <w:right w:val="nil"/>
            </w:tcBorders>
            <w:noWrap/>
            <w:vAlign w:val="bottom"/>
            <w:hideMark/>
          </w:tcPr>
          <w:p w14:paraId="6F2F3EFE"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18,436 </w:t>
            </w:r>
          </w:p>
        </w:tc>
        <w:tc>
          <w:tcPr>
            <w:tcW w:w="752" w:type="dxa"/>
            <w:tcBorders>
              <w:top w:val="nil"/>
              <w:left w:val="nil"/>
              <w:bottom w:val="nil"/>
              <w:right w:val="nil"/>
            </w:tcBorders>
            <w:noWrap/>
            <w:vAlign w:val="bottom"/>
            <w:hideMark/>
          </w:tcPr>
          <w:p w14:paraId="02908E9D"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28,179 </w:t>
            </w:r>
          </w:p>
        </w:tc>
        <w:tc>
          <w:tcPr>
            <w:tcW w:w="456" w:type="dxa"/>
            <w:tcBorders>
              <w:top w:val="nil"/>
              <w:left w:val="nil"/>
              <w:bottom w:val="nil"/>
              <w:right w:val="nil"/>
            </w:tcBorders>
            <w:noWrap/>
            <w:vAlign w:val="bottom"/>
            <w:hideMark/>
          </w:tcPr>
          <w:p w14:paraId="7EBBC5B8"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049D15E4"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(256)</w:t>
            </w:r>
          </w:p>
        </w:tc>
      </w:tr>
      <w:tr w:rsidR="00377CCF" w:rsidRPr="00245485" w14:paraId="39BAF480" w14:textId="77777777" w:rsidTr="00856101">
        <w:trPr>
          <w:trHeight w:val="240"/>
        </w:trPr>
        <w:tc>
          <w:tcPr>
            <w:tcW w:w="4875" w:type="dxa"/>
            <w:tcBorders>
              <w:top w:val="nil"/>
              <w:left w:val="nil"/>
              <w:bottom w:val="nil"/>
              <w:right w:val="nil"/>
            </w:tcBorders>
            <w:noWrap/>
            <w:vAlign w:val="bottom"/>
          </w:tcPr>
          <w:p w14:paraId="333FE121"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685" w:type="dxa"/>
            <w:tcBorders>
              <w:top w:val="nil"/>
              <w:left w:val="nil"/>
              <w:bottom w:val="nil"/>
              <w:right w:val="nil"/>
            </w:tcBorders>
            <w:noWrap/>
            <w:vAlign w:val="bottom"/>
          </w:tcPr>
          <w:p w14:paraId="34AC7FD6"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single" w:sz="4" w:space="0" w:color="auto"/>
              <w:right w:val="nil"/>
            </w:tcBorders>
            <w:noWrap/>
            <w:vAlign w:val="bottom"/>
          </w:tcPr>
          <w:p w14:paraId="58B10E35"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p>
        </w:tc>
        <w:tc>
          <w:tcPr>
            <w:tcW w:w="752" w:type="dxa"/>
            <w:tcBorders>
              <w:top w:val="nil"/>
              <w:left w:val="nil"/>
              <w:bottom w:val="single" w:sz="4" w:space="0" w:color="auto"/>
              <w:right w:val="nil"/>
            </w:tcBorders>
            <w:noWrap/>
            <w:vAlign w:val="bottom"/>
          </w:tcPr>
          <w:p w14:paraId="1B7ADC7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456" w:type="dxa"/>
            <w:tcBorders>
              <w:top w:val="nil"/>
              <w:left w:val="nil"/>
              <w:bottom w:val="nil"/>
              <w:right w:val="nil"/>
            </w:tcBorders>
            <w:noWrap/>
            <w:vAlign w:val="bottom"/>
          </w:tcPr>
          <w:p w14:paraId="5367EF68"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single" w:sz="4" w:space="0" w:color="auto"/>
              <w:right w:val="nil"/>
            </w:tcBorders>
            <w:noWrap/>
            <w:vAlign w:val="bottom"/>
          </w:tcPr>
          <w:p w14:paraId="55585B7F"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r>
      <w:tr w:rsidR="00377CCF" w:rsidRPr="00245485" w14:paraId="7210AB14" w14:textId="77777777" w:rsidTr="00856101">
        <w:trPr>
          <w:trHeight w:val="240"/>
        </w:trPr>
        <w:tc>
          <w:tcPr>
            <w:tcW w:w="4875" w:type="dxa"/>
            <w:tcBorders>
              <w:top w:val="nil"/>
              <w:left w:val="nil"/>
              <w:bottom w:val="nil"/>
              <w:right w:val="nil"/>
            </w:tcBorders>
            <w:noWrap/>
            <w:vAlign w:val="bottom"/>
            <w:hideMark/>
          </w:tcPr>
          <w:p w14:paraId="5442926A"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Closing balance as at 30 June</w:t>
            </w:r>
          </w:p>
        </w:tc>
        <w:tc>
          <w:tcPr>
            <w:tcW w:w="685" w:type="dxa"/>
            <w:tcBorders>
              <w:top w:val="nil"/>
              <w:left w:val="nil"/>
              <w:bottom w:val="nil"/>
              <w:right w:val="nil"/>
            </w:tcBorders>
            <w:noWrap/>
            <w:vAlign w:val="bottom"/>
            <w:hideMark/>
          </w:tcPr>
          <w:p w14:paraId="18F7C407"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single" w:sz="4" w:space="0" w:color="auto"/>
              <w:right w:val="nil"/>
            </w:tcBorders>
            <w:noWrap/>
            <w:vAlign w:val="bottom"/>
            <w:hideMark/>
          </w:tcPr>
          <w:p w14:paraId="7427FA03"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93,855 </w:t>
            </w:r>
          </w:p>
        </w:tc>
        <w:tc>
          <w:tcPr>
            <w:tcW w:w="752" w:type="dxa"/>
            <w:tcBorders>
              <w:top w:val="nil"/>
              <w:left w:val="nil"/>
              <w:bottom w:val="single" w:sz="4" w:space="0" w:color="auto"/>
              <w:right w:val="nil"/>
            </w:tcBorders>
            <w:noWrap/>
            <w:vAlign w:val="bottom"/>
            <w:hideMark/>
          </w:tcPr>
          <w:p w14:paraId="3CAF2B25"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75,419 </w:t>
            </w:r>
          </w:p>
        </w:tc>
        <w:tc>
          <w:tcPr>
            <w:tcW w:w="456" w:type="dxa"/>
            <w:tcBorders>
              <w:top w:val="nil"/>
              <w:left w:val="nil"/>
              <w:bottom w:val="nil"/>
              <w:right w:val="nil"/>
            </w:tcBorders>
            <w:noWrap/>
            <w:vAlign w:val="bottom"/>
            <w:hideMark/>
          </w:tcPr>
          <w:p w14:paraId="2716ED34"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single" w:sz="4" w:space="0" w:color="auto"/>
              <w:right w:val="nil"/>
            </w:tcBorders>
            <w:noWrap/>
            <w:vAlign w:val="bottom"/>
            <w:hideMark/>
          </w:tcPr>
          <w:p w14:paraId="3596B7A9"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46,662 </w:t>
            </w:r>
          </w:p>
        </w:tc>
      </w:tr>
      <w:tr w:rsidR="00377CCF" w:rsidRPr="00245485" w14:paraId="378C2968" w14:textId="77777777" w:rsidTr="00856101">
        <w:trPr>
          <w:trHeight w:val="240"/>
        </w:trPr>
        <w:tc>
          <w:tcPr>
            <w:tcW w:w="4875" w:type="dxa"/>
            <w:tcBorders>
              <w:top w:val="nil"/>
              <w:left w:val="nil"/>
              <w:bottom w:val="nil"/>
              <w:right w:val="nil"/>
            </w:tcBorders>
            <w:noWrap/>
            <w:vAlign w:val="bottom"/>
            <w:hideMark/>
          </w:tcPr>
          <w:p w14:paraId="0480128F"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685" w:type="dxa"/>
            <w:tcBorders>
              <w:top w:val="nil"/>
              <w:left w:val="nil"/>
              <w:bottom w:val="nil"/>
              <w:right w:val="nil"/>
            </w:tcBorders>
            <w:noWrap/>
            <w:vAlign w:val="bottom"/>
            <w:hideMark/>
          </w:tcPr>
          <w:p w14:paraId="4054A7D4"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91" w:type="dxa"/>
            <w:tcBorders>
              <w:top w:val="nil"/>
              <w:left w:val="nil"/>
              <w:bottom w:val="nil"/>
              <w:right w:val="nil"/>
            </w:tcBorders>
            <w:noWrap/>
            <w:vAlign w:val="bottom"/>
            <w:hideMark/>
          </w:tcPr>
          <w:p w14:paraId="0AB74C7B"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34FDC3B4"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0649B300"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5464BBF9"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0066EF1D" w14:textId="77777777" w:rsidTr="00856101">
        <w:trPr>
          <w:trHeight w:val="240"/>
        </w:trPr>
        <w:tc>
          <w:tcPr>
            <w:tcW w:w="4875" w:type="dxa"/>
            <w:tcBorders>
              <w:top w:val="nil"/>
              <w:left w:val="nil"/>
              <w:bottom w:val="nil"/>
              <w:right w:val="nil"/>
            </w:tcBorders>
            <w:noWrap/>
            <w:vAlign w:val="bottom"/>
            <w:hideMark/>
          </w:tcPr>
          <w:p w14:paraId="171D4E7B"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TOTAL EQUITY</w:t>
            </w:r>
          </w:p>
        </w:tc>
        <w:tc>
          <w:tcPr>
            <w:tcW w:w="685" w:type="dxa"/>
            <w:tcBorders>
              <w:top w:val="nil"/>
              <w:left w:val="nil"/>
              <w:bottom w:val="nil"/>
              <w:right w:val="nil"/>
            </w:tcBorders>
            <w:noWrap/>
            <w:vAlign w:val="bottom"/>
            <w:hideMark/>
          </w:tcPr>
          <w:p w14:paraId="5A587409"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0E6875AF"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58776A14"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782D613F"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7FF8A1DF"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229B42E5" w14:textId="77777777" w:rsidTr="00856101">
        <w:trPr>
          <w:trHeight w:val="240"/>
        </w:trPr>
        <w:tc>
          <w:tcPr>
            <w:tcW w:w="4875" w:type="dxa"/>
            <w:tcBorders>
              <w:top w:val="nil"/>
              <w:left w:val="nil"/>
              <w:bottom w:val="nil"/>
              <w:right w:val="nil"/>
            </w:tcBorders>
            <w:noWrap/>
            <w:vAlign w:val="bottom"/>
            <w:hideMark/>
          </w:tcPr>
          <w:p w14:paraId="07EFCBD5"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Opening balance</w:t>
            </w:r>
          </w:p>
        </w:tc>
        <w:tc>
          <w:tcPr>
            <w:tcW w:w="685" w:type="dxa"/>
            <w:tcBorders>
              <w:top w:val="nil"/>
              <w:left w:val="nil"/>
              <w:bottom w:val="nil"/>
              <w:right w:val="nil"/>
            </w:tcBorders>
            <w:noWrap/>
            <w:vAlign w:val="bottom"/>
            <w:hideMark/>
          </w:tcPr>
          <w:p w14:paraId="156B68E0"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54A30798"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0D6745F3"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4DF3307A"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059790D1"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r>
      <w:tr w:rsidR="00377CCF" w:rsidRPr="00245485" w14:paraId="66691FD9" w14:textId="77777777" w:rsidTr="00856101">
        <w:trPr>
          <w:trHeight w:val="240"/>
        </w:trPr>
        <w:tc>
          <w:tcPr>
            <w:tcW w:w="4875" w:type="dxa"/>
            <w:tcBorders>
              <w:top w:val="nil"/>
              <w:left w:val="nil"/>
              <w:bottom w:val="nil"/>
              <w:right w:val="nil"/>
            </w:tcBorders>
            <w:noWrap/>
            <w:vAlign w:val="bottom"/>
            <w:hideMark/>
          </w:tcPr>
          <w:p w14:paraId="39622209"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Balance carried forward from previous period</w:t>
            </w:r>
          </w:p>
        </w:tc>
        <w:tc>
          <w:tcPr>
            <w:tcW w:w="685" w:type="dxa"/>
            <w:tcBorders>
              <w:top w:val="nil"/>
              <w:left w:val="nil"/>
              <w:bottom w:val="nil"/>
              <w:right w:val="nil"/>
            </w:tcBorders>
            <w:noWrap/>
            <w:vAlign w:val="bottom"/>
            <w:hideMark/>
          </w:tcPr>
          <w:p w14:paraId="04C07AC1"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791" w:type="dxa"/>
            <w:tcBorders>
              <w:top w:val="nil"/>
              <w:left w:val="nil"/>
              <w:bottom w:val="nil"/>
              <w:right w:val="nil"/>
            </w:tcBorders>
            <w:noWrap/>
            <w:vAlign w:val="bottom"/>
            <w:hideMark/>
          </w:tcPr>
          <w:p w14:paraId="6731FC87"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76,040 </w:t>
            </w:r>
          </w:p>
        </w:tc>
        <w:tc>
          <w:tcPr>
            <w:tcW w:w="752" w:type="dxa"/>
            <w:tcBorders>
              <w:top w:val="nil"/>
              <w:left w:val="nil"/>
              <w:bottom w:val="nil"/>
              <w:right w:val="nil"/>
            </w:tcBorders>
            <w:noWrap/>
            <w:vAlign w:val="bottom"/>
            <w:hideMark/>
          </w:tcPr>
          <w:p w14:paraId="03B1ACA6"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47,640 </w:t>
            </w:r>
          </w:p>
        </w:tc>
        <w:tc>
          <w:tcPr>
            <w:tcW w:w="456" w:type="dxa"/>
            <w:tcBorders>
              <w:top w:val="nil"/>
              <w:left w:val="nil"/>
              <w:bottom w:val="nil"/>
              <w:right w:val="nil"/>
            </w:tcBorders>
            <w:noWrap/>
            <w:vAlign w:val="bottom"/>
            <w:hideMark/>
          </w:tcPr>
          <w:p w14:paraId="52391B78"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73DFA927"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47,318 </w:t>
            </w:r>
          </w:p>
        </w:tc>
      </w:tr>
      <w:tr w:rsidR="00377CCF" w:rsidRPr="00245485" w14:paraId="7283F76E" w14:textId="77777777" w:rsidTr="00856101">
        <w:trPr>
          <w:trHeight w:val="225"/>
        </w:trPr>
        <w:tc>
          <w:tcPr>
            <w:tcW w:w="4875" w:type="dxa"/>
            <w:tcBorders>
              <w:top w:val="nil"/>
              <w:left w:val="nil"/>
              <w:bottom w:val="nil"/>
              <w:right w:val="nil"/>
            </w:tcBorders>
            <w:shd w:val="clear" w:color="000000" w:fill="FFFFFF"/>
            <w:noWrap/>
            <w:vAlign w:val="bottom"/>
            <w:hideMark/>
          </w:tcPr>
          <w:p w14:paraId="69F7AA36"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w:t>
            </w:r>
          </w:p>
        </w:tc>
        <w:tc>
          <w:tcPr>
            <w:tcW w:w="685" w:type="dxa"/>
            <w:tcBorders>
              <w:top w:val="nil"/>
              <w:left w:val="nil"/>
              <w:bottom w:val="nil"/>
              <w:right w:val="nil"/>
            </w:tcBorders>
            <w:shd w:val="clear" w:color="000000" w:fill="FFFFFF"/>
            <w:noWrap/>
            <w:vAlign w:val="bottom"/>
            <w:hideMark/>
          </w:tcPr>
          <w:p w14:paraId="5D49C669"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w:t>
            </w:r>
          </w:p>
        </w:tc>
        <w:tc>
          <w:tcPr>
            <w:tcW w:w="791" w:type="dxa"/>
            <w:tcBorders>
              <w:top w:val="nil"/>
              <w:left w:val="nil"/>
              <w:bottom w:val="nil"/>
              <w:right w:val="nil"/>
            </w:tcBorders>
            <w:shd w:val="clear" w:color="000000" w:fill="FFFFFF"/>
            <w:noWrap/>
            <w:vAlign w:val="bottom"/>
            <w:hideMark/>
          </w:tcPr>
          <w:p w14:paraId="724DA074"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w:t>
            </w:r>
          </w:p>
        </w:tc>
        <w:tc>
          <w:tcPr>
            <w:tcW w:w="752" w:type="dxa"/>
            <w:tcBorders>
              <w:top w:val="nil"/>
              <w:left w:val="nil"/>
              <w:bottom w:val="nil"/>
              <w:right w:val="nil"/>
            </w:tcBorders>
            <w:shd w:val="clear" w:color="000000" w:fill="FFFFFF"/>
            <w:noWrap/>
            <w:vAlign w:val="bottom"/>
            <w:hideMark/>
          </w:tcPr>
          <w:p w14:paraId="27117B14"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456" w:type="dxa"/>
            <w:tcBorders>
              <w:top w:val="nil"/>
              <w:left w:val="nil"/>
              <w:bottom w:val="nil"/>
              <w:right w:val="nil"/>
            </w:tcBorders>
            <w:shd w:val="clear" w:color="000000" w:fill="FFFFFF"/>
            <w:noWrap/>
            <w:vAlign w:val="bottom"/>
            <w:hideMark/>
          </w:tcPr>
          <w:p w14:paraId="64AB6855"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1236" w:type="dxa"/>
            <w:tcBorders>
              <w:top w:val="nil"/>
              <w:left w:val="nil"/>
              <w:bottom w:val="nil"/>
              <w:right w:val="nil"/>
            </w:tcBorders>
            <w:shd w:val="clear" w:color="000000" w:fill="FFFFFF"/>
            <w:noWrap/>
            <w:vAlign w:val="bottom"/>
            <w:hideMark/>
          </w:tcPr>
          <w:p w14:paraId="1ECE7C51"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r>
      <w:tr w:rsidR="00377CCF" w:rsidRPr="00245485" w14:paraId="2FED3295" w14:textId="77777777" w:rsidTr="00856101">
        <w:trPr>
          <w:trHeight w:val="288"/>
        </w:trPr>
        <w:tc>
          <w:tcPr>
            <w:tcW w:w="4875" w:type="dxa"/>
            <w:tcBorders>
              <w:top w:val="nil"/>
              <w:left w:val="nil"/>
              <w:bottom w:val="nil"/>
              <w:right w:val="nil"/>
            </w:tcBorders>
            <w:noWrap/>
            <w:vAlign w:val="bottom"/>
            <w:hideMark/>
          </w:tcPr>
          <w:p w14:paraId="4BB82627"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Equity movements during the period</w:t>
            </w:r>
          </w:p>
        </w:tc>
        <w:tc>
          <w:tcPr>
            <w:tcW w:w="685" w:type="dxa"/>
            <w:tcBorders>
              <w:top w:val="nil"/>
              <w:left w:val="nil"/>
              <w:bottom w:val="nil"/>
              <w:right w:val="nil"/>
            </w:tcBorders>
            <w:noWrap/>
            <w:vAlign w:val="bottom"/>
            <w:hideMark/>
          </w:tcPr>
          <w:p w14:paraId="729C9549"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nil"/>
              <w:left w:val="nil"/>
              <w:bottom w:val="nil"/>
              <w:right w:val="nil"/>
            </w:tcBorders>
            <w:noWrap/>
            <w:vAlign w:val="bottom"/>
            <w:hideMark/>
          </w:tcPr>
          <w:p w14:paraId="7C17F9AB"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752" w:type="dxa"/>
            <w:tcBorders>
              <w:top w:val="nil"/>
              <w:left w:val="nil"/>
              <w:bottom w:val="nil"/>
              <w:right w:val="nil"/>
            </w:tcBorders>
            <w:noWrap/>
            <w:vAlign w:val="bottom"/>
            <w:hideMark/>
          </w:tcPr>
          <w:p w14:paraId="3ED2018B"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456" w:type="dxa"/>
            <w:tcBorders>
              <w:top w:val="nil"/>
              <w:left w:val="nil"/>
              <w:bottom w:val="nil"/>
              <w:right w:val="nil"/>
            </w:tcBorders>
            <w:noWrap/>
            <w:vAlign w:val="bottom"/>
            <w:hideMark/>
          </w:tcPr>
          <w:p w14:paraId="1992050B"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11D83EC8"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403BD5BC" w14:textId="77777777" w:rsidTr="00856101">
        <w:trPr>
          <w:trHeight w:val="240"/>
        </w:trPr>
        <w:tc>
          <w:tcPr>
            <w:tcW w:w="4875" w:type="dxa"/>
            <w:tcBorders>
              <w:top w:val="nil"/>
              <w:left w:val="nil"/>
              <w:bottom w:val="nil"/>
              <w:right w:val="nil"/>
            </w:tcBorders>
            <w:noWrap/>
            <w:vAlign w:val="bottom"/>
            <w:hideMark/>
          </w:tcPr>
          <w:p w14:paraId="39BA5340"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Surplus / (deficit) for the period</w:t>
            </w:r>
          </w:p>
        </w:tc>
        <w:tc>
          <w:tcPr>
            <w:tcW w:w="685" w:type="dxa"/>
            <w:tcBorders>
              <w:top w:val="nil"/>
              <w:left w:val="nil"/>
              <w:bottom w:val="nil"/>
              <w:right w:val="nil"/>
            </w:tcBorders>
            <w:noWrap/>
            <w:vAlign w:val="bottom"/>
            <w:hideMark/>
          </w:tcPr>
          <w:p w14:paraId="3C187EEA"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791" w:type="dxa"/>
            <w:tcBorders>
              <w:top w:val="nil"/>
              <w:left w:val="nil"/>
              <w:bottom w:val="nil"/>
              <w:right w:val="nil"/>
            </w:tcBorders>
            <w:noWrap/>
            <w:vAlign w:val="bottom"/>
            <w:hideMark/>
          </w:tcPr>
          <w:p w14:paraId="12C9A77C"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18,436 </w:t>
            </w:r>
          </w:p>
        </w:tc>
        <w:tc>
          <w:tcPr>
            <w:tcW w:w="752" w:type="dxa"/>
            <w:tcBorders>
              <w:top w:val="nil"/>
              <w:left w:val="nil"/>
              <w:bottom w:val="nil"/>
              <w:right w:val="nil"/>
            </w:tcBorders>
            <w:noWrap/>
            <w:vAlign w:val="bottom"/>
            <w:hideMark/>
          </w:tcPr>
          <w:p w14:paraId="5D2AF6AB"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28,179 </w:t>
            </w:r>
          </w:p>
        </w:tc>
        <w:tc>
          <w:tcPr>
            <w:tcW w:w="456" w:type="dxa"/>
            <w:tcBorders>
              <w:top w:val="nil"/>
              <w:left w:val="nil"/>
              <w:bottom w:val="nil"/>
              <w:right w:val="nil"/>
            </w:tcBorders>
            <w:noWrap/>
            <w:vAlign w:val="bottom"/>
            <w:hideMark/>
          </w:tcPr>
          <w:p w14:paraId="5445E7EB"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18DF0E7F"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(256)</w:t>
            </w:r>
          </w:p>
        </w:tc>
      </w:tr>
      <w:tr w:rsidR="00377CCF" w:rsidRPr="00245485" w14:paraId="2865F90F" w14:textId="77777777" w:rsidTr="00856101">
        <w:trPr>
          <w:trHeight w:val="240"/>
        </w:trPr>
        <w:tc>
          <w:tcPr>
            <w:tcW w:w="4875" w:type="dxa"/>
            <w:tcBorders>
              <w:top w:val="nil"/>
              <w:left w:val="nil"/>
              <w:bottom w:val="nil"/>
              <w:right w:val="nil"/>
            </w:tcBorders>
            <w:noWrap/>
            <w:vAlign w:val="bottom"/>
            <w:hideMark/>
          </w:tcPr>
          <w:p w14:paraId="52835E98"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Other Comprehensive income</w:t>
            </w:r>
          </w:p>
        </w:tc>
        <w:tc>
          <w:tcPr>
            <w:tcW w:w="685" w:type="dxa"/>
            <w:tcBorders>
              <w:top w:val="nil"/>
              <w:left w:val="nil"/>
              <w:bottom w:val="nil"/>
              <w:right w:val="nil"/>
            </w:tcBorders>
            <w:noWrap/>
            <w:vAlign w:val="bottom"/>
            <w:hideMark/>
          </w:tcPr>
          <w:p w14:paraId="14D0CA22"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791" w:type="dxa"/>
            <w:tcBorders>
              <w:top w:val="nil"/>
              <w:left w:val="nil"/>
              <w:bottom w:val="nil"/>
              <w:right w:val="nil"/>
            </w:tcBorders>
            <w:noWrap/>
            <w:vAlign w:val="bottom"/>
            <w:hideMark/>
          </w:tcPr>
          <w:p w14:paraId="28E736D2"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 - </w:t>
            </w:r>
          </w:p>
        </w:tc>
        <w:tc>
          <w:tcPr>
            <w:tcW w:w="752" w:type="dxa"/>
            <w:tcBorders>
              <w:top w:val="nil"/>
              <w:left w:val="nil"/>
              <w:bottom w:val="nil"/>
              <w:right w:val="nil"/>
            </w:tcBorders>
            <w:noWrap/>
            <w:vAlign w:val="bottom"/>
            <w:hideMark/>
          </w:tcPr>
          <w:p w14:paraId="492EE02B"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221 </w:t>
            </w:r>
          </w:p>
        </w:tc>
        <w:tc>
          <w:tcPr>
            <w:tcW w:w="456" w:type="dxa"/>
            <w:tcBorders>
              <w:top w:val="nil"/>
              <w:left w:val="nil"/>
              <w:bottom w:val="nil"/>
              <w:right w:val="nil"/>
            </w:tcBorders>
            <w:noWrap/>
            <w:vAlign w:val="bottom"/>
            <w:hideMark/>
          </w:tcPr>
          <w:p w14:paraId="265AAF35"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00005914"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 - </w:t>
            </w:r>
          </w:p>
        </w:tc>
      </w:tr>
      <w:tr w:rsidR="00377CCF" w:rsidRPr="00245485" w14:paraId="0F1F4B6C" w14:textId="77777777" w:rsidTr="00856101">
        <w:trPr>
          <w:trHeight w:val="240"/>
        </w:trPr>
        <w:tc>
          <w:tcPr>
            <w:tcW w:w="4875" w:type="dxa"/>
            <w:tcBorders>
              <w:top w:val="nil"/>
              <w:left w:val="nil"/>
              <w:bottom w:val="nil"/>
              <w:right w:val="nil"/>
            </w:tcBorders>
            <w:noWrap/>
            <w:vAlign w:val="bottom"/>
            <w:hideMark/>
          </w:tcPr>
          <w:p w14:paraId="6B106F0B"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Closing balance as at 30 June</w:t>
            </w:r>
          </w:p>
        </w:tc>
        <w:tc>
          <w:tcPr>
            <w:tcW w:w="685" w:type="dxa"/>
            <w:tcBorders>
              <w:top w:val="nil"/>
              <w:left w:val="nil"/>
              <w:bottom w:val="nil"/>
              <w:right w:val="nil"/>
            </w:tcBorders>
            <w:noWrap/>
            <w:vAlign w:val="bottom"/>
            <w:hideMark/>
          </w:tcPr>
          <w:p w14:paraId="7080E245"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791" w:type="dxa"/>
            <w:tcBorders>
              <w:top w:val="single" w:sz="4" w:space="0" w:color="auto"/>
              <w:left w:val="nil"/>
              <w:bottom w:val="single" w:sz="4" w:space="0" w:color="auto"/>
              <w:right w:val="nil"/>
            </w:tcBorders>
            <w:noWrap/>
            <w:vAlign w:val="bottom"/>
            <w:hideMark/>
          </w:tcPr>
          <w:p w14:paraId="1B7552DA"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94,476 </w:t>
            </w:r>
          </w:p>
        </w:tc>
        <w:tc>
          <w:tcPr>
            <w:tcW w:w="752" w:type="dxa"/>
            <w:tcBorders>
              <w:top w:val="single" w:sz="4" w:space="0" w:color="auto"/>
              <w:left w:val="nil"/>
              <w:bottom w:val="single" w:sz="4" w:space="0" w:color="auto"/>
              <w:right w:val="nil"/>
            </w:tcBorders>
            <w:noWrap/>
            <w:vAlign w:val="bottom"/>
            <w:hideMark/>
          </w:tcPr>
          <w:p w14:paraId="7EF82A51"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76,040 </w:t>
            </w:r>
          </w:p>
        </w:tc>
        <w:tc>
          <w:tcPr>
            <w:tcW w:w="456" w:type="dxa"/>
            <w:tcBorders>
              <w:top w:val="nil"/>
              <w:left w:val="nil"/>
              <w:bottom w:val="nil"/>
              <w:right w:val="nil"/>
            </w:tcBorders>
            <w:noWrap/>
            <w:vAlign w:val="bottom"/>
            <w:hideMark/>
          </w:tcPr>
          <w:p w14:paraId="117C5D50"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single" w:sz="4" w:space="0" w:color="auto"/>
              <w:left w:val="nil"/>
              <w:bottom w:val="single" w:sz="4" w:space="0" w:color="auto"/>
              <w:right w:val="nil"/>
            </w:tcBorders>
            <w:noWrap/>
            <w:vAlign w:val="bottom"/>
            <w:hideMark/>
          </w:tcPr>
          <w:p w14:paraId="6B14918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47,062 </w:t>
            </w:r>
          </w:p>
        </w:tc>
      </w:tr>
      <w:tr w:rsidR="00377CCF" w:rsidRPr="00245485" w14:paraId="34CA143B" w14:textId="77777777" w:rsidTr="00856101">
        <w:trPr>
          <w:trHeight w:val="375"/>
        </w:trPr>
        <w:tc>
          <w:tcPr>
            <w:tcW w:w="7103" w:type="dxa"/>
            <w:gridSpan w:val="4"/>
            <w:tcBorders>
              <w:top w:val="nil"/>
              <w:left w:val="nil"/>
              <w:bottom w:val="nil"/>
              <w:right w:val="nil"/>
            </w:tcBorders>
            <w:noWrap/>
            <w:vAlign w:val="bottom"/>
            <w:hideMark/>
          </w:tcPr>
          <w:p w14:paraId="3E9D3963"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The above statement should be read in conjunction with the accompanying notes.</w:t>
            </w:r>
          </w:p>
        </w:tc>
        <w:tc>
          <w:tcPr>
            <w:tcW w:w="456" w:type="dxa"/>
            <w:tcBorders>
              <w:top w:val="nil"/>
              <w:left w:val="nil"/>
              <w:bottom w:val="nil"/>
              <w:right w:val="nil"/>
            </w:tcBorders>
            <w:noWrap/>
            <w:vAlign w:val="bottom"/>
            <w:hideMark/>
          </w:tcPr>
          <w:p w14:paraId="30AF6BEC"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54CC1839"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r>
    </w:tbl>
    <w:p w14:paraId="39CD9EEE" w14:textId="77777777" w:rsidR="00EB0D85" w:rsidRDefault="00EB0D85" w:rsidP="00EB0D85"/>
    <w:p w14:paraId="2056D53F" w14:textId="75045E48" w:rsidR="00EB0D85" w:rsidRPr="00A41A49" w:rsidRDefault="00377CCF" w:rsidP="00EB0D85">
      <w:pPr>
        <w:pStyle w:val="Sectionnumber"/>
        <w:rPr>
          <w:rFonts w:ascii="Arial" w:hAnsi="Arial" w:cs="Arial"/>
          <w:color w:val="15272F" w:themeColor="text1"/>
          <w:u w:val="single"/>
        </w:rPr>
      </w:pPr>
      <w:r w:rsidRPr="00A41A49">
        <w:rPr>
          <w:noProof/>
          <w:u w:val="single"/>
        </w:rPr>
        <mc:AlternateContent>
          <mc:Choice Requires="wps">
            <w:drawing>
              <wp:anchor distT="0" distB="0" distL="114300" distR="114300" simplePos="0" relativeHeight="251685888" behindDoc="0" locked="0" layoutInCell="1" allowOverlap="1" wp14:anchorId="43A1D3BC" wp14:editId="4BCF1BA2">
                <wp:simplePos x="0" y="0"/>
                <wp:positionH relativeFrom="column">
                  <wp:posOffset>93345</wp:posOffset>
                </wp:positionH>
                <wp:positionV relativeFrom="paragraph">
                  <wp:posOffset>11430</wp:posOffset>
                </wp:positionV>
                <wp:extent cx="5394214" cy="1104405"/>
                <wp:effectExtent l="0" t="0" r="16510" b="19685"/>
                <wp:wrapSquare wrapText="bothSides"/>
                <wp:docPr id="823222310" name="TextBox 2"/>
                <wp:cNvGraphicFramePr/>
                <a:graphic xmlns:a="http://schemas.openxmlformats.org/drawingml/2006/main">
                  <a:graphicData uri="http://schemas.microsoft.com/office/word/2010/wordprocessingShape">
                    <wps:wsp>
                      <wps:cNvSpPr txBox="1"/>
                      <wps:spPr>
                        <a:xfrm>
                          <a:off x="0" y="0"/>
                          <a:ext cx="5394214" cy="1104405"/>
                        </a:xfrm>
                        <a:prstGeom prst="rect">
                          <a:avLst/>
                        </a:prstGeom>
                        <a:noFill/>
                        <a:ln w="12700" cmpd="sng">
                          <a:solidFill>
                            <a:srgbClr val="009560"/>
                          </a:solidFill>
                        </a:ln>
                        <a:effectLst/>
                      </wps:spPr>
                      <wps:txbx>
                        <w:txbxContent>
                          <w:p w14:paraId="2CCED691" w14:textId="77777777" w:rsidR="00377CCF" w:rsidRPr="00245485" w:rsidRDefault="00377CCF" w:rsidP="00377CCF">
                            <w:pPr>
                              <w:rPr>
                                <w:rFonts w:cs="Arial"/>
                                <w:b/>
                                <w:bCs/>
                                <w:color w:val="15272F" w:themeColor="dark1"/>
                                <w:sz w:val="18"/>
                                <w:szCs w:val="18"/>
                              </w:rPr>
                            </w:pPr>
                            <w:r w:rsidRPr="00245485">
                              <w:rPr>
                                <w:rFonts w:cs="Arial"/>
                                <w:b/>
                                <w:bCs/>
                                <w:color w:val="15272F" w:themeColor="dark1"/>
                                <w:sz w:val="18"/>
                                <w:szCs w:val="18"/>
                              </w:rPr>
                              <w:t>Budget variances commentary</w:t>
                            </w:r>
                          </w:p>
                          <w:p w14:paraId="160A56CA" w14:textId="77777777" w:rsidR="00377CCF" w:rsidRPr="00245485" w:rsidRDefault="00377CCF" w:rsidP="00377CCF">
                            <w:pPr>
                              <w:rPr>
                                <w:rFonts w:cs="Arial"/>
                                <w:b/>
                                <w:bCs/>
                                <w:color w:val="15272F" w:themeColor="dark1"/>
                                <w:sz w:val="18"/>
                                <w:szCs w:val="18"/>
                              </w:rPr>
                            </w:pPr>
                            <w:r w:rsidRPr="00245485">
                              <w:rPr>
                                <w:rFonts w:cs="Arial"/>
                                <w:b/>
                                <w:bCs/>
                                <w:color w:val="15272F" w:themeColor="dark1"/>
                                <w:sz w:val="18"/>
                                <w:szCs w:val="18"/>
                              </w:rPr>
                              <w:t xml:space="preserve">Statement of changes in equity </w:t>
                            </w:r>
                          </w:p>
                          <w:p w14:paraId="25B03C41" w14:textId="77777777" w:rsidR="00377CCF" w:rsidRPr="00245485" w:rsidRDefault="00377CCF" w:rsidP="00377CCF">
                            <w:pPr>
                              <w:textAlignment w:val="baseline"/>
                              <w:rPr>
                                <w:rFonts w:cs="Arial"/>
                                <w:color w:val="15272F" w:themeColor="dark1"/>
                                <w:sz w:val="18"/>
                                <w:szCs w:val="18"/>
                              </w:rPr>
                            </w:pPr>
                            <w:r w:rsidRPr="00245485">
                              <w:rPr>
                                <w:rFonts w:cs="Arial"/>
                                <w:color w:val="15272F" w:themeColor="dark1"/>
                                <w:sz w:val="18"/>
                                <w:szCs w:val="18"/>
                              </w:rPr>
                              <w:t xml:space="preserve">Total equity of $94.476m was $47.414m higher than the budget amount primarily due to retained surpluses noting that the budget is derived on a break-even assumption. </w:t>
                            </w:r>
                          </w:p>
                        </w:txbxContent>
                      </wps:txbx>
                      <wps:bodyPr vertOverflow="clip" horzOverflow="clip" wrap="square" rtlCol="0" anchor="t">
                        <a:noAutofit/>
                      </wps:bodyPr>
                    </wps:wsp>
                  </a:graphicData>
                </a:graphic>
                <wp14:sizeRelV relativeFrom="margin">
                  <wp14:pctHeight>0</wp14:pctHeight>
                </wp14:sizeRelV>
              </wp:anchor>
            </w:drawing>
          </mc:Choice>
          <mc:Fallback>
            <w:pict>
              <v:shape w14:anchorId="43A1D3BC" id="_x0000_s1029" type="#_x0000_t202" style="position:absolute;left:0;text-align:left;margin-left:7.35pt;margin-top:.9pt;width:424.75pt;height:86.9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" filled="f" strokecolor="#009560" strokeweight="1pt">
                <v:textbox>
                  <w:txbxContent>
                    <w:p w14:paraId="2CCED691" w14:textId="77777777" w:rsidR="00377CCF" w:rsidRPr="00245485" w:rsidRDefault="00377CCF" w:rsidP="00377CCF">
                      <w:pPr>
                        <w:rPr>
                          <w:rFonts w:cs="Arial"/>
                          <w:b/>
                          <w:bCs/>
                          <w:color w:val="15272F" w:themeColor="dark1"/>
                          <w:sz w:val="18"/>
                          <w:szCs w:val="18"/>
                        </w:rPr>
                      </w:pPr>
                      <w:r w:rsidRPr="00245485">
                        <w:rPr>
                          <w:rFonts w:cs="Arial"/>
                          <w:b/>
                          <w:bCs/>
                          <w:color w:val="15272F" w:themeColor="dark1"/>
                          <w:sz w:val="18"/>
                          <w:szCs w:val="18"/>
                        </w:rPr>
                        <w:t>Budget variances commentary</w:t>
                      </w:r>
                    </w:p>
                    <w:p w14:paraId="160A56CA" w14:textId="77777777" w:rsidR="00377CCF" w:rsidRPr="00245485" w:rsidRDefault="00377CCF" w:rsidP="00377CCF">
                      <w:pPr>
                        <w:rPr>
                          <w:rFonts w:cs="Arial"/>
                          <w:b/>
                          <w:bCs/>
                          <w:color w:val="15272F" w:themeColor="dark1"/>
                          <w:sz w:val="18"/>
                          <w:szCs w:val="18"/>
                        </w:rPr>
                      </w:pPr>
                      <w:r w:rsidRPr="00245485">
                        <w:rPr>
                          <w:rFonts w:cs="Arial"/>
                          <w:b/>
                          <w:bCs/>
                          <w:color w:val="15272F" w:themeColor="dark1"/>
                          <w:sz w:val="18"/>
                          <w:szCs w:val="18"/>
                        </w:rPr>
                        <w:t xml:space="preserve">Statement of changes in equity </w:t>
                      </w:r>
                    </w:p>
                    <w:p w14:paraId="25B03C41" w14:textId="77777777" w:rsidR="00377CCF" w:rsidRPr="00245485" w:rsidRDefault="00377CCF" w:rsidP="00377CCF">
                      <w:pPr>
                        <w:textAlignment w:val="baseline"/>
                        <w:rPr>
                          <w:rFonts w:cs="Arial"/>
                          <w:color w:val="15272F" w:themeColor="dark1"/>
                          <w:sz w:val="18"/>
                          <w:szCs w:val="18"/>
                        </w:rPr>
                      </w:pPr>
                      <w:r w:rsidRPr="00245485">
                        <w:rPr>
                          <w:rFonts w:cs="Arial"/>
                          <w:color w:val="15272F" w:themeColor="dark1"/>
                          <w:sz w:val="18"/>
                          <w:szCs w:val="18"/>
                        </w:rPr>
                        <w:t xml:space="preserve">Total equity of $94.476m was $47.414m higher than the budget amount primarily due to retained surpluses noting that the budget is derived on a break-even assumption. </w:t>
                      </w:r>
                    </w:p>
                  </w:txbxContent>
                </v:textbox>
                <w10:wrap type="square"/>
              </v:shape>
            </w:pict>
          </mc:Fallback>
        </mc:AlternateContent>
      </w:r>
    </w:p>
    <w:tbl>
      <w:tblPr>
        <w:tblW w:w="9690" w:type="dxa"/>
        <w:tblLook w:val="04A0" w:firstRow="1" w:lastRow="0" w:firstColumn="1" w:lastColumn="0" w:noHBand="0" w:noVBand="1"/>
      </w:tblPr>
      <w:tblGrid>
        <w:gridCol w:w="5628"/>
        <w:gridCol w:w="935"/>
        <w:gridCol w:w="938"/>
        <w:gridCol w:w="889"/>
        <w:gridCol w:w="329"/>
        <w:gridCol w:w="984"/>
      </w:tblGrid>
      <w:tr w:rsidR="00377CCF" w:rsidRPr="00245485" w14:paraId="11034CD3" w14:textId="77777777" w:rsidTr="00A41A49">
        <w:trPr>
          <w:trHeight w:val="304"/>
        </w:trPr>
        <w:tc>
          <w:tcPr>
            <w:tcW w:w="8377" w:type="dxa"/>
            <w:gridSpan w:val="4"/>
            <w:tcBorders>
              <w:top w:val="nil"/>
              <w:left w:val="nil"/>
              <w:bottom w:val="nil"/>
              <w:right w:val="nil"/>
            </w:tcBorders>
            <w:hideMark/>
          </w:tcPr>
          <w:p w14:paraId="230A43CC"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lastRenderedPageBreak/>
              <w:t>Cash flow statement</w:t>
            </w:r>
          </w:p>
        </w:tc>
        <w:tc>
          <w:tcPr>
            <w:tcW w:w="329" w:type="dxa"/>
            <w:tcBorders>
              <w:top w:val="nil"/>
              <w:left w:val="nil"/>
              <w:bottom w:val="nil"/>
              <w:right w:val="nil"/>
            </w:tcBorders>
            <w:noWrap/>
            <w:vAlign w:val="bottom"/>
            <w:hideMark/>
          </w:tcPr>
          <w:p w14:paraId="5BD7C01A"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84" w:type="dxa"/>
            <w:tcBorders>
              <w:top w:val="nil"/>
              <w:left w:val="nil"/>
              <w:bottom w:val="nil"/>
              <w:right w:val="nil"/>
            </w:tcBorders>
            <w:noWrap/>
            <w:vAlign w:val="bottom"/>
            <w:hideMark/>
          </w:tcPr>
          <w:p w14:paraId="7EF17ADC"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r>
      <w:tr w:rsidR="00377CCF" w:rsidRPr="00245485" w14:paraId="1CC14C50" w14:textId="77777777" w:rsidTr="00A41A49">
        <w:trPr>
          <w:trHeight w:val="378"/>
        </w:trPr>
        <w:tc>
          <w:tcPr>
            <w:tcW w:w="8377" w:type="dxa"/>
            <w:gridSpan w:val="4"/>
            <w:tcBorders>
              <w:top w:val="nil"/>
              <w:left w:val="nil"/>
              <w:bottom w:val="nil"/>
              <w:right w:val="nil"/>
            </w:tcBorders>
            <w:noWrap/>
            <w:vAlign w:val="bottom"/>
            <w:hideMark/>
          </w:tcPr>
          <w:p w14:paraId="46A6FAB7" w14:textId="77777777" w:rsidR="00377CCF" w:rsidRPr="00245485" w:rsidRDefault="00377CCF" w:rsidP="00856101">
            <w:pPr>
              <w:spacing w:after="0" w:line="240" w:lineRule="auto"/>
              <w:rPr>
                <w:rFonts w:ascii="Cambria" w:eastAsia="Times New Roman" w:hAnsi="Cambria" w:cs="Calibri"/>
                <w:i/>
                <w:iCs/>
                <w:color w:val="auto"/>
                <w:sz w:val="18"/>
                <w:szCs w:val="18"/>
                <w:lang w:eastAsia="en-AU"/>
              </w:rPr>
            </w:pPr>
            <w:r w:rsidRPr="00245485">
              <w:rPr>
                <w:rFonts w:ascii="Cambria" w:eastAsia="Times New Roman" w:hAnsi="Cambria" w:cs="Calibri"/>
                <w:i/>
                <w:iCs/>
                <w:color w:val="auto"/>
                <w:sz w:val="18"/>
                <w:szCs w:val="18"/>
                <w:lang w:eastAsia="en-AU"/>
              </w:rPr>
              <w:t>for the period ended 30 June 2026</w:t>
            </w:r>
          </w:p>
        </w:tc>
        <w:tc>
          <w:tcPr>
            <w:tcW w:w="329" w:type="dxa"/>
            <w:tcBorders>
              <w:top w:val="nil"/>
              <w:left w:val="nil"/>
              <w:bottom w:val="nil"/>
              <w:right w:val="nil"/>
            </w:tcBorders>
            <w:noWrap/>
            <w:vAlign w:val="bottom"/>
            <w:hideMark/>
          </w:tcPr>
          <w:p w14:paraId="0EED23F0" w14:textId="77777777" w:rsidR="00377CCF" w:rsidRPr="00245485" w:rsidRDefault="00377CCF" w:rsidP="00856101">
            <w:pPr>
              <w:spacing w:after="0" w:line="240" w:lineRule="auto"/>
              <w:rPr>
                <w:rFonts w:ascii="Cambria" w:eastAsia="Times New Roman" w:hAnsi="Cambria" w:cs="Calibri"/>
                <w:i/>
                <w:iCs/>
                <w:color w:val="auto"/>
                <w:sz w:val="18"/>
                <w:szCs w:val="18"/>
                <w:lang w:eastAsia="en-AU"/>
              </w:rPr>
            </w:pPr>
          </w:p>
        </w:tc>
        <w:tc>
          <w:tcPr>
            <w:tcW w:w="984" w:type="dxa"/>
            <w:tcBorders>
              <w:top w:val="nil"/>
              <w:left w:val="nil"/>
              <w:bottom w:val="nil"/>
              <w:right w:val="nil"/>
            </w:tcBorders>
            <w:noWrap/>
            <w:vAlign w:val="bottom"/>
            <w:hideMark/>
          </w:tcPr>
          <w:p w14:paraId="3A885F6B"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r>
      <w:tr w:rsidR="00377CCF" w:rsidRPr="00245485" w14:paraId="7F6EB28D" w14:textId="77777777" w:rsidTr="00A41A49">
        <w:trPr>
          <w:trHeight w:val="565"/>
        </w:trPr>
        <w:tc>
          <w:tcPr>
            <w:tcW w:w="5628" w:type="dxa"/>
            <w:tcBorders>
              <w:top w:val="single" w:sz="8" w:space="0" w:color="009560"/>
              <w:left w:val="nil"/>
              <w:bottom w:val="nil"/>
              <w:right w:val="nil"/>
            </w:tcBorders>
            <w:noWrap/>
            <w:vAlign w:val="bottom"/>
            <w:hideMark/>
          </w:tcPr>
          <w:p w14:paraId="3E9954A2"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935" w:type="dxa"/>
            <w:tcBorders>
              <w:top w:val="single" w:sz="8" w:space="0" w:color="009560"/>
              <w:left w:val="nil"/>
              <w:bottom w:val="nil"/>
              <w:right w:val="nil"/>
            </w:tcBorders>
            <w:noWrap/>
            <w:vAlign w:val="bottom"/>
            <w:hideMark/>
          </w:tcPr>
          <w:p w14:paraId="1B508DD7"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931" w:type="dxa"/>
            <w:tcBorders>
              <w:top w:val="single" w:sz="8" w:space="0" w:color="009560"/>
              <w:left w:val="nil"/>
              <w:bottom w:val="nil"/>
              <w:right w:val="nil"/>
            </w:tcBorders>
            <w:noWrap/>
            <w:vAlign w:val="bottom"/>
            <w:hideMark/>
          </w:tcPr>
          <w:p w14:paraId="7C5E336A"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2026</w:t>
            </w:r>
          </w:p>
        </w:tc>
        <w:tc>
          <w:tcPr>
            <w:tcW w:w="882" w:type="dxa"/>
            <w:tcBorders>
              <w:top w:val="single" w:sz="8" w:space="0" w:color="009560"/>
              <w:left w:val="nil"/>
              <w:bottom w:val="nil"/>
              <w:right w:val="nil"/>
            </w:tcBorders>
            <w:noWrap/>
            <w:vAlign w:val="bottom"/>
            <w:hideMark/>
          </w:tcPr>
          <w:p w14:paraId="44E76032"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2025</w:t>
            </w:r>
          </w:p>
        </w:tc>
        <w:tc>
          <w:tcPr>
            <w:tcW w:w="329" w:type="dxa"/>
            <w:tcBorders>
              <w:top w:val="single" w:sz="8" w:space="0" w:color="009560"/>
              <w:left w:val="nil"/>
              <w:bottom w:val="nil"/>
              <w:right w:val="nil"/>
            </w:tcBorders>
            <w:noWrap/>
            <w:vAlign w:val="bottom"/>
            <w:hideMark/>
          </w:tcPr>
          <w:p w14:paraId="7B622D36"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984" w:type="dxa"/>
            <w:tcBorders>
              <w:top w:val="single" w:sz="8" w:space="0" w:color="009560"/>
              <w:left w:val="nil"/>
              <w:bottom w:val="nil"/>
              <w:right w:val="nil"/>
            </w:tcBorders>
            <w:vAlign w:val="bottom"/>
            <w:hideMark/>
          </w:tcPr>
          <w:p w14:paraId="006D62AA"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Original Budget</w:t>
            </w:r>
          </w:p>
        </w:tc>
      </w:tr>
      <w:tr w:rsidR="00377CCF" w:rsidRPr="00245485" w14:paraId="581FDA24" w14:textId="77777777" w:rsidTr="00A41A49">
        <w:trPr>
          <w:trHeight w:val="304"/>
        </w:trPr>
        <w:tc>
          <w:tcPr>
            <w:tcW w:w="5628" w:type="dxa"/>
            <w:tcBorders>
              <w:top w:val="nil"/>
              <w:left w:val="nil"/>
              <w:bottom w:val="single" w:sz="8" w:space="0" w:color="009560"/>
              <w:right w:val="nil"/>
            </w:tcBorders>
            <w:noWrap/>
            <w:vAlign w:val="bottom"/>
            <w:hideMark/>
          </w:tcPr>
          <w:p w14:paraId="54C4BE2A"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935" w:type="dxa"/>
            <w:tcBorders>
              <w:top w:val="nil"/>
              <w:left w:val="nil"/>
              <w:bottom w:val="single" w:sz="8" w:space="0" w:color="009560"/>
              <w:right w:val="nil"/>
            </w:tcBorders>
            <w:noWrap/>
            <w:vAlign w:val="bottom"/>
            <w:hideMark/>
          </w:tcPr>
          <w:p w14:paraId="1AC028B4"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Notes</w:t>
            </w:r>
          </w:p>
        </w:tc>
        <w:tc>
          <w:tcPr>
            <w:tcW w:w="931" w:type="dxa"/>
            <w:tcBorders>
              <w:top w:val="nil"/>
              <w:left w:val="nil"/>
              <w:bottom w:val="single" w:sz="8" w:space="0" w:color="009560"/>
              <w:right w:val="nil"/>
            </w:tcBorders>
            <w:noWrap/>
            <w:vAlign w:val="bottom"/>
            <w:hideMark/>
          </w:tcPr>
          <w:p w14:paraId="58E633E4"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$’000</w:t>
            </w:r>
          </w:p>
        </w:tc>
        <w:tc>
          <w:tcPr>
            <w:tcW w:w="882" w:type="dxa"/>
            <w:tcBorders>
              <w:top w:val="nil"/>
              <w:left w:val="nil"/>
              <w:bottom w:val="single" w:sz="8" w:space="0" w:color="009560"/>
              <w:right w:val="nil"/>
            </w:tcBorders>
            <w:noWrap/>
            <w:vAlign w:val="bottom"/>
            <w:hideMark/>
          </w:tcPr>
          <w:p w14:paraId="12619C01"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$’000</w:t>
            </w:r>
          </w:p>
        </w:tc>
        <w:tc>
          <w:tcPr>
            <w:tcW w:w="329" w:type="dxa"/>
            <w:tcBorders>
              <w:top w:val="nil"/>
              <w:left w:val="nil"/>
              <w:bottom w:val="single" w:sz="8" w:space="0" w:color="009560"/>
              <w:right w:val="nil"/>
            </w:tcBorders>
            <w:noWrap/>
            <w:vAlign w:val="bottom"/>
            <w:hideMark/>
          </w:tcPr>
          <w:p w14:paraId="45AA949A"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984" w:type="dxa"/>
            <w:tcBorders>
              <w:top w:val="nil"/>
              <w:left w:val="nil"/>
              <w:bottom w:val="single" w:sz="8" w:space="0" w:color="009560"/>
              <w:right w:val="nil"/>
            </w:tcBorders>
            <w:noWrap/>
            <w:vAlign w:val="bottom"/>
            <w:hideMark/>
          </w:tcPr>
          <w:p w14:paraId="3C13A14D"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$’000</w:t>
            </w:r>
          </w:p>
        </w:tc>
      </w:tr>
      <w:tr w:rsidR="00377CCF" w:rsidRPr="00245485" w14:paraId="0A7AB051" w14:textId="77777777" w:rsidTr="00A41A49">
        <w:trPr>
          <w:trHeight w:val="106"/>
        </w:trPr>
        <w:tc>
          <w:tcPr>
            <w:tcW w:w="5628" w:type="dxa"/>
            <w:tcBorders>
              <w:top w:val="nil"/>
              <w:left w:val="nil"/>
              <w:bottom w:val="nil"/>
              <w:right w:val="nil"/>
            </w:tcBorders>
            <w:noWrap/>
            <w:vAlign w:val="bottom"/>
            <w:hideMark/>
          </w:tcPr>
          <w:p w14:paraId="590088BE"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35" w:type="dxa"/>
            <w:tcBorders>
              <w:top w:val="nil"/>
              <w:left w:val="nil"/>
              <w:bottom w:val="nil"/>
              <w:right w:val="nil"/>
            </w:tcBorders>
            <w:noWrap/>
            <w:vAlign w:val="bottom"/>
            <w:hideMark/>
          </w:tcPr>
          <w:p w14:paraId="048ACFEC"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931" w:type="dxa"/>
            <w:tcBorders>
              <w:top w:val="nil"/>
              <w:left w:val="nil"/>
              <w:bottom w:val="nil"/>
              <w:right w:val="nil"/>
            </w:tcBorders>
            <w:noWrap/>
            <w:vAlign w:val="bottom"/>
            <w:hideMark/>
          </w:tcPr>
          <w:p w14:paraId="5C573D9D"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882" w:type="dxa"/>
            <w:tcBorders>
              <w:top w:val="nil"/>
              <w:left w:val="nil"/>
              <w:bottom w:val="nil"/>
              <w:right w:val="nil"/>
            </w:tcBorders>
            <w:noWrap/>
            <w:vAlign w:val="bottom"/>
            <w:hideMark/>
          </w:tcPr>
          <w:p w14:paraId="19E3A8AC"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vAlign w:val="bottom"/>
            <w:hideMark/>
          </w:tcPr>
          <w:p w14:paraId="4DCA92E5"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6F722ECF"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5E5B1D64" w14:textId="77777777" w:rsidTr="00A41A49">
        <w:trPr>
          <w:trHeight w:val="244"/>
        </w:trPr>
        <w:tc>
          <w:tcPr>
            <w:tcW w:w="5628" w:type="dxa"/>
            <w:tcBorders>
              <w:top w:val="nil"/>
              <w:left w:val="nil"/>
              <w:bottom w:val="nil"/>
              <w:right w:val="nil"/>
            </w:tcBorders>
            <w:noWrap/>
            <w:vAlign w:val="bottom"/>
            <w:hideMark/>
          </w:tcPr>
          <w:p w14:paraId="1FCAC34F"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OPERATING ACTIVITIES</w:t>
            </w:r>
          </w:p>
        </w:tc>
        <w:tc>
          <w:tcPr>
            <w:tcW w:w="935" w:type="dxa"/>
            <w:tcBorders>
              <w:top w:val="nil"/>
              <w:left w:val="nil"/>
              <w:bottom w:val="nil"/>
              <w:right w:val="nil"/>
            </w:tcBorders>
            <w:noWrap/>
            <w:vAlign w:val="bottom"/>
            <w:hideMark/>
          </w:tcPr>
          <w:p w14:paraId="40B363CC"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nil"/>
              <w:left w:val="nil"/>
              <w:bottom w:val="nil"/>
              <w:right w:val="nil"/>
            </w:tcBorders>
            <w:noWrap/>
            <w:vAlign w:val="bottom"/>
            <w:hideMark/>
          </w:tcPr>
          <w:p w14:paraId="3D08687E" w14:textId="77777777" w:rsidR="00377CCF" w:rsidRPr="00245485" w:rsidRDefault="00377CCF" w:rsidP="00856101">
            <w:pPr>
              <w:spacing w:after="0" w:line="240" w:lineRule="auto"/>
              <w:jc w:val="center"/>
              <w:rPr>
                <w:rFonts w:ascii="Times New Roman" w:eastAsia="Times New Roman" w:hAnsi="Times New Roman" w:cs="Times New Roman"/>
                <w:color w:val="auto"/>
                <w:sz w:val="20"/>
                <w:szCs w:val="20"/>
                <w:lang w:eastAsia="en-AU"/>
              </w:rPr>
            </w:pPr>
          </w:p>
        </w:tc>
        <w:tc>
          <w:tcPr>
            <w:tcW w:w="882" w:type="dxa"/>
            <w:tcBorders>
              <w:top w:val="nil"/>
              <w:left w:val="nil"/>
              <w:bottom w:val="nil"/>
              <w:right w:val="nil"/>
            </w:tcBorders>
            <w:noWrap/>
            <w:vAlign w:val="bottom"/>
            <w:hideMark/>
          </w:tcPr>
          <w:p w14:paraId="069D8C62"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vAlign w:val="bottom"/>
            <w:hideMark/>
          </w:tcPr>
          <w:p w14:paraId="651F4093"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7AFD3159"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397D8F09" w14:textId="77777777" w:rsidTr="00A41A49">
        <w:trPr>
          <w:trHeight w:val="244"/>
        </w:trPr>
        <w:tc>
          <w:tcPr>
            <w:tcW w:w="5628" w:type="dxa"/>
            <w:tcBorders>
              <w:top w:val="nil"/>
              <w:left w:val="nil"/>
              <w:bottom w:val="nil"/>
              <w:right w:val="nil"/>
            </w:tcBorders>
            <w:noWrap/>
            <w:vAlign w:val="bottom"/>
            <w:hideMark/>
          </w:tcPr>
          <w:p w14:paraId="68835B1E"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Cash received</w:t>
            </w:r>
          </w:p>
        </w:tc>
        <w:tc>
          <w:tcPr>
            <w:tcW w:w="935" w:type="dxa"/>
            <w:tcBorders>
              <w:top w:val="nil"/>
              <w:left w:val="nil"/>
              <w:bottom w:val="nil"/>
              <w:right w:val="nil"/>
            </w:tcBorders>
            <w:noWrap/>
            <w:vAlign w:val="bottom"/>
            <w:hideMark/>
          </w:tcPr>
          <w:p w14:paraId="124B8D48"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nil"/>
              <w:left w:val="nil"/>
              <w:bottom w:val="nil"/>
              <w:right w:val="nil"/>
            </w:tcBorders>
            <w:noWrap/>
            <w:vAlign w:val="bottom"/>
            <w:hideMark/>
          </w:tcPr>
          <w:p w14:paraId="7777AE89" w14:textId="77777777" w:rsidR="00377CCF" w:rsidRPr="00245485" w:rsidRDefault="00377CCF" w:rsidP="00856101">
            <w:pPr>
              <w:spacing w:after="0" w:line="240" w:lineRule="auto"/>
              <w:jc w:val="center"/>
              <w:rPr>
                <w:rFonts w:ascii="Times New Roman" w:eastAsia="Times New Roman" w:hAnsi="Times New Roman" w:cs="Times New Roman"/>
                <w:color w:val="auto"/>
                <w:sz w:val="20"/>
                <w:szCs w:val="20"/>
                <w:lang w:eastAsia="en-AU"/>
              </w:rPr>
            </w:pPr>
          </w:p>
        </w:tc>
        <w:tc>
          <w:tcPr>
            <w:tcW w:w="882" w:type="dxa"/>
            <w:tcBorders>
              <w:top w:val="nil"/>
              <w:left w:val="nil"/>
              <w:bottom w:val="nil"/>
              <w:right w:val="nil"/>
            </w:tcBorders>
            <w:noWrap/>
            <w:vAlign w:val="bottom"/>
            <w:hideMark/>
          </w:tcPr>
          <w:p w14:paraId="456FC47E"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vAlign w:val="bottom"/>
            <w:hideMark/>
          </w:tcPr>
          <w:p w14:paraId="6BD1E006"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6D8C469B"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5F056352" w14:textId="77777777" w:rsidTr="00A41A49">
        <w:trPr>
          <w:trHeight w:val="244"/>
        </w:trPr>
        <w:tc>
          <w:tcPr>
            <w:tcW w:w="5628" w:type="dxa"/>
            <w:tcBorders>
              <w:top w:val="nil"/>
              <w:left w:val="nil"/>
              <w:bottom w:val="nil"/>
              <w:right w:val="nil"/>
            </w:tcBorders>
            <w:shd w:val="clear" w:color="000000" w:fill="FFFFFF"/>
            <w:hideMark/>
          </w:tcPr>
          <w:p w14:paraId="20E5274F"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Receipts from government </w:t>
            </w:r>
          </w:p>
        </w:tc>
        <w:tc>
          <w:tcPr>
            <w:tcW w:w="935" w:type="dxa"/>
            <w:tcBorders>
              <w:top w:val="nil"/>
              <w:left w:val="nil"/>
              <w:bottom w:val="nil"/>
              <w:right w:val="nil"/>
            </w:tcBorders>
            <w:noWrap/>
            <w:vAlign w:val="bottom"/>
            <w:hideMark/>
          </w:tcPr>
          <w:p w14:paraId="1221CFC7"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931" w:type="dxa"/>
            <w:tcBorders>
              <w:top w:val="nil"/>
              <w:left w:val="nil"/>
              <w:bottom w:val="nil"/>
              <w:right w:val="nil"/>
            </w:tcBorders>
            <w:noWrap/>
            <w:vAlign w:val="bottom"/>
            <w:hideMark/>
          </w:tcPr>
          <w:p w14:paraId="362CC31C"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52,208 </w:t>
            </w:r>
          </w:p>
        </w:tc>
        <w:tc>
          <w:tcPr>
            <w:tcW w:w="882" w:type="dxa"/>
            <w:tcBorders>
              <w:top w:val="nil"/>
              <w:left w:val="nil"/>
              <w:bottom w:val="nil"/>
              <w:right w:val="nil"/>
            </w:tcBorders>
            <w:noWrap/>
            <w:vAlign w:val="bottom"/>
            <w:hideMark/>
          </w:tcPr>
          <w:p w14:paraId="6E45DD64"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57,414 </w:t>
            </w:r>
          </w:p>
        </w:tc>
        <w:tc>
          <w:tcPr>
            <w:tcW w:w="329" w:type="dxa"/>
            <w:tcBorders>
              <w:top w:val="nil"/>
              <w:left w:val="nil"/>
              <w:bottom w:val="nil"/>
              <w:right w:val="nil"/>
            </w:tcBorders>
            <w:noWrap/>
            <w:vAlign w:val="bottom"/>
            <w:hideMark/>
          </w:tcPr>
          <w:p w14:paraId="094B2577"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nil"/>
              <w:right w:val="nil"/>
            </w:tcBorders>
            <w:noWrap/>
            <w:vAlign w:val="bottom"/>
            <w:hideMark/>
          </w:tcPr>
          <w:p w14:paraId="22E8FB82"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55,291 </w:t>
            </w:r>
          </w:p>
        </w:tc>
      </w:tr>
      <w:tr w:rsidR="00377CCF" w:rsidRPr="00245485" w14:paraId="78E31267" w14:textId="77777777" w:rsidTr="00A41A49">
        <w:trPr>
          <w:trHeight w:val="244"/>
        </w:trPr>
        <w:tc>
          <w:tcPr>
            <w:tcW w:w="5628" w:type="dxa"/>
            <w:tcBorders>
              <w:top w:val="nil"/>
              <w:left w:val="nil"/>
              <w:bottom w:val="nil"/>
              <w:right w:val="nil"/>
            </w:tcBorders>
            <w:shd w:val="clear" w:color="000000" w:fill="FFFFFF"/>
            <w:hideMark/>
          </w:tcPr>
          <w:p w14:paraId="6CC02A5C"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Sale of goods, rendering of services, and other revenue</w:t>
            </w:r>
          </w:p>
        </w:tc>
        <w:tc>
          <w:tcPr>
            <w:tcW w:w="935" w:type="dxa"/>
            <w:tcBorders>
              <w:top w:val="nil"/>
              <w:left w:val="nil"/>
              <w:bottom w:val="nil"/>
              <w:right w:val="nil"/>
            </w:tcBorders>
            <w:noWrap/>
            <w:vAlign w:val="bottom"/>
            <w:hideMark/>
          </w:tcPr>
          <w:p w14:paraId="23260901"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931" w:type="dxa"/>
            <w:tcBorders>
              <w:top w:val="nil"/>
              <w:left w:val="nil"/>
              <w:bottom w:val="nil"/>
              <w:right w:val="nil"/>
            </w:tcBorders>
            <w:noWrap/>
            <w:vAlign w:val="bottom"/>
            <w:hideMark/>
          </w:tcPr>
          <w:p w14:paraId="05342F54"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932 </w:t>
            </w:r>
          </w:p>
        </w:tc>
        <w:tc>
          <w:tcPr>
            <w:tcW w:w="882" w:type="dxa"/>
            <w:tcBorders>
              <w:top w:val="nil"/>
              <w:left w:val="nil"/>
              <w:bottom w:val="nil"/>
              <w:right w:val="nil"/>
            </w:tcBorders>
            <w:noWrap/>
            <w:vAlign w:val="bottom"/>
            <w:hideMark/>
          </w:tcPr>
          <w:p w14:paraId="3E08535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410 </w:t>
            </w:r>
          </w:p>
        </w:tc>
        <w:tc>
          <w:tcPr>
            <w:tcW w:w="329" w:type="dxa"/>
            <w:tcBorders>
              <w:top w:val="nil"/>
              <w:left w:val="nil"/>
              <w:bottom w:val="nil"/>
              <w:right w:val="nil"/>
            </w:tcBorders>
            <w:noWrap/>
            <w:vAlign w:val="bottom"/>
            <w:hideMark/>
          </w:tcPr>
          <w:p w14:paraId="60717EA0"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nil"/>
              <w:right w:val="nil"/>
            </w:tcBorders>
            <w:noWrap/>
            <w:vAlign w:val="bottom"/>
            <w:hideMark/>
          </w:tcPr>
          <w:p w14:paraId="7D13BA68"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898 </w:t>
            </w:r>
          </w:p>
        </w:tc>
      </w:tr>
      <w:tr w:rsidR="00377CCF" w:rsidRPr="00245485" w14:paraId="09C1B24A" w14:textId="77777777" w:rsidTr="00A41A49">
        <w:trPr>
          <w:trHeight w:val="244"/>
        </w:trPr>
        <w:tc>
          <w:tcPr>
            <w:tcW w:w="5628" w:type="dxa"/>
            <w:tcBorders>
              <w:top w:val="nil"/>
              <w:left w:val="nil"/>
              <w:bottom w:val="nil"/>
              <w:right w:val="nil"/>
            </w:tcBorders>
            <w:shd w:val="clear" w:color="000000" w:fill="FFFFFF"/>
            <w:hideMark/>
          </w:tcPr>
          <w:p w14:paraId="3A45E58A"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Interest</w:t>
            </w:r>
          </w:p>
        </w:tc>
        <w:tc>
          <w:tcPr>
            <w:tcW w:w="935" w:type="dxa"/>
            <w:tcBorders>
              <w:top w:val="nil"/>
              <w:left w:val="nil"/>
              <w:bottom w:val="nil"/>
              <w:right w:val="nil"/>
            </w:tcBorders>
            <w:noWrap/>
            <w:vAlign w:val="bottom"/>
            <w:hideMark/>
          </w:tcPr>
          <w:p w14:paraId="2683BD2B"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931" w:type="dxa"/>
            <w:tcBorders>
              <w:top w:val="nil"/>
              <w:left w:val="nil"/>
              <w:bottom w:val="nil"/>
              <w:right w:val="nil"/>
            </w:tcBorders>
            <w:noWrap/>
            <w:vAlign w:val="bottom"/>
            <w:hideMark/>
          </w:tcPr>
          <w:p w14:paraId="26FCF2E3"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3,135 </w:t>
            </w:r>
          </w:p>
        </w:tc>
        <w:tc>
          <w:tcPr>
            <w:tcW w:w="882" w:type="dxa"/>
            <w:tcBorders>
              <w:top w:val="nil"/>
              <w:left w:val="nil"/>
              <w:bottom w:val="nil"/>
              <w:right w:val="nil"/>
            </w:tcBorders>
            <w:noWrap/>
            <w:vAlign w:val="bottom"/>
            <w:hideMark/>
          </w:tcPr>
          <w:p w14:paraId="50FEC741"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2,317 </w:t>
            </w:r>
          </w:p>
        </w:tc>
        <w:tc>
          <w:tcPr>
            <w:tcW w:w="329" w:type="dxa"/>
            <w:tcBorders>
              <w:top w:val="nil"/>
              <w:left w:val="nil"/>
              <w:bottom w:val="nil"/>
              <w:right w:val="nil"/>
            </w:tcBorders>
            <w:noWrap/>
            <w:vAlign w:val="bottom"/>
            <w:hideMark/>
          </w:tcPr>
          <w:p w14:paraId="592EEBD1"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nil"/>
              <w:right w:val="nil"/>
            </w:tcBorders>
            <w:noWrap/>
            <w:vAlign w:val="bottom"/>
            <w:hideMark/>
          </w:tcPr>
          <w:p w14:paraId="78199DA5"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1,800 </w:t>
            </w:r>
          </w:p>
        </w:tc>
      </w:tr>
      <w:tr w:rsidR="00377CCF" w:rsidRPr="00245485" w14:paraId="6082D925" w14:textId="77777777" w:rsidTr="00A41A49">
        <w:trPr>
          <w:trHeight w:val="259"/>
        </w:trPr>
        <w:tc>
          <w:tcPr>
            <w:tcW w:w="5628" w:type="dxa"/>
            <w:tcBorders>
              <w:top w:val="nil"/>
              <w:left w:val="nil"/>
              <w:bottom w:val="nil"/>
              <w:right w:val="nil"/>
            </w:tcBorders>
            <w:shd w:val="clear" w:color="000000" w:fill="FFFFFF"/>
            <w:hideMark/>
          </w:tcPr>
          <w:p w14:paraId="66E1715C"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Net GST received</w:t>
            </w:r>
          </w:p>
        </w:tc>
        <w:tc>
          <w:tcPr>
            <w:tcW w:w="935" w:type="dxa"/>
            <w:tcBorders>
              <w:top w:val="nil"/>
              <w:left w:val="nil"/>
              <w:bottom w:val="nil"/>
              <w:right w:val="nil"/>
            </w:tcBorders>
            <w:noWrap/>
            <w:vAlign w:val="bottom"/>
            <w:hideMark/>
          </w:tcPr>
          <w:p w14:paraId="71C6C444"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931" w:type="dxa"/>
            <w:tcBorders>
              <w:top w:val="nil"/>
              <w:left w:val="nil"/>
              <w:bottom w:val="nil"/>
              <w:right w:val="nil"/>
            </w:tcBorders>
            <w:noWrap/>
            <w:vAlign w:val="bottom"/>
            <w:hideMark/>
          </w:tcPr>
          <w:p w14:paraId="7164497B"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3,488 </w:t>
            </w:r>
          </w:p>
        </w:tc>
        <w:tc>
          <w:tcPr>
            <w:tcW w:w="882" w:type="dxa"/>
            <w:tcBorders>
              <w:top w:val="nil"/>
              <w:left w:val="nil"/>
              <w:bottom w:val="nil"/>
              <w:right w:val="nil"/>
            </w:tcBorders>
            <w:noWrap/>
            <w:vAlign w:val="bottom"/>
            <w:hideMark/>
          </w:tcPr>
          <w:p w14:paraId="2F63D95D"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3,088 </w:t>
            </w:r>
          </w:p>
        </w:tc>
        <w:tc>
          <w:tcPr>
            <w:tcW w:w="329" w:type="dxa"/>
            <w:tcBorders>
              <w:top w:val="nil"/>
              <w:left w:val="nil"/>
              <w:bottom w:val="nil"/>
              <w:right w:val="nil"/>
            </w:tcBorders>
            <w:noWrap/>
            <w:vAlign w:val="bottom"/>
            <w:hideMark/>
          </w:tcPr>
          <w:p w14:paraId="24968AFF"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nil"/>
              <w:right w:val="nil"/>
            </w:tcBorders>
            <w:noWrap/>
            <w:vAlign w:val="bottom"/>
            <w:hideMark/>
          </w:tcPr>
          <w:p w14:paraId="3E5F13AE"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4,354 </w:t>
            </w:r>
          </w:p>
        </w:tc>
      </w:tr>
      <w:tr w:rsidR="00377CCF" w:rsidRPr="00245485" w14:paraId="2FC58452" w14:textId="77777777" w:rsidTr="00A41A49">
        <w:trPr>
          <w:trHeight w:val="244"/>
        </w:trPr>
        <w:tc>
          <w:tcPr>
            <w:tcW w:w="5628" w:type="dxa"/>
            <w:tcBorders>
              <w:top w:val="nil"/>
              <w:left w:val="nil"/>
              <w:bottom w:val="nil"/>
              <w:right w:val="nil"/>
            </w:tcBorders>
            <w:noWrap/>
            <w:vAlign w:val="bottom"/>
            <w:hideMark/>
          </w:tcPr>
          <w:p w14:paraId="16D13F9A"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Total cash received</w:t>
            </w:r>
          </w:p>
        </w:tc>
        <w:tc>
          <w:tcPr>
            <w:tcW w:w="935" w:type="dxa"/>
            <w:tcBorders>
              <w:top w:val="nil"/>
              <w:left w:val="nil"/>
              <w:bottom w:val="nil"/>
              <w:right w:val="nil"/>
            </w:tcBorders>
            <w:noWrap/>
            <w:vAlign w:val="bottom"/>
            <w:hideMark/>
          </w:tcPr>
          <w:p w14:paraId="7481C4A5"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single" w:sz="4" w:space="0" w:color="auto"/>
              <w:left w:val="nil"/>
              <w:bottom w:val="single" w:sz="4" w:space="0" w:color="auto"/>
              <w:right w:val="nil"/>
            </w:tcBorders>
            <w:noWrap/>
            <w:vAlign w:val="bottom"/>
            <w:hideMark/>
          </w:tcPr>
          <w:p w14:paraId="3161D5A5"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59,763 </w:t>
            </w:r>
          </w:p>
        </w:tc>
        <w:tc>
          <w:tcPr>
            <w:tcW w:w="882" w:type="dxa"/>
            <w:tcBorders>
              <w:top w:val="single" w:sz="4" w:space="0" w:color="auto"/>
              <w:left w:val="nil"/>
              <w:bottom w:val="single" w:sz="4" w:space="0" w:color="auto"/>
              <w:right w:val="nil"/>
            </w:tcBorders>
            <w:noWrap/>
            <w:vAlign w:val="bottom"/>
            <w:hideMark/>
          </w:tcPr>
          <w:p w14:paraId="114DDD68"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63,229 </w:t>
            </w:r>
          </w:p>
        </w:tc>
        <w:tc>
          <w:tcPr>
            <w:tcW w:w="329" w:type="dxa"/>
            <w:tcBorders>
              <w:top w:val="nil"/>
              <w:left w:val="nil"/>
              <w:bottom w:val="nil"/>
              <w:right w:val="nil"/>
            </w:tcBorders>
            <w:noWrap/>
            <w:vAlign w:val="bottom"/>
            <w:hideMark/>
          </w:tcPr>
          <w:p w14:paraId="733396AD"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single" w:sz="4" w:space="0" w:color="auto"/>
              <w:left w:val="nil"/>
              <w:bottom w:val="single" w:sz="4" w:space="0" w:color="auto"/>
              <w:right w:val="nil"/>
            </w:tcBorders>
            <w:noWrap/>
            <w:vAlign w:val="bottom"/>
            <w:hideMark/>
          </w:tcPr>
          <w:p w14:paraId="1D285805"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62,343 </w:t>
            </w:r>
          </w:p>
        </w:tc>
      </w:tr>
      <w:tr w:rsidR="00377CCF" w:rsidRPr="00245485" w14:paraId="4ECA5C5B" w14:textId="77777777" w:rsidTr="00A41A49">
        <w:trPr>
          <w:trHeight w:val="210"/>
        </w:trPr>
        <w:tc>
          <w:tcPr>
            <w:tcW w:w="5628" w:type="dxa"/>
            <w:tcBorders>
              <w:top w:val="nil"/>
              <w:left w:val="nil"/>
              <w:bottom w:val="nil"/>
              <w:right w:val="nil"/>
            </w:tcBorders>
            <w:noWrap/>
            <w:vAlign w:val="bottom"/>
            <w:hideMark/>
          </w:tcPr>
          <w:p w14:paraId="477202B9"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35" w:type="dxa"/>
            <w:tcBorders>
              <w:top w:val="nil"/>
              <w:left w:val="nil"/>
              <w:bottom w:val="nil"/>
              <w:right w:val="nil"/>
            </w:tcBorders>
            <w:noWrap/>
            <w:vAlign w:val="bottom"/>
            <w:hideMark/>
          </w:tcPr>
          <w:p w14:paraId="7BDF513D"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931" w:type="dxa"/>
            <w:tcBorders>
              <w:top w:val="nil"/>
              <w:left w:val="nil"/>
              <w:bottom w:val="nil"/>
              <w:right w:val="nil"/>
            </w:tcBorders>
            <w:noWrap/>
            <w:vAlign w:val="bottom"/>
            <w:hideMark/>
          </w:tcPr>
          <w:p w14:paraId="413C8FCA" w14:textId="77777777" w:rsidR="00377CCF" w:rsidRPr="00245485" w:rsidRDefault="00377CCF" w:rsidP="00856101">
            <w:pPr>
              <w:spacing w:after="0" w:line="240" w:lineRule="auto"/>
              <w:jc w:val="center"/>
              <w:rPr>
                <w:rFonts w:ascii="Times New Roman" w:eastAsia="Times New Roman" w:hAnsi="Times New Roman" w:cs="Times New Roman"/>
                <w:color w:val="auto"/>
                <w:sz w:val="20"/>
                <w:szCs w:val="20"/>
                <w:lang w:eastAsia="en-AU"/>
              </w:rPr>
            </w:pPr>
          </w:p>
        </w:tc>
        <w:tc>
          <w:tcPr>
            <w:tcW w:w="882" w:type="dxa"/>
            <w:tcBorders>
              <w:top w:val="nil"/>
              <w:left w:val="nil"/>
              <w:bottom w:val="nil"/>
              <w:right w:val="nil"/>
            </w:tcBorders>
            <w:noWrap/>
            <w:vAlign w:val="bottom"/>
            <w:hideMark/>
          </w:tcPr>
          <w:p w14:paraId="4B651153"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vAlign w:val="bottom"/>
            <w:hideMark/>
          </w:tcPr>
          <w:p w14:paraId="7F5667ED"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30DDF9F1"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3EE36011" w14:textId="77777777" w:rsidTr="00A41A49">
        <w:trPr>
          <w:trHeight w:val="244"/>
        </w:trPr>
        <w:tc>
          <w:tcPr>
            <w:tcW w:w="5628" w:type="dxa"/>
            <w:tcBorders>
              <w:top w:val="nil"/>
              <w:left w:val="nil"/>
              <w:bottom w:val="nil"/>
              <w:right w:val="nil"/>
            </w:tcBorders>
            <w:noWrap/>
            <w:vAlign w:val="bottom"/>
            <w:hideMark/>
          </w:tcPr>
          <w:p w14:paraId="4445E5AD"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Cash used</w:t>
            </w:r>
          </w:p>
        </w:tc>
        <w:tc>
          <w:tcPr>
            <w:tcW w:w="935" w:type="dxa"/>
            <w:tcBorders>
              <w:top w:val="nil"/>
              <w:left w:val="nil"/>
              <w:bottom w:val="nil"/>
              <w:right w:val="nil"/>
            </w:tcBorders>
            <w:noWrap/>
            <w:vAlign w:val="bottom"/>
            <w:hideMark/>
          </w:tcPr>
          <w:p w14:paraId="4888F6CA"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nil"/>
              <w:left w:val="nil"/>
              <w:bottom w:val="nil"/>
              <w:right w:val="nil"/>
            </w:tcBorders>
            <w:noWrap/>
            <w:vAlign w:val="bottom"/>
            <w:hideMark/>
          </w:tcPr>
          <w:p w14:paraId="49706E29" w14:textId="77777777" w:rsidR="00377CCF" w:rsidRPr="00245485" w:rsidRDefault="00377CCF" w:rsidP="00856101">
            <w:pPr>
              <w:spacing w:after="0" w:line="240" w:lineRule="auto"/>
              <w:jc w:val="center"/>
              <w:rPr>
                <w:rFonts w:ascii="Times New Roman" w:eastAsia="Times New Roman" w:hAnsi="Times New Roman" w:cs="Times New Roman"/>
                <w:color w:val="auto"/>
                <w:sz w:val="20"/>
                <w:szCs w:val="20"/>
                <w:lang w:eastAsia="en-AU"/>
              </w:rPr>
            </w:pPr>
          </w:p>
        </w:tc>
        <w:tc>
          <w:tcPr>
            <w:tcW w:w="882" w:type="dxa"/>
            <w:tcBorders>
              <w:top w:val="nil"/>
              <w:left w:val="nil"/>
              <w:bottom w:val="nil"/>
              <w:right w:val="nil"/>
            </w:tcBorders>
            <w:noWrap/>
            <w:vAlign w:val="bottom"/>
            <w:hideMark/>
          </w:tcPr>
          <w:p w14:paraId="793EFF5F"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vAlign w:val="bottom"/>
            <w:hideMark/>
          </w:tcPr>
          <w:p w14:paraId="00D7CF9C"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72443CF4"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565B169A" w14:textId="77777777" w:rsidTr="00A41A49">
        <w:trPr>
          <w:trHeight w:val="244"/>
        </w:trPr>
        <w:tc>
          <w:tcPr>
            <w:tcW w:w="5628" w:type="dxa"/>
            <w:tcBorders>
              <w:top w:val="nil"/>
              <w:left w:val="nil"/>
              <w:bottom w:val="nil"/>
              <w:right w:val="nil"/>
            </w:tcBorders>
            <w:shd w:val="clear" w:color="000000" w:fill="FFFFFF"/>
            <w:hideMark/>
          </w:tcPr>
          <w:p w14:paraId="33E9421F"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Employees</w:t>
            </w:r>
          </w:p>
        </w:tc>
        <w:tc>
          <w:tcPr>
            <w:tcW w:w="935" w:type="dxa"/>
            <w:tcBorders>
              <w:top w:val="nil"/>
              <w:left w:val="nil"/>
              <w:bottom w:val="nil"/>
              <w:right w:val="nil"/>
            </w:tcBorders>
            <w:noWrap/>
            <w:vAlign w:val="bottom"/>
            <w:hideMark/>
          </w:tcPr>
          <w:p w14:paraId="169A5FDA"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931" w:type="dxa"/>
            <w:tcBorders>
              <w:top w:val="nil"/>
              <w:left w:val="nil"/>
              <w:bottom w:val="nil"/>
              <w:right w:val="nil"/>
            </w:tcBorders>
            <w:noWrap/>
            <w:vAlign w:val="bottom"/>
            <w:hideMark/>
          </w:tcPr>
          <w:p w14:paraId="3B5BF7B3"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(1,178)</w:t>
            </w:r>
          </w:p>
        </w:tc>
        <w:tc>
          <w:tcPr>
            <w:tcW w:w="882" w:type="dxa"/>
            <w:tcBorders>
              <w:top w:val="nil"/>
              <w:left w:val="nil"/>
              <w:bottom w:val="nil"/>
              <w:right w:val="nil"/>
            </w:tcBorders>
            <w:noWrap/>
            <w:vAlign w:val="bottom"/>
            <w:hideMark/>
          </w:tcPr>
          <w:p w14:paraId="523A6F22"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(1,177)</w:t>
            </w:r>
          </w:p>
        </w:tc>
        <w:tc>
          <w:tcPr>
            <w:tcW w:w="329" w:type="dxa"/>
            <w:tcBorders>
              <w:top w:val="nil"/>
              <w:left w:val="nil"/>
              <w:bottom w:val="nil"/>
              <w:right w:val="nil"/>
            </w:tcBorders>
            <w:noWrap/>
            <w:vAlign w:val="bottom"/>
            <w:hideMark/>
          </w:tcPr>
          <w:p w14:paraId="26C654C7"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nil"/>
              <w:right w:val="nil"/>
            </w:tcBorders>
            <w:noWrap/>
            <w:vAlign w:val="bottom"/>
            <w:hideMark/>
          </w:tcPr>
          <w:p w14:paraId="21AF1F9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(1,188)</w:t>
            </w:r>
          </w:p>
        </w:tc>
      </w:tr>
      <w:tr w:rsidR="00377CCF" w:rsidRPr="00245485" w14:paraId="46152FDB" w14:textId="77777777" w:rsidTr="00A41A49">
        <w:trPr>
          <w:trHeight w:val="292"/>
        </w:trPr>
        <w:tc>
          <w:tcPr>
            <w:tcW w:w="5628" w:type="dxa"/>
            <w:tcBorders>
              <w:top w:val="nil"/>
              <w:left w:val="nil"/>
              <w:bottom w:val="nil"/>
              <w:right w:val="nil"/>
            </w:tcBorders>
            <w:shd w:val="clear" w:color="000000" w:fill="FFFFFF"/>
            <w:hideMark/>
          </w:tcPr>
          <w:p w14:paraId="7F7F07BB"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Suppliers</w:t>
            </w:r>
          </w:p>
        </w:tc>
        <w:tc>
          <w:tcPr>
            <w:tcW w:w="935" w:type="dxa"/>
            <w:tcBorders>
              <w:top w:val="nil"/>
              <w:left w:val="nil"/>
              <w:bottom w:val="nil"/>
              <w:right w:val="nil"/>
            </w:tcBorders>
            <w:noWrap/>
            <w:vAlign w:val="bottom"/>
            <w:hideMark/>
          </w:tcPr>
          <w:p w14:paraId="47587F74"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931" w:type="dxa"/>
            <w:tcBorders>
              <w:top w:val="nil"/>
              <w:left w:val="nil"/>
              <w:bottom w:val="nil"/>
              <w:right w:val="nil"/>
            </w:tcBorders>
            <w:noWrap/>
            <w:vAlign w:val="bottom"/>
            <w:hideMark/>
          </w:tcPr>
          <w:p w14:paraId="291E5BFC"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(37,050)</w:t>
            </w:r>
          </w:p>
        </w:tc>
        <w:tc>
          <w:tcPr>
            <w:tcW w:w="882" w:type="dxa"/>
            <w:tcBorders>
              <w:top w:val="nil"/>
              <w:left w:val="nil"/>
              <w:bottom w:val="nil"/>
              <w:right w:val="nil"/>
            </w:tcBorders>
            <w:noWrap/>
            <w:vAlign w:val="bottom"/>
            <w:hideMark/>
          </w:tcPr>
          <w:p w14:paraId="0CBB9A08"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(33,141)</w:t>
            </w:r>
          </w:p>
        </w:tc>
        <w:tc>
          <w:tcPr>
            <w:tcW w:w="329" w:type="dxa"/>
            <w:tcBorders>
              <w:top w:val="nil"/>
              <w:left w:val="nil"/>
              <w:bottom w:val="nil"/>
              <w:right w:val="nil"/>
            </w:tcBorders>
            <w:noWrap/>
            <w:vAlign w:val="bottom"/>
            <w:hideMark/>
          </w:tcPr>
          <w:p w14:paraId="1410E35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nil"/>
              <w:right w:val="nil"/>
            </w:tcBorders>
            <w:noWrap/>
            <w:vAlign w:val="bottom"/>
            <w:hideMark/>
          </w:tcPr>
          <w:p w14:paraId="66EDA664"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(59,570)</w:t>
            </w:r>
          </w:p>
        </w:tc>
      </w:tr>
      <w:tr w:rsidR="00377CCF" w:rsidRPr="00245485" w14:paraId="55E2C9F0" w14:textId="77777777" w:rsidTr="00A41A49">
        <w:trPr>
          <w:trHeight w:val="292"/>
        </w:trPr>
        <w:tc>
          <w:tcPr>
            <w:tcW w:w="5628" w:type="dxa"/>
            <w:tcBorders>
              <w:top w:val="nil"/>
              <w:left w:val="nil"/>
              <w:bottom w:val="nil"/>
              <w:right w:val="nil"/>
            </w:tcBorders>
            <w:shd w:val="clear" w:color="000000" w:fill="FFFFFF"/>
            <w:hideMark/>
          </w:tcPr>
          <w:p w14:paraId="35D9C31E"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Interest payments on lease liabilities</w:t>
            </w:r>
          </w:p>
        </w:tc>
        <w:tc>
          <w:tcPr>
            <w:tcW w:w="935" w:type="dxa"/>
            <w:tcBorders>
              <w:top w:val="nil"/>
              <w:left w:val="nil"/>
              <w:bottom w:val="nil"/>
              <w:right w:val="nil"/>
            </w:tcBorders>
            <w:noWrap/>
            <w:vAlign w:val="bottom"/>
            <w:hideMark/>
          </w:tcPr>
          <w:p w14:paraId="7E1F3893"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931" w:type="dxa"/>
            <w:tcBorders>
              <w:top w:val="nil"/>
              <w:left w:val="nil"/>
              <w:bottom w:val="nil"/>
              <w:right w:val="nil"/>
            </w:tcBorders>
            <w:noWrap/>
            <w:vAlign w:val="bottom"/>
            <w:hideMark/>
          </w:tcPr>
          <w:p w14:paraId="0ECA6813"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(135)</w:t>
            </w:r>
          </w:p>
        </w:tc>
        <w:tc>
          <w:tcPr>
            <w:tcW w:w="882" w:type="dxa"/>
            <w:tcBorders>
              <w:top w:val="nil"/>
              <w:left w:val="nil"/>
              <w:bottom w:val="nil"/>
              <w:right w:val="nil"/>
            </w:tcBorders>
            <w:noWrap/>
            <w:vAlign w:val="bottom"/>
            <w:hideMark/>
          </w:tcPr>
          <w:p w14:paraId="0607605F"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(150)</w:t>
            </w:r>
          </w:p>
        </w:tc>
        <w:tc>
          <w:tcPr>
            <w:tcW w:w="329" w:type="dxa"/>
            <w:tcBorders>
              <w:top w:val="nil"/>
              <w:left w:val="nil"/>
              <w:bottom w:val="nil"/>
              <w:right w:val="nil"/>
            </w:tcBorders>
            <w:noWrap/>
            <w:vAlign w:val="bottom"/>
            <w:hideMark/>
          </w:tcPr>
          <w:p w14:paraId="6408CA37"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nil"/>
              <w:right w:val="nil"/>
            </w:tcBorders>
            <w:noWrap/>
            <w:vAlign w:val="bottom"/>
            <w:hideMark/>
          </w:tcPr>
          <w:p w14:paraId="4042988A"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(136)</w:t>
            </w:r>
          </w:p>
        </w:tc>
      </w:tr>
      <w:tr w:rsidR="00377CCF" w:rsidRPr="00245485" w14:paraId="48AE4958" w14:textId="77777777" w:rsidTr="00A41A49">
        <w:trPr>
          <w:trHeight w:val="244"/>
        </w:trPr>
        <w:tc>
          <w:tcPr>
            <w:tcW w:w="5628" w:type="dxa"/>
            <w:tcBorders>
              <w:top w:val="nil"/>
              <w:left w:val="nil"/>
              <w:bottom w:val="nil"/>
              <w:right w:val="nil"/>
            </w:tcBorders>
            <w:noWrap/>
            <w:vAlign w:val="bottom"/>
            <w:hideMark/>
          </w:tcPr>
          <w:p w14:paraId="7869D3ED"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Total cash used</w:t>
            </w:r>
          </w:p>
        </w:tc>
        <w:tc>
          <w:tcPr>
            <w:tcW w:w="935" w:type="dxa"/>
            <w:tcBorders>
              <w:top w:val="nil"/>
              <w:left w:val="nil"/>
              <w:bottom w:val="nil"/>
              <w:right w:val="nil"/>
            </w:tcBorders>
            <w:noWrap/>
            <w:vAlign w:val="bottom"/>
            <w:hideMark/>
          </w:tcPr>
          <w:p w14:paraId="0EF41FD7"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single" w:sz="4" w:space="0" w:color="auto"/>
              <w:left w:val="nil"/>
              <w:bottom w:val="single" w:sz="4" w:space="0" w:color="auto"/>
              <w:right w:val="nil"/>
            </w:tcBorders>
            <w:noWrap/>
            <w:vAlign w:val="bottom"/>
            <w:hideMark/>
          </w:tcPr>
          <w:p w14:paraId="46762E95"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(38,363)</w:t>
            </w:r>
          </w:p>
        </w:tc>
        <w:tc>
          <w:tcPr>
            <w:tcW w:w="882" w:type="dxa"/>
            <w:tcBorders>
              <w:top w:val="single" w:sz="4" w:space="0" w:color="auto"/>
              <w:left w:val="nil"/>
              <w:bottom w:val="single" w:sz="4" w:space="0" w:color="auto"/>
              <w:right w:val="nil"/>
            </w:tcBorders>
            <w:noWrap/>
            <w:vAlign w:val="bottom"/>
            <w:hideMark/>
          </w:tcPr>
          <w:p w14:paraId="3EE5DBCD"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(34,468)</w:t>
            </w:r>
          </w:p>
        </w:tc>
        <w:tc>
          <w:tcPr>
            <w:tcW w:w="329" w:type="dxa"/>
            <w:tcBorders>
              <w:top w:val="nil"/>
              <w:left w:val="nil"/>
              <w:bottom w:val="nil"/>
              <w:right w:val="nil"/>
            </w:tcBorders>
            <w:noWrap/>
            <w:vAlign w:val="bottom"/>
            <w:hideMark/>
          </w:tcPr>
          <w:p w14:paraId="132E20DD"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single" w:sz="4" w:space="0" w:color="auto"/>
              <w:left w:val="nil"/>
              <w:bottom w:val="single" w:sz="4" w:space="0" w:color="auto"/>
              <w:right w:val="nil"/>
            </w:tcBorders>
            <w:noWrap/>
            <w:vAlign w:val="bottom"/>
            <w:hideMark/>
          </w:tcPr>
          <w:p w14:paraId="6BAF8C82"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(60,894)</w:t>
            </w:r>
          </w:p>
        </w:tc>
      </w:tr>
      <w:tr w:rsidR="00377CCF" w:rsidRPr="00245485" w14:paraId="0C3B0A7A" w14:textId="77777777" w:rsidTr="00A41A49">
        <w:trPr>
          <w:trHeight w:val="244"/>
        </w:trPr>
        <w:tc>
          <w:tcPr>
            <w:tcW w:w="5628" w:type="dxa"/>
            <w:tcBorders>
              <w:top w:val="nil"/>
              <w:left w:val="nil"/>
              <w:bottom w:val="nil"/>
              <w:right w:val="nil"/>
            </w:tcBorders>
            <w:noWrap/>
            <w:vAlign w:val="bottom"/>
            <w:hideMark/>
          </w:tcPr>
          <w:p w14:paraId="61408105"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Net cash from operating activities</w:t>
            </w:r>
          </w:p>
        </w:tc>
        <w:tc>
          <w:tcPr>
            <w:tcW w:w="935" w:type="dxa"/>
            <w:tcBorders>
              <w:top w:val="nil"/>
              <w:left w:val="nil"/>
              <w:bottom w:val="nil"/>
              <w:right w:val="nil"/>
            </w:tcBorders>
            <w:noWrap/>
            <w:vAlign w:val="bottom"/>
            <w:hideMark/>
          </w:tcPr>
          <w:p w14:paraId="02A284AC"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nil"/>
              <w:left w:val="nil"/>
              <w:bottom w:val="single" w:sz="4" w:space="0" w:color="auto"/>
              <w:right w:val="nil"/>
            </w:tcBorders>
            <w:noWrap/>
            <w:vAlign w:val="bottom"/>
            <w:hideMark/>
          </w:tcPr>
          <w:p w14:paraId="2FC86485"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21,400 </w:t>
            </w:r>
          </w:p>
        </w:tc>
        <w:tc>
          <w:tcPr>
            <w:tcW w:w="882" w:type="dxa"/>
            <w:tcBorders>
              <w:top w:val="nil"/>
              <w:left w:val="nil"/>
              <w:bottom w:val="single" w:sz="4" w:space="0" w:color="auto"/>
              <w:right w:val="nil"/>
            </w:tcBorders>
            <w:noWrap/>
            <w:vAlign w:val="bottom"/>
            <w:hideMark/>
          </w:tcPr>
          <w:p w14:paraId="35C51856"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28,761 </w:t>
            </w:r>
          </w:p>
        </w:tc>
        <w:tc>
          <w:tcPr>
            <w:tcW w:w="329" w:type="dxa"/>
            <w:tcBorders>
              <w:top w:val="nil"/>
              <w:left w:val="nil"/>
              <w:bottom w:val="nil"/>
              <w:right w:val="nil"/>
            </w:tcBorders>
            <w:noWrap/>
            <w:vAlign w:val="bottom"/>
            <w:hideMark/>
          </w:tcPr>
          <w:p w14:paraId="654379CD"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single" w:sz="4" w:space="0" w:color="auto"/>
              <w:right w:val="nil"/>
            </w:tcBorders>
            <w:noWrap/>
            <w:vAlign w:val="bottom"/>
            <w:hideMark/>
          </w:tcPr>
          <w:p w14:paraId="68A49027"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1,449 </w:t>
            </w:r>
          </w:p>
        </w:tc>
      </w:tr>
      <w:tr w:rsidR="00377CCF" w:rsidRPr="00245485" w14:paraId="055149E2" w14:textId="77777777" w:rsidTr="00A41A49">
        <w:trPr>
          <w:trHeight w:val="210"/>
        </w:trPr>
        <w:tc>
          <w:tcPr>
            <w:tcW w:w="5628" w:type="dxa"/>
            <w:tcBorders>
              <w:top w:val="nil"/>
              <w:left w:val="nil"/>
              <w:bottom w:val="nil"/>
              <w:right w:val="nil"/>
            </w:tcBorders>
            <w:noWrap/>
            <w:vAlign w:val="bottom"/>
            <w:hideMark/>
          </w:tcPr>
          <w:p w14:paraId="500DA9C9"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35" w:type="dxa"/>
            <w:tcBorders>
              <w:top w:val="nil"/>
              <w:left w:val="nil"/>
              <w:bottom w:val="nil"/>
              <w:right w:val="nil"/>
            </w:tcBorders>
            <w:noWrap/>
            <w:vAlign w:val="bottom"/>
            <w:hideMark/>
          </w:tcPr>
          <w:p w14:paraId="37375817"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931" w:type="dxa"/>
            <w:tcBorders>
              <w:top w:val="nil"/>
              <w:left w:val="nil"/>
              <w:bottom w:val="nil"/>
              <w:right w:val="nil"/>
            </w:tcBorders>
            <w:noWrap/>
            <w:vAlign w:val="bottom"/>
            <w:hideMark/>
          </w:tcPr>
          <w:p w14:paraId="613B3C8D" w14:textId="77777777" w:rsidR="00377CCF" w:rsidRPr="00245485" w:rsidRDefault="00377CCF" w:rsidP="00856101">
            <w:pPr>
              <w:spacing w:after="0" w:line="240" w:lineRule="auto"/>
              <w:jc w:val="center"/>
              <w:rPr>
                <w:rFonts w:ascii="Times New Roman" w:eastAsia="Times New Roman" w:hAnsi="Times New Roman" w:cs="Times New Roman"/>
                <w:color w:val="auto"/>
                <w:sz w:val="20"/>
                <w:szCs w:val="20"/>
                <w:lang w:eastAsia="en-AU"/>
              </w:rPr>
            </w:pPr>
          </w:p>
        </w:tc>
        <w:tc>
          <w:tcPr>
            <w:tcW w:w="882" w:type="dxa"/>
            <w:tcBorders>
              <w:top w:val="nil"/>
              <w:left w:val="nil"/>
              <w:bottom w:val="nil"/>
              <w:right w:val="nil"/>
            </w:tcBorders>
            <w:noWrap/>
            <w:vAlign w:val="bottom"/>
            <w:hideMark/>
          </w:tcPr>
          <w:p w14:paraId="388ED107"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vAlign w:val="bottom"/>
            <w:hideMark/>
          </w:tcPr>
          <w:p w14:paraId="59F5D148"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466AABE5"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15545E38" w14:textId="77777777" w:rsidTr="00A41A49">
        <w:trPr>
          <w:trHeight w:val="304"/>
        </w:trPr>
        <w:tc>
          <w:tcPr>
            <w:tcW w:w="5628" w:type="dxa"/>
            <w:tcBorders>
              <w:top w:val="nil"/>
              <w:left w:val="nil"/>
              <w:bottom w:val="nil"/>
              <w:right w:val="nil"/>
            </w:tcBorders>
            <w:noWrap/>
            <w:vAlign w:val="bottom"/>
            <w:hideMark/>
          </w:tcPr>
          <w:p w14:paraId="1A8C26D7"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INVESTING ACTIVITIES</w:t>
            </w:r>
          </w:p>
        </w:tc>
        <w:tc>
          <w:tcPr>
            <w:tcW w:w="935" w:type="dxa"/>
            <w:tcBorders>
              <w:top w:val="nil"/>
              <w:left w:val="nil"/>
              <w:bottom w:val="nil"/>
              <w:right w:val="nil"/>
            </w:tcBorders>
            <w:noWrap/>
            <w:vAlign w:val="bottom"/>
            <w:hideMark/>
          </w:tcPr>
          <w:p w14:paraId="0DBAC161"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nil"/>
              <w:left w:val="nil"/>
              <w:bottom w:val="nil"/>
              <w:right w:val="nil"/>
            </w:tcBorders>
            <w:noWrap/>
            <w:vAlign w:val="bottom"/>
            <w:hideMark/>
          </w:tcPr>
          <w:p w14:paraId="50994D5A" w14:textId="77777777" w:rsidR="00377CCF" w:rsidRPr="00245485" w:rsidRDefault="00377CCF" w:rsidP="00856101">
            <w:pPr>
              <w:spacing w:after="0" w:line="240" w:lineRule="auto"/>
              <w:jc w:val="center"/>
              <w:rPr>
                <w:rFonts w:ascii="Times New Roman" w:eastAsia="Times New Roman" w:hAnsi="Times New Roman" w:cs="Times New Roman"/>
                <w:color w:val="auto"/>
                <w:sz w:val="20"/>
                <w:szCs w:val="20"/>
                <w:lang w:eastAsia="en-AU"/>
              </w:rPr>
            </w:pPr>
          </w:p>
        </w:tc>
        <w:tc>
          <w:tcPr>
            <w:tcW w:w="882" w:type="dxa"/>
            <w:tcBorders>
              <w:top w:val="nil"/>
              <w:left w:val="nil"/>
              <w:bottom w:val="nil"/>
              <w:right w:val="nil"/>
            </w:tcBorders>
            <w:noWrap/>
            <w:vAlign w:val="bottom"/>
            <w:hideMark/>
          </w:tcPr>
          <w:p w14:paraId="2439487E"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vAlign w:val="bottom"/>
            <w:hideMark/>
          </w:tcPr>
          <w:p w14:paraId="449ED899"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1CE842B8"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62214673" w14:textId="77777777" w:rsidTr="00A41A49">
        <w:trPr>
          <w:trHeight w:val="244"/>
        </w:trPr>
        <w:tc>
          <w:tcPr>
            <w:tcW w:w="5628" w:type="dxa"/>
            <w:tcBorders>
              <w:top w:val="nil"/>
              <w:left w:val="nil"/>
              <w:bottom w:val="nil"/>
              <w:right w:val="nil"/>
            </w:tcBorders>
            <w:shd w:val="clear" w:color="000000" w:fill="FFFFFF"/>
            <w:noWrap/>
            <w:vAlign w:val="bottom"/>
            <w:hideMark/>
          </w:tcPr>
          <w:p w14:paraId="60AF47DC"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Cash used</w:t>
            </w:r>
          </w:p>
        </w:tc>
        <w:tc>
          <w:tcPr>
            <w:tcW w:w="935" w:type="dxa"/>
            <w:tcBorders>
              <w:top w:val="nil"/>
              <w:left w:val="nil"/>
              <w:bottom w:val="nil"/>
              <w:right w:val="nil"/>
            </w:tcBorders>
            <w:shd w:val="clear" w:color="000000" w:fill="FFFFFF"/>
            <w:noWrap/>
            <w:vAlign w:val="bottom"/>
            <w:hideMark/>
          </w:tcPr>
          <w:p w14:paraId="3F64A1A2" w14:textId="77777777" w:rsidR="00377CCF" w:rsidRPr="00245485" w:rsidRDefault="00377CCF" w:rsidP="00856101">
            <w:pPr>
              <w:spacing w:after="0" w:line="240" w:lineRule="auto"/>
              <w:jc w:val="center"/>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931" w:type="dxa"/>
            <w:tcBorders>
              <w:top w:val="nil"/>
              <w:left w:val="nil"/>
              <w:bottom w:val="nil"/>
              <w:right w:val="nil"/>
            </w:tcBorders>
            <w:shd w:val="clear" w:color="000000" w:fill="FFFFFF"/>
            <w:noWrap/>
            <w:vAlign w:val="bottom"/>
            <w:hideMark/>
          </w:tcPr>
          <w:p w14:paraId="12998E1C"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w:t>
            </w:r>
          </w:p>
        </w:tc>
        <w:tc>
          <w:tcPr>
            <w:tcW w:w="882" w:type="dxa"/>
            <w:tcBorders>
              <w:top w:val="nil"/>
              <w:left w:val="nil"/>
              <w:bottom w:val="nil"/>
              <w:right w:val="nil"/>
            </w:tcBorders>
            <w:shd w:val="clear" w:color="000000" w:fill="FFFFFF"/>
            <w:noWrap/>
            <w:vAlign w:val="bottom"/>
            <w:hideMark/>
          </w:tcPr>
          <w:p w14:paraId="27ED7BE0"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329" w:type="dxa"/>
            <w:tcBorders>
              <w:top w:val="nil"/>
              <w:left w:val="nil"/>
              <w:bottom w:val="nil"/>
              <w:right w:val="nil"/>
            </w:tcBorders>
            <w:shd w:val="clear" w:color="000000" w:fill="FFFFFF"/>
            <w:noWrap/>
            <w:vAlign w:val="bottom"/>
            <w:hideMark/>
          </w:tcPr>
          <w:p w14:paraId="5CB60096"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984" w:type="dxa"/>
            <w:tcBorders>
              <w:top w:val="nil"/>
              <w:left w:val="nil"/>
              <w:bottom w:val="nil"/>
              <w:right w:val="nil"/>
            </w:tcBorders>
            <w:shd w:val="clear" w:color="000000" w:fill="FFFFFF"/>
            <w:noWrap/>
            <w:vAlign w:val="bottom"/>
            <w:hideMark/>
          </w:tcPr>
          <w:p w14:paraId="4D416DE2"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r>
      <w:tr w:rsidR="00377CCF" w:rsidRPr="00245485" w14:paraId="21DA08D5" w14:textId="77777777" w:rsidTr="00A41A49">
        <w:trPr>
          <w:trHeight w:val="292"/>
        </w:trPr>
        <w:tc>
          <w:tcPr>
            <w:tcW w:w="5628" w:type="dxa"/>
            <w:tcBorders>
              <w:top w:val="nil"/>
              <w:left w:val="nil"/>
              <w:bottom w:val="nil"/>
              <w:right w:val="nil"/>
            </w:tcBorders>
            <w:shd w:val="clear" w:color="000000" w:fill="FFFFFF"/>
            <w:hideMark/>
          </w:tcPr>
          <w:p w14:paraId="31989154"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Purchase of leasehold improvements</w:t>
            </w:r>
          </w:p>
        </w:tc>
        <w:tc>
          <w:tcPr>
            <w:tcW w:w="935" w:type="dxa"/>
            <w:tcBorders>
              <w:top w:val="nil"/>
              <w:left w:val="nil"/>
              <w:bottom w:val="nil"/>
              <w:right w:val="nil"/>
            </w:tcBorders>
            <w:shd w:val="clear" w:color="000000" w:fill="FFFFFF"/>
            <w:noWrap/>
            <w:vAlign w:val="bottom"/>
            <w:hideMark/>
          </w:tcPr>
          <w:p w14:paraId="450C1E67" w14:textId="77777777" w:rsidR="00377CCF" w:rsidRPr="00245485" w:rsidRDefault="00377CCF" w:rsidP="00856101">
            <w:pPr>
              <w:spacing w:after="0" w:line="240" w:lineRule="auto"/>
              <w:jc w:val="center"/>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931" w:type="dxa"/>
            <w:tcBorders>
              <w:top w:val="nil"/>
              <w:left w:val="nil"/>
              <w:bottom w:val="nil"/>
              <w:right w:val="nil"/>
            </w:tcBorders>
            <w:noWrap/>
            <w:vAlign w:val="bottom"/>
            <w:hideMark/>
          </w:tcPr>
          <w:p w14:paraId="7CF73BEB"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(121)</w:t>
            </w:r>
          </w:p>
        </w:tc>
        <w:tc>
          <w:tcPr>
            <w:tcW w:w="882" w:type="dxa"/>
            <w:tcBorders>
              <w:top w:val="nil"/>
              <w:left w:val="nil"/>
              <w:bottom w:val="nil"/>
              <w:right w:val="nil"/>
            </w:tcBorders>
            <w:shd w:val="clear" w:color="000000" w:fill="FFFFFF"/>
            <w:noWrap/>
            <w:vAlign w:val="bottom"/>
            <w:hideMark/>
          </w:tcPr>
          <w:p w14:paraId="33C292CB"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 - </w:t>
            </w:r>
          </w:p>
        </w:tc>
        <w:tc>
          <w:tcPr>
            <w:tcW w:w="329" w:type="dxa"/>
            <w:tcBorders>
              <w:top w:val="nil"/>
              <w:left w:val="nil"/>
              <w:bottom w:val="nil"/>
              <w:right w:val="nil"/>
            </w:tcBorders>
            <w:shd w:val="clear" w:color="000000" w:fill="FFFFFF"/>
            <w:noWrap/>
            <w:vAlign w:val="bottom"/>
            <w:hideMark/>
          </w:tcPr>
          <w:p w14:paraId="4A86494A"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w:t>
            </w:r>
          </w:p>
        </w:tc>
        <w:tc>
          <w:tcPr>
            <w:tcW w:w="984" w:type="dxa"/>
            <w:tcBorders>
              <w:top w:val="nil"/>
              <w:left w:val="nil"/>
              <w:bottom w:val="nil"/>
              <w:right w:val="nil"/>
            </w:tcBorders>
            <w:noWrap/>
            <w:vAlign w:val="bottom"/>
            <w:hideMark/>
          </w:tcPr>
          <w:p w14:paraId="1CB68A08"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 - </w:t>
            </w:r>
          </w:p>
        </w:tc>
      </w:tr>
      <w:tr w:rsidR="00377CCF" w:rsidRPr="00245485" w14:paraId="0EC728FD" w14:textId="77777777" w:rsidTr="00A41A49">
        <w:trPr>
          <w:trHeight w:val="244"/>
        </w:trPr>
        <w:tc>
          <w:tcPr>
            <w:tcW w:w="5628" w:type="dxa"/>
            <w:tcBorders>
              <w:top w:val="nil"/>
              <w:left w:val="nil"/>
              <w:bottom w:val="nil"/>
              <w:right w:val="nil"/>
            </w:tcBorders>
            <w:noWrap/>
            <w:vAlign w:val="bottom"/>
            <w:hideMark/>
          </w:tcPr>
          <w:p w14:paraId="4491A87F"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Total cash used</w:t>
            </w:r>
          </w:p>
        </w:tc>
        <w:tc>
          <w:tcPr>
            <w:tcW w:w="935" w:type="dxa"/>
            <w:tcBorders>
              <w:top w:val="nil"/>
              <w:left w:val="nil"/>
              <w:bottom w:val="nil"/>
              <w:right w:val="nil"/>
            </w:tcBorders>
            <w:noWrap/>
            <w:vAlign w:val="bottom"/>
            <w:hideMark/>
          </w:tcPr>
          <w:p w14:paraId="22F9F72A"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single" w:sz="4" w:space="0" w:color="auto"/>
              <w:left w:val="nil"/>
              <w:bottom w:val="single" w:sz="4" w:space="0" w:color="auto"/>
              <w:right w:val="nil"/>
            </w:tcBorders>
            <w:noWrap/>
            <w:vAlign w:val="bottom"/>
            <w:hideMark/>
          </w:tcPr>
          <w:p w14:paraId="6A8BD6BB"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(121)</w:t>
            </w:r>
          </w:p>
        </w:tc>
        <w:tc>
          <w:tcPr>
            <w:tcW w:w="882" w:type="dxa"/>
            <w:tcBorders>
              <w:top w:val="single" w:sz="4" w:space="0" w:color="auto"/>
              <w:left w:val="nil"/>
              <w:bottom w:val="single" w:sz="4" w:space="0" w:color="auto"/>
              <w:right w:val="nil"/>
            </w:tcBorders>
            <w:noWrap/>
            <w:vAlign w:val="bottom"/>
            <w:hideMark/>
          </w:tcPr>
          <w:p w14:paraId="11B9A0EC"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 - </w:t>
            </w:r>
          </w:p>
        </w:tc>
        <w:tc>
          <w:tcPr>
            <w:tcW w:w="329" w:type="dxa"/>
            <w:tcBorders>
              <w:top w:val="nil"/>
              <w:left w:val="nil"/>
              <w:bottom w:val="nil"/>
              <w:right w:val="nil"/>
            </w:tcBorders>
            <w:noWrap/>
            <w:vAlign w:val="bottom"/>
            <w:hideMark/>
          </w:tcPr>
          <w:p w14:paraId="195F412C"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single" w:sz="4" w:space="0" w:color="auto"/>
              <w:left w:val="nil"/>
              <w:bottom w:val="single" w:sz="4" w:space="0" w:color="auto"/>
              <w:right w:val="nil"/>
            </w:tcBorders>
            <w:noWrap/>
            <w:vAlign w:val="bottom"/>
            <w:hideMark/>
          </w:tcPr>
          <w:p w14:paraId="7653FABD"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 - </w:t>
            </w:r>
          </w:p>
        </w:tc>
      </w:tr>
      <w:tr w:rsidR="00377CCF" w:rsidRPr="00245485" w14:paraId="71FA5DD0" w14:textId="77777777" w:rsidTr="00A41A49">
        <w:trPr>
          <w:trHeight w:val="244"/>
        </w:trPr>
        <w:tc>
          <w:tcPr>
            <w:tcW w:w="5628" w:type="dxa"/>
            <w:tcBorders>
              <w:top w:val="nil"/>
              <w:left w:val="nil"/>
              <w:bottom w:val="nil"/>
              <w:right w:val="nil"/>
            </w:tcBorders>
            <w:noWrap/>
            <w:vAlign w:val="bottom"/>
            <w:hideMark/>
          </w:tcPr>
          <w:p w14:paraId="097C1CFF"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Net cash used by investing activities</w:t>
            </w:r>
          </w:p>
        </w:tc>
        <w:tc>
          <w:tcPr>
            <w:tcW w:w="935" w:type="dxa"/>
            <w:tcBorders>
              <w:top w:val="nil"/>
              <w:left w:val="nil"/>
              <w:bottom w:val="nil"/>
              <w:right w:val="nil"/>
            </w:tcBorders>
            <w:noWrap/>
            <w:vAlign w:val="bottom"/>
            <w:hideMark/>
          </w:tcPr>
          <w:p w14:paraId="7971271E"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nil"/>
              <w:left w:val="nil"/>
              <w:bottom w:val="single" w:sz="4" w:space="0" w:color="auto"/>
              <w:right w:val="nil"/>
            </w:tcBorders>
            <w:noWrap/>
            <w:vAlign w:val="bottom"/>
            <w:hideMark/>
          </w:tcPr>
          <w:p w14:paraId="04F6AADB"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(121)</w:t>
            </w:r>
          </w:p>
        </w:tc>
        <w:tc>
          <w:tcPr>
            <w:tcW w:w="882" w:type="dxa"/>
            <w:tcBorders>
              <w:top w:val="nil"/>
              <w:left w:val="nil"/>
              <w:bottom w:val="single" w:sz="4" w:space="0" w:color="auto"/>
              <w:right w:val="nil"/>
            </w:tcBorders>
            <w:noWrap/>
            <w:vAlign w:val="bottom"/>
            <w:hideMark/>
          </w:tcPr>
          <w:p w14:paraId="060537E7"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 - </w:t>
            </w:r>
          </w:p>
        </w:tc>
        <w:tc>
          <w:tcPr>
            <w:tcW w:w="329" w:type="dxa"/>
            <w:tcBorders>
              <w:top w:val="nil"/>
              <w:left w:val="nil"/>
              <w:bottom w:val="nil"/>
              <w:right w:val="nil"/>
            </w:tcBorders>
            <w:noWrap/>
            <w:vAlign w:val="bottom"/>
            <w:hideMark/>
          </w:tcPr>
          <w:p w14:paraId="113E5012"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single" w:sz="4" w:space="0" w:color="auto"/>
              <w:right w:val="nil"/>
            </w:tcBorders>
            <w:noWrap/>
            <w:vAlign w:val="bottom"/>
            <w:hideMark/>
          </w:tcPr>
          <w:p w14:paraId="1E926A07"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 - </w:t>
            </w:r>
          </w:p>
        </w:tc>
      </w:tr>
      <w:tr w:rsidR="00377CCF" w:rsidRPr="00245485" w14:paraId="4F2E3C61" w14:textId="77777777" w:rsidTr="00A41A49">
        <w:trPr>
          <w:trHeight w:val="210"/>
        </w:trPr>
        <w:tc>
          <w:tcPr>
            <w:tcW w:w="5628" w:type="dxa"/>
            <w:tcBorders>
              <w:top w:val="nil"/>
              <w:left w:val="nil"/>
              <w:bottom w:val="nil"/>
              <w:right w:val="nil"/>
            </w:tcBorders>
            <w:noWrap/>
            <w:vAlign w:val="bottom"/>
            <w:hideMark/>
          </w:tcPr>
          <w:p w14:paraId="2CEDFB8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35" w:type="dxa"/>
            <w:tcBorders>
              <w:top w:val="nil"/>
              <w:left w:val="nil"/>
              <w:bottom w:val="nil"/>
              <w:right w:val="nil"/>
            </w:tcBorders>
            <w:noWrap/>
            <w:vAlign w:val="bottom"/>
            <w:hideMark/>
          </w:tcPr>
          <w:p w14:paraId="40D68950"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931" w:type="dxa"/>
            <w:tcBorders>
              <w:top w:val="nil"/>
              <w:left w:val="nil"/>
              <w:bottom w:val="nil"/>
              <w:right w:val="nil"/>
            </w:tcBorders>
            <w:noWrap/>
            <w:vAlign w:val="bottom"/>
            <w:hideMark/>
          </w:tcPr>
          <w:p w14:paraId="015E88CD" w14:textId="77777777" w:rsidR="00377CCF" w:rsidRPr="00245485" w:rsidRDefault="00377CCF" w:rsidP="00856101">
            <w:pPr>
              <w:spacing w:after="0" w:line="240" w:lineRule="auto"/>
              <w:jc w:val="center"/>
              <w:rPr>
                <w:rFonts w:ascii="Times New Roman" w:eastAsia="Times New Roman" w:hAnsi="Times New Roman" w:cs="Times New Roman"/>
                <w:color w:val="auto"/>
                <w:sz w:val="20"/>
                <w:szCs w:val="20"/>
                <w:lang w:eastAsia="en-AU"/>
              </w:rPr>
            </w:pPr>
          </w:p>
        </w:tc>
        <w:tc>
          <w:tcPr>
            <w:tcW w:w="882" w:type="dxa"/>
            <w:tcBorders>
              <w:top w:val="nil"/>
              <w:left w:val="nil"/>
              <w:bottom w:val="nil"/>
              <w:right w:val="nil"/>
            </w:tcBorders>
            <w:noWrap/>
            <w:vAlign w:val="bottom"/>
            <w:hideMark/>
          </w:tcPr>
          <w:p w14:paraId="22B2BF92"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vAlign w:val="bottom"/>
            <w:hideMark/>
          </w:tcPr>
          <w:p w14:paraId="3E6C0621"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5133E6E8"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3F23D122" w14:textId="77777777" w:rsidTr="00A41A49">
        <w:trPr>
          <w:trHeight w:val="244"/>
        </w:trPr>
        <w:tc>
          <w:tcPr>
            <w:tcW w:w="5628" w:type="dxa"/>
            <w:tcBorders>
              <w:top w:val="nil"/>
              <w:left w:val="nil"/>
              <w:bottom w:val="nil"/>
              <w:right w:val="nil"/>
            </w:tcBorders>
            <w:noWrap/>
            <w:vAlign w:val="bottom"/>
            <w:hideMark/>
          </w:tcPr>
          <w:p w14:paraId="3BCF36DF"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FINANCING ACTIVITIES</w:t>
            </w:r>
          </w:p>
        </w:tc>
        <w:tc>
          <w:tcPr>
            <w:tcW w:w="935" w:type="dxa"/>
            <w:tcBorders>
              <w:top w:val="nil"/>
              <w:left w:val="nil"/>
              <w:bottom w:val="nil"/>
              <w:right w:val="nil"/>
            </w:tcBorders>
            <w:noWrap/>
            <w:vAlign w:val="bottom"/>
            <w:hideMark/>
          </w:tcPr>
          <w:p w14:paraId="1778D67E"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nil"/>
              <w:left w:val="nil"/>
              <w:bottom w:val="nil"/>
              <w:right w:val="nil"/>
            </w:tcBorders>
            <w:noWrap/>
            <w:vAlign w:val="bottom"/>
            <w:hideMark/>
          </w:tcPr>
          <w:p w14:paraId="11C94C36" w14:textId="77777777" w:rsidR="00377CCF" w:rsidRPr="00245485" w:rsidRDefault="00377CCF" w:rsidP="00856101">
            <w:pPr>
              <w:spacing w:after="0" w:line="240" w:lineRule="auto"/>
              <w:jc w:val="center"/>
              <w:rPr>
                <w:rFonts w:ascii="Times New Roman" w:eastAsia="Times New Roman" w:hAnsi="Times New Roman" w:cs="Times New Roman"/>
                <w:color w:val="auto"/>
                <w:sz w:val="20"/>
                <w:szCs w:val="20"/>
                <w:lang w:eastAsia="en-AU"/>
              </w:rPr>
            </w:pPr>
          </w:p>
        </w:tc>
        <w:tc>
          <w:tcPr>
            <w:tcW w:w="882" w:type="dxa"/>
            <w:tcBorders>
              <w:top w:val="nil"/>
              <w:left w:val="nil"/>
              <w:bottom w:val="nil"/>
              <w:right w:val="nil"/>
            </w:tcBorders>
            <w:noWrap/>
            <w:vAlign w:val="bottom"/>
            <w:hideMark/>
          </w:tcPr>
          <w:p w14:paraId="727D5C13"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vAlign w:val="bottom"/>
            <w:hideMark/>
          </w:tcPr>
          <w:p w14:paraId="4E424867"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5FE068DD"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4F0F2593" w14:textId="77777777" w:rsidTr="00A41A49">
        <w:trPr>
          <w:trHeight w:val="244"/>
        </w:trPr>
        <w:tc>
          <w:tcPr>
            <w:tcW w:w="5628" w:type="dxa"/>
            <w:tcBorders>
              <w:top w:val="nil"/>
              <w:left w:val="nil"/>
              <w:bottom w:val="nil"/>
              <w:right w:val="nil"/>
            </w:tcBorders>
            <w:noWrap/>
            <w:vAlign w:val="bottom"/>
            <w:hideMark/>
          </w:tcPr>
          <w:p w14:paraId="5C1ADFF0"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Cash used</w:t>
            </w:r>
          </w:p>
        </w:tc>
        <w:tc>
          <w:tcPr>
            <w:tcW w:w="935" w:type="dxa"/>
            <w:tcBorders>
              <w:top w:val="nil"/>
              <w:left w:val="nil"/>
              <w:bottom w:val="nil"/>
              <w:right w:val="nil"/>
            </w:tcBorders>
            <w:noWrap/>
            <w:vAlign w:val="bottom"/>
            <w:hideMark/>
          </w:tcPr>
          <w:p w14:paraId="0E0DEB2F"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nil"/>
              <w:left w:val="nil"/>
              <w:bottom w:val="nil"/>
              <w:right w:val="nil"/>
            </w:tcBorders>
            <w:noWrap/>
            <w:vAlign w:val="bottom"/>
            <w:hideMark/>
          </w:tcPr>
          <w:p w14:paraId="47041A41" w14:textId="77777777" w:rsidR="00377CCF" w:rsidRPr="00245485" w:rsidRDefault="00377CCF" w:rsidP="00856101">
            <w:pPr>
              <w:spacing w:after="0" w:line="240" w:lineRule="auto"/>
              <w:jc w:val="center"/>
              <w:rPr>
                <w:rFonts w:ascii="Times New Roman" w:eastAsia="Times New Roman" w:hAnsi="Times New Roman" w:cs="Times New Roman"/>
                <w:color w:val="auto"/>
                <w:sz w:val="20"/>
                <w:szCs w:val="20"/>
                <w:lang w:eastAsia="en-AU"/>
              </w:rPr>
            </w:pPr>
          </w:p>
        </w:tc>
        <w:tc>
          <w:tcPr>
            <w:tcW w:w="882" w:type="dxa"/>
            <w:tcBorders>
              <w:top w:val="nil"/>
              <w:left w:val="nil"/>
              <w:bottom w:val="nil"/>
              <w:right w:val="nil"/>
            </w:tcBorders>
            <w:noWrap/>
            <w:vAlign w:val="bottom"/>
            <w:hideMark/>
          </w:tcPr>
          <w:p w14:paraId="03700197"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vAlign w:val="bottom"/>
            <w:hideMark/>
          </w:tcPr>
          <w:p w14:paraId="7AF9A663"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56712E6E"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51D1C234" w14:textId="77777777" w:rsidTr="00A41A49">
        <w:trPr>
          <w:trHeight w:val="244"/>
        </w:trPr>
        <w:tc>
          <w:tcPr>
            <w:tcW w:w="5628" w:type="dxa"/>
            <w:tcBorders>
              <w:top w:val="nil"/>
              <w:left w:val="nil"/>
              <w:bottom w:val="nil"/>
              <w:right w:val="nil"/>
            </w:tcBorders>
            <w:hideMark/>
          </w:tcPr>
          <w:p w14:paraId="13215CA9"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Principal payments of lease liabilities</w:t>
            </w:r>
          </w:p>
        </w:tc>
        <w:tc>
          <w:tcPr>
            <w:tcW w:w="935" w:type="dxa"/>
            <w:tcBorders>
              <w:top w:val="nil"/>
              <w:left w:val="nil"/>
              <w:bottom w:val="nil"/>
              <w:right w:val="nil"/>
            </w:tcBorders>
            <w:noWrap/>
            <w:vAlign w:val="bottom"/>
            <w:hideMark/>
          </w:tcPr>
          <w:p w14:paraId="01EC7439"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931" w:type="dxa"/>
            <w:tcBorders>
              <w:top w:val="nil"/>
              <w:left w:val="nil"/>
              <w:bottom w:val="nil"/>
              <w:right w:val="nil"/>
            </w:tcBorders>
            <w:noWrap/>
            <w:vAlign w:val="bottom"/>
            <w:hideMark/>
          </w:tcPr>
          <w:p w14:paraId="6733645B"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(1,024)</w:t>
            </w:r>
          </w:p>
        </w:tc>
        <w:tc>
          <w:tcPr>
            <w:tcW w:w="882" w:type="dxa"/>
            <w:tcBorders>
              <w:top w:val="nil"/>
              <w:left w:val="nil"/>
              <w:bottom w:val="nil"/>
              <w:right w:val="nil"/>
            </w:tcBorders>
            <w:noWrap/>
            <w:vAlign w:val="bottom"/>
            <w:hideMark/>
          </w:tcPr>
          <w:p w14:paraId="399DD300"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(958)</w:t>
            </w:r>
          </w:p>
        </w:tc>
        <w:tc>
          <w:tcPr>
            <w:tcW w:w="329" w:type="dxa"/>
            <w:tcBorders>
              <w:top w:val="nil"/>
              <w:left w:val="nil"/>
              <w:bottom w:val="nil"/>
              <w:right w:val="nil"/>
            </w:tcBorders>
            <w:noWrap/>
            <w:vAlign w:val="bottom"/>
            <w:hideMark/>
          </w:tcPr>
          <w:p w14:paraId="76B46C9B"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nil"/>
              <w:right w:val="nil"/>
            </w:tcBorders>
            <w:noWrap/>
            <w:vAlign w:val="bottom"/>
            <w:hideMark/>
          </w:tcPr>
          <w:p w14:paraId="02B76CB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(1,024)</w:t>
            </w:r>
          </w:p>
        </w:tc>
      </w:tr>
      <w:tr w:rsidR="00377CCF" w:rsidRPr="00245485" w14:paraId="5B0E7992" w14:textId="77777777" w:rsidTr="00A41A49">
        <w:trPr>
          <w:trHeight w:val="244"/>
        </w:trPr>
        <w:tc>
          <w:tcPr>
            <w:tcW w:w="5628" w:type="dxa"/>
            <w:tcBorders>
              <w:top w:val="nil"/>
              <w:left w:val="nil"/>
              <w:bottom w:val="nil"/>
              <w:right w:val="nil"/>
            </w:tcBorders>
            <w:noWrap/>
            <w:vAlign w:val="bottom"/>
            <w:hideMark/>
          </w:tcPr>
          <w:p w14:paraId="7714210D"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Total cash used</w:t>
            </w:r>
          </w:p>
        </w:tc>
        <w:tc>
          <w:tcPr>
            <w:tcW w:w="935" w:type="dxa"/>
            <w:tcBorders>
              <w:top w:val="nil"/>
              <w:left w:val="nil"/>
              <w:bottom w:val="nil"/>
              <w:right w:val="nil"/>
            </w:tcBorders>
            <w:noWrap/>
            <w:vAlign w:val="bottom"/>
            <w:hideMark/>
          </w:tcPr>
          <w:p w14:paraId="5A44F099"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single" w:sz="4" w:space="0" w:color="auto"/>
              <w:left w:val="nil"/>
              <w:bottom w:val="single" w:sz="4" w:space="0" w:color="auto"/>
              <w:right w:val="nil"/>
            </w:tcBorders>
            <w:noWrap/>
            <w:vAlign w:val="bottom"/>
            <w:hideMark/>
          </w:tcPr>
          <w:p w14:paraId="21CF079C"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(1,024)</w:t>
            </w:r>
          </w:p>
        </w:tc>
        <w:tc>
          <w:tcPr>
            <w:tcW w:w="882" w:type="dxa"/>
            <w:tcBorders>
              <w:top w:val="single" w:sz="4" w:space="0" w:color="auto"/>
              <w:left w:val="nil"/>
              <w:bottom w:val="single" w:sz="4" w:space="0" w:color="auto"/>
              <w:right w:val="nil"/>
            </w:tcBorders>
            <w:noWrap/>
            <w:vAlign w:val="bottom"/>
            <w:hideMark/>
          </w:tcPr>
          <w:p w14:paraId="1E639FF9"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(958)</w:t>
            </w:r>
          </w:p>
        </w:tc>
        <w:tc>
          <w:tcPr>
            <w:tcW w:w="329" w:type="dxa"/>
            <w:tcBorders>
              <w:top w:val="nil"/>
              <w:left w:val="nil"/>
              <w:bottom w:val="nil"/>
              <w:right w:val="nil"/>
            </w:tcBorders>
            <w:noWrap/>
            <w:vAlign w:val="bottom"/>
            <w:hideMark/>
          </w:tcPr>
          <w:p w14:paraId="6EFCE50D"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single" w:sz="4" w:space="0" w:color="auto"/>
              <w:left w:val="nil"/>
              <w:bottom w:val="single" w:sz="4" w:space="0" w:color="auto"/>
              <w:right w:val="nil"/>
            </w:tcBorders>
            <w:noWrap/>
            <w:vAlign w:val="bottom"/>
            <w:hideMark/>
          </w:tcPr>
          <w:p w14:paraId="76EC1C81"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(1,024)</w:t>
            </w:r>
          </w:p>
        </w:tc>
      </w:tr>
      <w:tr w:rsidR="00377CCF" w:rsidRPr="00245485" w14:paraId="366D1684" w14:textId="77777777" w:rsidTr="00A41A49">
        <w:trPr>
          <w:trHeight w:val="244"/>
        </w:trPr>
        <w:tc>
          <w:tcPr>
            <w:tcW w:w="5628" w:type="dxa"/>
            <w:tcBorders>
              <w:top w:val="nil"/>
              <w:left w:val="nil"/>
              <w:bottom w:val="nil"/>
              <w:right w:val="nil"/>
            </w:tcBorders>
            <w:noWrap/>
            <w:vAlign w:val="bottom"/>
            <w:hideMark/>
          </w:tcPr>
          <w:p w14:paraId="555AC7DB"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Net cash used by financing activities</w:t>
            </w:r>
          </w:p>
        </w:tc>
        <w:tc>
          <w:tcPr>
            <w:tcW w:w="935" w:type="dxa"/>
            <w:tcBorders>
              <w:top w:val="nil"/>
              <w:left w:val="nil"/>
              <w:bottom w:val="nil"/>
              <w:right w:val="nil"/>
            </w:tcBorders>
            <w:noWrap/>
            <w:vAlign w:val="bottom"/>
            <w:hideMark/>
          </w:tcPr>
          <w:p w14:paraId="16B1F307"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nil"/>
              <w:left w:val="nil"/>
              <w:bottom w:val="single" w:sz="4" w:space="0" w:color="auto"/>
              <w:right w:val="nil"/>
            </w:tcBorders>
            <w:noWrap/>
            <w:vAlign w:val="bottom"/>
            <w:hideMark/>
          </w:tcPr>
          <w:p w14:paraId="43C51E8C"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(1,024)</w:t>
            </w:r>
          </w:p>
        </w:tc>
        <w:tc>
          <w:tcPr>
            <w:tcW w:w="882" w:type="dxa"/>
            <w:tcBorders>
              <w:top w:val="nil"/>
              <w:left w:val="nil"/>
              <w:bottom w:val="single" w:sz="4" w:space="0" w:color="auto"/>
              <w:right w:val="nil"/>
            </w:tcBorders>
            <w:noWrap/>
            <w:vAlign w:val="bottom"/>
            <w:hideMark/>
          </w:tcPr>
          <w:p w14:paraId="7C31B3E0"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(958)</w:t>
            </w:r>
          </w:p>
        </w:tc>
        <w:tc>
          <w:tcPr>
            <w:tcW w:w="329" w:type="dxa"/>
            <w:tcBorders>
              <w:top w:val="nil"/>
              <w:left w:val="nil"/>
              <w:bottom w:val="nil"/>
              <w:right w:val="nil"/>
            </w:tcBorders>
            <w:noWrap/>
            <w:vAlign w:val="bottom"/>
            <w:hideMark/>
          </w:tcPr>
          <w:p w14:paraId="19CEA278"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single" w:sz="4" w:space="0" w:color="auto"/>
              <w:right w:val="nil"/>
            </w:tcBorders>
            <w:noWrap/>
            <w:vAlign w:val="bottom"/>
            <w:hideMark/>
          </w:tcPr>
          <w:p w14:paraId="273BA671"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(1,024)</w:t>
            </w:r>
          </w:p>
        </w:tc>
      </w:tr>
      <w:tr w:rsidR="00377CCF" w:rsidRPr="00245485" w14:paraId="7CF16528" w14:textId="77777777" w:rsidTr="00A41A49">
        <w:trPr>
          <w:trHeight w:val="228"/>
        </w:trPr>
        <w:tc>
          <w:tcPr>
            <w:tcW w:w="5628" w:type="dxa"/>
            <w:tcBorders>
              <w:top w:val="nil"/>
              <w:left w:val="nil"/>
              <w:bottom w:val="nil"/>
              <w:right w:val="nil"/>
            </w:tcBorders>
            <w:noWrap/>
            <w:vAlign w:val="bottom"/>
            <w:hideMark/>
          </w:tcPr>
          <w:p w14:paraId="12059B26"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35" w:type="dxa"/>
            <w:tcBorders>
              <w:top w:val="nil"/>
              <w:left w:val="nil"/>
              <w:bottom w:val="nil"/>
              <w:right w:val="nil"/>
            </w:tcBorders>
            <w:noWrap/>
            <w:vAlign w:val="bottom"/>
            <w:hideMark/>
          </w:tcPr>
          <w:p w14:paraId="7C1DC86F"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931" w:type="dxa"/>
            <w:tcBorders>
              <w:top w:val="nil"/>
              <w:left w:val="nil"/>
              <w:bottom w:val="nil"/>
              <w:right w:val="nil"/>
            </w:tcBorders>
            <w:noWrap/>
            <w:vAlign w:val="bottom"/>
            <w:hideMark/>
          </w:tcPr>
          <w:p w14:paraId="1D9F3D0B" w14:textId="77777777" w:rsidR="00377CCF" w:rsidRPr="00245485" w:rsidRDefault="00377CCF" w:rsidP="00856101">
            <w:pPr>
              <w:spacing w:after="0" w:line="240" w:lineRule="auto"/>
              <w:jc w:val="center"/>
              <w:rPr>
                <w:rFonts w:ascii="Times New Roman" w:eastAsia="Times New Roman" w:hAnsi="Times New Roman" w:cs="Times New Roman"/>
                <w:color w:val="auto"/>
                <w:sz w:val="20"/>
                <w:szCs w:val="20"/>
                <w:lang w:eastAsia="en-AU"/>
              </w:rPr>
            </w:pPr>
          </w:p>
        </w:tc>
        <w:tc>
          <w:tcPr>
            <w:tcW w:w="882" w:type="dxa"/>
            <w:tcBorders>
              <w:top w:val="nil"/>
              <w:left w:val="nil"/>
              <w:bottom w:val="nil"/>
              <w:right w:val="nil"/>
            </w:tcBorders>
            <w:noWrap/>
            <w:vAlign w:val="bottom"/>
            <w:hideMark/>
          </w:tcPr>
          <w:p w14:paraId="00F58613"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vAlign w:val="bottom"/>
            <w:hideMark/>
          </w:tcPr>
          <w:p w14:paraId="6625276B"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3A662DA2" w14:textId="77777777" w:rsidR="00377CCF" w:rsidRPr="00245485" w:rsidRDefault="00377CCF" w:rsidP="00856101">
            <w:pPr>
              <w:spacing w:after="0" w:line="240" w:lineRule="auto"/>
              <w:jc w:val="right"/>
              <w:rPr>
                <w:rFonts w:ascii="Times New Roman" w:eastAsia="Times New Roman" w:hAnsi="Times New Roman" w:cs="Times New Roman"/>
                <w:color w:val="auto"/>
                <w:sz w:val="20"/>
                <w:szCs w:val="20"/>
                <w:lang w:eastAsia="en-AU"/>
              </w:rPr>
            </w:pPr>
          </w:p>
        </w:tc>
      </w:tr>
      <w:tr w:rsidR="00377CCF" w:rsidRPr="00245485" w14:paraId="6DE4BD4A" w14:textId="77777777" w:rsidTr="00A41A49">
        <w:trPr>
          <w:trHeight w:val="244"/>
        </w:trPr>
        <w:tc>
          <w:tcPr>
            <w:tcW w:w="5628" w:type="dxa"/>
            <w:tcBorders>
              <w:top w:val="nil"/>
              <w:left w:val="nil"/>
              <w:bottom w:val="nil"/>
              <w:right w:val="nil"/>
            </w:tcBorders>
            <w:noWrap/>
            <w:vAlign w:val="bottom"/>
            <w:hideMark/>
          </w:tcPr>
          <w:p w14:paraId="53C2B068"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Net increase in cash held</w:t>
            </w:r>
          </w:p>
        </w:tc>
        <w:tc>
          <w:tcPr>
            <w:tcW w:w="935" w:type="dxa"/>
            <w:tcBorders>
              <w:top w:val="nil"/>
              <w:left w:val="nil"/>
              <w:bottom w:val="nil"/>
              <w:right w:val="nil"/>
            </w:tcBorders>
            <w:noWrap/>
            <w:vAlign w:val="bottom"/>
            <w:hideMark/>
          </w:tcPr>
          <w:p w14:paraId="6EF66FCD"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p>
        </w:tc>
        <w:tc>
          <w:tcPr>
            <w:tcW w:w="931" w:type="dxa"/>
            <w:tcBorders>
              <w:top w:val="nil"/>
              <w:left w:val="nil"/>
              <w:bottom w:val="single" w:sz="4" w:space="0" w:color="auto"/>
              <w:right w:val="nil"/>
            </w:tcBorders>
            <w:noWrap/>
            <w:vAlign w:val="bottom"/>
            <w:hideMark/>
          </w:tcPr>
          <w:p w14:paraId="7F2C0C7F"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20,255 </w:t>
            </w:r>
          </w:p>
        </w:tc>
        <w:tc>
          <w:tcPr>
            <w:tcW w:w="882" w:type="dxa"/>
            <w:tcBorders>
              <w:top w:val="nil"/>
              <w:left w:val="nil"/>
              <w:bottom w:val="single" w:sz="4" w:space="0" w:color="auto"/>
              <w:right w:val="nil"/>
            </w:tcBorders>
            <w:noWrap/>
            <w:vAlign w:val="bottom"/>
            <w:hideMark/>
          </w:tcPr>
          <w:p w14:paraId="57E85C3F"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27,803 </w:t>
            </w:r>
          </w:p>
        </w:tc>
        <w:tc>
          <w:tcPr>
            <w:tcW w:w="329" w:type="dxa"/>
            <w:tcBorders>
              <w:top w:val="nil"/>
              <w:left w:val="nil"/>
              <w:bottom w:val="nil"/>
              <w:right w:val="nil"/>
            </w:tcBorders>
            <w:noWrap/>
            <w:vAlign w:val="bottom"/>
            <w:hideMark/>
          </w:tcPr>
          <w:p w14:paraId="0827BD5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single" w:sz="4" w:space="0" w:color="auto"/>
              <w:right w:val="nil"/>
            </w:tcBorders>
            <w:noWrap/>
            <w:vAlign w:val="bottom"/>
            <w:hideMark/>
          </w:tcPr>
          <w:p w14:paraId="7796C3DC"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425 </w:t>
            </w:r>
          </w:p>
        </w:tc>
      </w:tr>
      <w:tr w:rsidR="00377CCF" w:rsidRPr="00245485" w14:paraId="2B2921C4" w14:textId="77777777" w:rsidTr="00A41A49">
        <w:trPr>
          <w:trHeight w:val="244"/>
        </w:trPr>
        <w:tc>
          <w:tcPr>
            <w:tcW w:w="5628" w:type="dxa"/>
            <w:tcBorders>
              <w:top w:val="nil"/>
              <w:left w:val="nil"/>
              <w:bottom w:val="nil"/>
              <w:right w:val="nil"/>
            </w:tcBorders>
            <w:noWrap/>
            <w:vAlign w:val="bottom"/>
            <w:hideMark/>
          </w:tcPr>
          <w:p w14:paraId="7B3EAF26"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Cash and cash equivalents at the beginning of the reporting period</w:t>
            </w:r>
          </w:p>
        </w:tc>
        <w:tc>
          <w:tcPr>
            <w:tcW w:w="935" w:type="dxa"/>
            <w:tcBorders>
              <w:top w:val="nil"/>
              <w:left w:val="nil"/>
              <w:bottom w:val="nil"/>
              <w:right w:val="nil"/>
            </w:tcBorders>
            <w:noWrap/>
            <w:vAlign w:val="bottom"/>
            <w:hideMark/>
          </w:tcPr>
          <w:p w14:paraId="2ED23AF8"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931" w:type="dxa"/>
            <w:tcBorders>
              <w:top w:val="nil"/>
              <w:left w:val="nil"/>
              <w:bottom w:val="nil"/>
              <w:right w:val="nil"/>
            </w:tcBorders>
            <w:noWrap/>
            <w:vAlign w:val="bottom"/>
            <w:hideMark/>
          </w:tcPr>
          <w:p w14:paraId="522D00CD"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74,160 </w:t>
            </w:r>
          </w:p>
        </w:tc>
        <w:tc>
          <w:tcPr>
            <w:tcW w:w="882" w:type="dxa"/>
            <w:tcBorders>
              <w:top w:val="nil"/>
              <w:left w:val="nil"/>
              <w:bottom w:val="nil"/>
              <w:right w:val="nil"/>
            </w:tcBorders>
            <w:noWrap/>
            <w:vAlign w:val="bottom"/>
            <w:hideMark/>
          </w:tcPr>
          <w:p w14:paraId="2384A7F8"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46,356 </w:t>
            </w:r>
          </w:p>
        </w:tc>
        <w:tc>
          <w:tcPr>
            <w:tcW w:w="329" w:type="dxa"/>
            <w:tcBorders>
              <w:top w:val="nil"/>
              <w:left w:val="nil"/>
              <w:bottom w:val="nil"/>
              <w:right w:val="nil"/>
            </w:tcBorders>
            <w:noWrap/>
            <w:vAlign w:val="bottom"/>
            <w:hideMark/>
          </w:tcPr>
          <w:p w14:paraId="332C935C"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nil"/>
              <w:left w:val="nil"/>
              <w:bottom w:val="nil"/>
              <w:right w:val="nil"/>
            </w:tcBorders>
            <w:noWrap/>
            <w:vAlign w:val="bottom"/>
            <w:hideMark/>
          </w:tcPr>
          <w:p w14:paraId="501E0816"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46,781 </w:t>
            </w:r>
          </w:p>
        </w:tc>
      </w:tr>
      <w:tr w:rsidR="00377CCF" w:rsidRPr="00245485" w14:paraId="155CB86D" w14:textId="77777777" w:rsidTr="00A41A49">
        <w:trPr>
          <w:trHeight w:val="244"/>
        </w:trPr>
        <w:tc>
          <w:tcPr>
            <w:tcW w:w="5628" w:type="dxa"/>
            <w:tcBorders>
              <w:top w:val="nil"/>
              <w:left w:val="nil"/>
              <w:bottom w:val="nil"/>
              <w:right w:val="nil"/>
            </w:tcBorders>
            <w:noWrap/>
            <w:vAlign w:val="bottom"/>
            <w:hideMark/>
          </w:tcPr>
          <w:p w14:paraId="640113A6" w14:textId="77777777" w:rsidR="00377CCF" w:rsidRPr="00245485" w:rsidRDefault="00377CCF" w:rsidP="00856101">
            <w:pPr>
              <w:spacing w:after="0" w:line="240" w:lineRule="auto"/>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Cash and cash equivalents at the end of the reporting period</w:t>
            </w:r>
          </w:p>
        </w:tc>
        <w:tc>
          <w:tcPr>
            <w:tcW w:w="935" w:type="dxa"/>
            <w:tcBorders>
              <w:top w:val="nil"/>
              <w:left w:val="nil"/>
              <w:bottom w:val="nil"/>
              <w:right w:val="nil"/>
            </w:tcBorders>
            <w:noWrap/>
            <w:vAlign w:val="bottom"/>
            <w:hideMark/>
          </w:tcPr>
          <w:p w14:paraId="185BB108" w14:textId="77777777" w:rsidR="00377CCF" w:rsidRPr="00245485" w:rsidRDefault="00377CCF" w:rsidP="00856101">
            <w:pPr>
              <w:spacing w:after="0" w:line="240" w:lineRule="auto"/>
              <w:jc w:val="center"/>
              <w:rPr>
                <w:rFonts w:ascii="Times New Roman" w:eastAsia="Times New Roman" w:hAnsi="Times New Roman" w:cs="Times New Roman"/>
                <w:color w:val="0000FF"/>
                <w:sz w:val="18"/>
                <w:szCs w:val="18"/>
                <w:u w:val="single"/>
                <w:lang w:eastAsia="en-AU"/>
              </w:rPr>
            </w:pPr>
            <w:hyperlink r:id="rId66" w:anchor="RANGE!C8" w:history="1">
              <w:r w:rsidRPr="00245485">
                <w:rPr>
                  <w:rFonts w:ascii="Times New Roman" w:eastAsia="Times New Roman" w:hAnsi="Times New Roman" w:cs="Times New Roman"/>
                  <w:color w:val="0000FF"/>
                  <w:sz w:val="18"/>
                  <w:szCs w:val="18"/>
                  <w:u w:val="single"/>
                  <w:lang w:eastAsia="en-AU"/>
                </w:rPr>
                <w:t>2.1A</w:t>
              </w:r>
            </w:hyperlink>
          </w:p>
        </w:tc>
        <w:tc>
          <w:tcPr>
            <w:tcW w:w="931" w:type="dxa"/>
            <w:tcBorders>
              <w:top w:val="single" w:sz="4" w:space="0" w:color="auto"/>
              <w:left w:val="nil"/>
              <w:bottom w:val="single" w:sz="4" w:space="0" w:color="auto"/>
              <w:right w:val="nil"/>
            </w:tcBorders>
            <w:noWrap/>
            <w:vAlign w:val="bottom"/>
            <w:hideMark/>
          </w:tcPr>
          <w:p w14:paraId="10A33EB3" w14:textId="77777777" w:rsidR="00377CCF" w:rsidRPr="00245485" w:rsidRDefault="00377CCF" w:rsidP="00856101">
            <w:pPr>
              <w:spacing w:after="0" w:line="240" w:lineRule="auto"/>
              <w:jc w:val="right"/>
              <w:rPr>
                <w:rFonts w:ascii="Cambria" w:eastAsia="Times New Roman" w:hAnsi="Cambria" w:cs="Calibri"/>
                <w:b/>
                <w:bCs/>
                <w:color w:val="auto"/>
                <w:sz w:val="18"/>
                <w:szCs w:val="18"/>
                <w:lang w:eastAsia="en-AU"/>
              </w:rPr>
            </w:pPr>
            <w:r w:rsidRPr="00245485">
              <w:rPr>
                <w:rFonts w:ascii="Cambria" w:eastAsia="Times New Roman" w:hAnsi="Cambria" w:cs="Calibri"/>
                <w:b/>
                <w:bCs/>
                <w:color w:val="auto"/>
                <w:sz w:val="18"/>
                <w:szCs w:val="18"/>
                <w:lang w:eastAsia="en-AU"/>
              </w:rPr>
              <w:t xml:space="preserve">94,415 </w:t>
            </w:r>
          </w:p>
        </w:tc>
        <w:tc>
          <w:tcPr>
            <w:tcW w:w="882" w:type="dxa"/>
            <w:tcBorders>
              <w:top w:val="single" w:sz="4" w:space="0" w:color="auto"/>
              <w:left w:val="nil"/>
              <w:bottom w:val="single" w:sz="4" w:space="0" w:color="auto"/>
              <w:right w:val="nil"/>
            </w:tcBorders>
            <w:noWrap/>
            <w:vAlign w:val="bottom"/>
            <w:hideMark/>
          </w:tcPr>
          <w:p w14:paraId="61A914BE"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74,160 </w:t>
            </w:r>
          </w:p>
        </w:tc>
        <w:tc>
          <w:tcPr>
            <w:tcW w:w="329" w:type="dxa"/>
            <w:tcBorders>
              <w:top w:val="nil"/>
              <w:left w:val="nil"/>
              <w:bottom w:val="nil"/>
              <w:right w:val="nil"/>
            </w:tcBorders>
            <w:noWrap/>
            <w:vAlign w:val="bottom"/>
            <w:hideMark/>
          </w:tcPr>
          <w:p w14:paraId="2E8DB450"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p>
        </w:tc>
        <w:tc>
          <w:tcPr>
            <w:tcW w:w="984" w:type="dxa"/>
            <w:tcBorders>
              <w:top w:val="single" w:sz="4" w:space="0" w:color="auto"/>
              <w:left w:val="nil"/>
              <w:bottom w:val="single" w:sz="4" w:space="0" w:color="auto"/>
              <w:right w:val="nil"/>
            </w:tcBorders>
            <w:noWrap/>
            <w:vAlign w:val="bottom"/>
            <w:hideMark/>
          </w:tcPr>
          <w:p w14:paraId="0D4B1B23" w14:textId="77777777" w:rsidR="00377CCF" w:rsidRPr="00245485" w:rsidRDefault="00377CCF" w:rsidP="00856101">
            <w:pPr>
              <w:spacing w:after="0" w:line="240" w:lineRule="auto"/>
              <w:jc w:val="right"/>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 xml:space="preserve">47,206 </w:t>
            </w:r>
          </w:p>
        </w:tc>
      </w:tr>
      <w:tr w:rsidR="00377CCF" w:rsidRPr="00245485" w14:paraId="48D2E3F6" w14:textId="77777777" w:rsidTr="00A41A49">
        <w:trPr>
          <w:trHeight w:val="412"/>
        </w:trPr>
        <w:tc>
          <w:tcPr>
            <w:tcW w:w="6563" w:type="dxa"/>
            <w:gridSpan w:val="2"/>
            <w:tcBorders>
              <w:top w:val="nil"/>
              <w:left w:val="nil"/>
              <w:bottom w:val="nil"/>
              <w:right w:val="nil"/>
            </w:tcBorders>
            <w:noWrap/>
            <w:vAlign w:val="bottom"/>
            <w:hideMark/>
          </w:tcPr>
          <w:p w14:paraId="1CA74F05" w14:textId="77777777" w:rsidR="00A41A49" w:rsidRDefault="00A41A49" w:rsidP="00856101">
            <w:pPr>
              <w:spacing w:after="0" w:line="240" w:lineRule="auto"/>
              <w:rPr>
                <w:rFonts w:ascii="Cambria" w:eastAsia="Times New Roman" w:hAnsi="Cambria" w:cs="Calibri"/>
                <w:color w:val="auto"/>
                <w:sz w:val="18"/>
                <w:szCs w:val="18"/>
                <w:lang w:eastAsia="en-AU"/>
              </w:rPr>
            </w:pPr>
          </w:p>
          <w:p w14:paraId="688B2590" w14:textId="77777777" w:rsidR="00A41A49" w:rsidRDefault="00A41A49" w:rsidP="00856101">
            <w:pPr>
              <w:spacing w:after="0" w:line="240" w:lineRule="auto"/>
              <w:rPr>
                <w:rFonts w:ascii="Cambria" w:eastAsia="Times New Roman" w:hAnsi="Cambria" w:cs="Calibri"/>
                <w:color w:val="auto"/>
                <w:sz w:val="18"/>
                <w:szCs w:val="18"/>
                <w:lang w:eastAsia="en-AU"/>
              </w:rPr>
            </w:pPr>
          </w:p>
          <w:p w14:paraId="211BF59B" w14:textId="598F465C" w:rsidR="00377CCF" w:rsidRPr="00245485" w:rsidRDefault="00377CCF" w:rsidP="00856101">
            <w:pPr>
              <w:spacing w:after="0" w:line="240" w:lineRule="auto"/>
              <w:rPr>
                <w:rFonts w:ascii="Cambria" w:eastAsia="Times New Roman" w:hAnsi="Cambria" w:cs="Calibri"/>
                <w:color w:val="auto"/>
                <w:sz w:val="18"/>
                <w:szCs w:val="18"/>
                <w:lang w:eastAsia="en-AU"/>
              </w:rPr>
            </w:pPr>
            <w:r w:rsidRPr="00245485">
              <w:rPr>
                <w:rFonts w:ascii="Cambria" w:eastAsia="Times New Roman" w:hAnsi="Cambria" w:cs="Calibri"/>
                <w:color w:val="auto"/>
                <w:sz w:val="18"/>
                <w:szCs w:val="18"/>
                <w:lang w:eastAsia="en-AU"/>
              </w:rPr>
              <w:t>The above statement should be read in conjunction with the accompanying notes.</w:t>
            </w:r>
          </w:p>
        </w:tc>
        <w:tc>
          <w:tcPr>
            <w:tcW w:w="931" w:type="dxa"/>
            <w:tcBorders>
              <w:top w:val="nil"/>
              <w:left w:val="nil"/>
              <w:bottom w:val="nil"/>
              <w:right w:val="nil"/>
            </w:tcBorders>
            <w:noWrap/>
            <w:hideMark/>
          </w:tcPr>
          <w:p w14:paraId="48AA0424" w14:textId="77777777" w:rsidR="00377CCF" w:rsidRPr="00245485" w:rsidRDefault="00377CCF" w:rsidP="00856101">
            <w:pPr>
              <w:spacing w:after="0" w:line="240" w:lineRule="auto"/>
              <w:rPr>
                <w:rFonts w:ascii="Cambria" w:eastAsia="Times New Roman" w:hAnsi="Cambria" w:cs="Calibri"/>
                <w:color w:val="auto"/>
                <w:sz w:val="18"/>
                <w:szCs w:val="18"/>
                <w:lang w:eastAsia="en-AU"/>
              </w:rPr>
            </w:pPr>
          </w:p>
        </w:tc>
        <w:tc>
          <w:tcPr>
            <w:tcW w:w="882" w:type="dxa"/>
            <w:tcBorders>
              <w:top w:val="nil"/>
              <w:left w:val="nil"/>
              <w:bottom w:val="nil"/>
              <w:right w:val="nil"/>
            </w:tcBorders>
            <w:noWrap/>
            <w:hideMark/>
          </w:tcPr>
          <w:p w14:paraId="3D6DA1D5"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329" w:type="dxa"/>
            <w:tcBorders>
              <w:top w:val="nil"/>
              <w:left w:val="nil"/>
              <w:bottom w:val="nil"/>
              <w:right w:val="nil"/>
            </w:tcBorders>
            <w:noWrap/>
            <w:hideMark/>
          </w:tcPr>
          <w:p w14:paraId="31E65088"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c>
          <w:tcPr>
            <w:tcW w:w="984" w:type="dxa"/>
            <w:tcBorders>
              <w:top w:val="nil"/>
              <w:left w:val="nil"/>
              <w:bottom w:val="nil"/>
              <w:right w:val="nil"/>
            </w:tcBorders>
            <w:noWrap/>
            <w:vAlign w:val="bottom"/>
            <w:hideMark/>
          </w:tcPr>
          <w:p w14:paraId="6BAC3750" w14:textId="77777777" w:rsidR="00377CCF" w:rsidRPr="00245485" w:rsidRDefault="00377CCF" w:rsidP="00856101">
            <w:pPr>
              <w:spacing w:after="0" w:line="240" w:lineRule="auto"/>
              <w:rPr>
                <w:rFonts w:ascii="Times New Roman" w:eastAsia="Times New Roman" w:hAnsi="Times New Roman" w:cs="Times New Roman"/>
                <w:color w:val="auto"/>
                <w:sz w:val="20"/>
                <w:szCs w:val="20"/>
                <w:lang w:eastAsia="en-AU"/>
              </w:rPr>
            </w:pPr>
          </w:p>
        </w:tc>
      </w:tr>
    </w:tbl>
    <w:p w14:paraId="3E3FA1FC" w14:textId="75853A22" w:rsidR="00EB0D85" w:rsidRDefault="00377CCF" w:rsidP="00EB0D85">
      <w:r>
        <w:rPr>
          <w:noProof/>
        </w:rPr>
        <mc:AlternateContent>
          <mc:Choice Requires="wps">
            <w:drawing>
              <wp:anchor distT="0" distB="0" distL="114300" distR="114300" simplePos="0" relativeHeight="251687936" behindDoc="0" locked="0" layoutInCell="1" allowOverlap="1" wp14:anchorId="4FA1E407" wp14:editId="522F005B">
                <wp:simplePos x="0" y="0"/>
                <wp:positionH relativeFrom="margin">
                  <wp:posOffset>104775</wp:posOffset>
                </wp:positionH>
                <wp:positionV relativeFrom="paragraph">
                  <wp:posOffset>267335</wp:posOffset>
                </wp:positionV>
                <wp:extent cx="6068060" cy="1091565"/>
                <wp:effectExtent l="0" t="0" r="27940" b="13335"/>
                <wp:wrapSquare wrapText="bothSides"/>
                <wp:docPr id="733497602" name="TextBox 1"/>
                <wp:cNvGraphicFramePr/>
                <a:graphic xmlns:a="http://schemas.openxmlformats.org/drawingml/2006/main">
                  <a:graphicData uri="http://schemas.microsoft.com/office/word/2010/wordprocessingShape">
                    <wps:wsp>
                      <wps:cNvSpPr txBox="1"/>
                      <wps:spPr>
                        <a:xfrm>
                          <a:off x="0" y="0"/>
                          <a:ext cx="6068060" cy="1091565"/>
                        </a:xfrm>
                        <a:prstGeom prst="rect">
                          <a:avLst/>
                        </a:prstGeom>
                        <a:noFill/>
                        <a:ln w="12700" cmpd="sng">
                          <a:solidFill>
                            <a:srgbClr val="009560"/>
                          </a:solidFill>
                        </a:ln>
                        <a:effectLst/>
                      </wps:spPr>
                      <wps:txbx>
                        <w:txbxContent>
                          <w:p w14:paraId="182BBBB7" w14:textId="77777777" w:rsidR="00377CCF" w:rsidRPr="00245485" w:rsidRDefault="00377CCF" w:rsidP="00377CCF">
                            <w:pPr>
                              <w:rPr>
                                <w:rFonts w:cs="Arial"/>
                                <w:b/>
                                <w:bCs/>
                                <w:color w:val="15272F" w:themeColor="dark1"/>
                                <w:sz w:val="18"/>
                                <w:szCs w:val="18"/>
                              </w:rPr>
                            </w:pPr>
                            <w:r w:rsidRPr="00245485">
                              <w:rPr>
                                <w:rFonts w:cs="Arial"/>
                                <w:b/>
                                <w:bCs/>
                                <w:color w:val="15272F" w:themeColor="dark1"/>
                                <w:sz w:val="18"/>
                                <w:szCs w:val="18"/>
                              </w:rPr>
                              <w:t>Budget variances commentary</w:t>
                            </w:r>
                            <w:r w:rsidRPr="00245485">
                              <w:rPr>
                                <w:rFonts w:cs="Arial"/>
                                <w:b/>
                                <w:bCs/>
                                <w:color w:val="15272F" w:themeColor="dark1"/>
                                <w:sz w:val="18"/>
                                <w:szCs w:val="18"/>
                              </w:rPr>
                              <w:br/>
                            </w:r>
                            <w:r w:rsidRPr="00245485">
                              <w:rPr>
                                <w:rFonts w:cs="Arial"/>
                                <w:b/>
                                <w:bCs/>
                                <w:color w:val="15272F" w:themeColor="dark1"/>
                                <w:sz w:val="18"/>
                                <w:szCs w:val="18"/>
                              </w:rPr>
                              <w:br/>
                              <w:t>Statement of changes in cash flow</w:t>
                            </w:r>
                          </w:p>
                          <w:p w14:paraId="60CD2249" w14:textId="77777777" w:rsidR="00377CCF" w:rsidRPr="00245485" w:rsidRDefault="00377CCF" w:rsidP="00377CCF">
                            <w:pPr>
                              <w:rPr>
                                <w:rFonts w:cs="Arial"/>
                                <w:color w:val="15272F" w:themeColor="dark1"/>
                                <w:sz w:val="18"/>
                                <w:szCs w:val="18"/>
                              </w:rPr>
                            </w:pPr>
                            <w:r w:rsidRPr="00245485">
                              <w:rPr>
                                <w:rFonts w:cs="Arial"/>
                                <w:color w:val="15272F" w:themeColor="dark1"/>
                                <w:sz w:val="18"/>
                                <w:szCs w:val="18"/>
                              </w:rPr>
                              <w:t>The closing cash balance of $94.415m was $47.209m higher than the budget due to retained surpluses noting that the budget is derived on a break-even assumption.</w:t>
                            </w:r>
                          </w:p>
                        </w:txbxContent>
                      </wps:txbx>
                      <wps:bodyPr vertOverflow="clip" horzOverflow="clip" wrap="square" rtlCol="0" anchor="t">
                        <a:noAutofit/>
                      </wps:bodyPr>
                    </wps:wsp>
                  </a:graphicData>
                </a:graphic>
                <wp14:sizeRelH relativeFrom="margin">
                  <wp14:pctWidth>0</wp14:pctWidth>
                </wp14:sizeRelH>
              </wp:anchor>
            </w:drawing>
          </mc:Choice>
          <mc:Fallback>
            <w:pict>
              <v:shape w14:anchorId="4FA1E407" id="_x0000_s1030" type="#_x0000_t202" style="position:absolute;margin-left:8.25pt;margin-top:21.05pt;width:477.8pt;height:85.95pt;z-index:251687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" filled="f" strokecolor="#009560" strokeweight="1pt">
                <v:textbox>
                  <w:txbxContent>
                    <w:p w14:paraId="182BBBB7" w14:textId="77777777" w:rsidR="00377CCF" w:rsidRPr="00245485" w:rsidRDefault="00377CCF" w:rsidP="00377CCF">
                      <w:pPr>
                        <w:rPr>
                          <w:rFonts w:cs="Arial"/>
                          <w:b/>
                          <w:bCs/>
                          <w:color w:val="15272F" w:themeColor="dark1"/>
                          <w:sz w:val="18"/>
                          <w:szCs w:val="18"/>
                        </w:rPr>
                      </w:pPr>
                      <w:r w:rsidRPr="00245485">
                        <w:rPr>
                          <w:rFonts w:cs="Arial"/>
                          <w:b/>
                          <w:bCs/>
                          <w:color w:val="15272F" w:themeColor="dark1"/>
                          <w:sz w:val="18"/>
                          <w:szCs w:val="18"/>
                        </w:rPr>
                        <w:t>Budget variances commentary</w:t>
                      </w:r>
                      <w:r w:rsidRPr="00245485">
                        <w:rPr>
                          <w:rFonts w:cs="Arial"/>
                          <w:b/>
                          <w:bCs/>
                          <w:color w:val="15272F" w:themeColor="dark1"/>
                          <w:sz w:val="18"/>
                          <w:szCs w:val="18"/>
                        </w:rPr>
                        <w:br/>
                      </w:r>
                      <w:r w:rsidRPr="00245485">
                        <w:rPr>
                          <w:rFonts w:cs="Arial"/>
                          <w:b/>
                          <w:bCs/>
                          <w:color w:val="15272F" w:themeColor="dark1"/>
                          <w:sz w:val="18"/>
                          <w:szCs w:val="18"/>
                        </w:rPr>
                        <w:br/>
                        <w:t>Statement of changes in cash flow</w:t>
                      </w:r>
                    </w:p>
                    <w:p w14:paraId="60CD2249" w14:textId="77777777" w:rsidR="00377CCF" w:rsidRPr="00245485" w:rsidRDefault="00377CCF" w:rsidP="00377CCF">
                      <w:pPr>
                        <w:rPr>
                          <w:rFonts w:cs="Arial"/>
                          <w:color w:val="15272F" w:themeColor="dark1"/>
                          <w:sz w:val="18"/>
                          <w:szCs w:val="18"/>
                        </w:rPr>
                      </w:pPr>
                      <w:r w:rsidRPr="00245485">
                        <w:rPr>
                          <w:rFonts w:cs="Arial"/>
                          <w:color w:val="15272F" w:themeColor="dark1"/>
                          <w:sz w:val="18"/>
                          <w:szCs w:val="18"/>
                        </w:rPr>
                        <w:t>The closing cash balance of $94.415m was $47.209m higher than the budget due to retained surpluses noting that the budget is derived on a break-even assumption.</w:t>
                      </w:r>
                    </w:p>
                  </w:txbxContent>
                </v:textbox>
                <w10:wrap type="square" anchorx="margin"/>
              </v:shape>
            </w:pict>
          </mc:Fallback>
        </mc:AlternateContent>
      </w:r>
    </w:p>
    <w:p w14:paraId="2A36210E" w14:textId="29A9E364" w:rsidR="00EB0D85" w:rsidRDefault="00EB0D85" w:rsidP="00EB0D85"/>
    <w:p w14:paraId="325D186E" w14:textId="77777777" w:rsidR="00EB0D85" w:rsidRDefault="00EB0D85" w:rsidP="00EB0D85"/>
    <w:p w14:paraId="387F00D7" w14:textId="77777777" w:rsidR="00EB0D85" w:rsidRDefault="00EB0D85" w:rsidP="00EB0D85"/>
    <w:p w14:paraId="7B4FF984" w14:textId="77777777" w:rsidR="00EB0D85" w:rsidRDefault="00EB0D85" w:rsidP="00EB0D85"/>
    <w:p w14:paraId="4D699CA6" w14:textId="77777777" w:rsidR="00377CCF" w:rsidRDefault="00377CCF" w:rsidP="00377CCF">
      <w:pPr>
        <w:pStyle w:val="Heading2"/>
      </w:pPr>
      <w:r>
        <w:lastRenderedPageBreak/>
        <w:t xml:space="preserve">Overview </w:t>
      </w:r>
    </w:p>
    <w:p w14:paraId="67AB7C05" w14:textId="77777777" w:rsidR="00377CCF" w:rsidRDefault="00377CCF" w:rsidP="00377CCF">
      <w:pPr>
        <w:pStyle w:val="Heading3"/>
      </w:pPr>
      <w:bookmarkStart w:id="990" w:name="_Toc235786172"/>
      <w:bookmarkStart w:id="991" w:name="_Toc235787503"/>
      <w:bookmarkStart w:id="992" w:name="_Toc235791641"/>
      <w:r>
        <w:t>Objectives of the Independent Health and Aged Care Pricing Authority</w:t>
      </w:r>
      <w:bookmarkEnd w:id="990"/>
      <w:bookmarkEnd w:id="991"/>
      <w:bookmarkEnd w:id="992"/>
      <w:r>
        <w:t xml:space="preserve"> </w:t>
      </w:r>
    </w:p>
    <w:p w14:paraId="38C1C55A" w14:textId="77777777" w:rsidR="00377CCF" w:rsidRPr="00FB5935" w:rsidRDefault="00377CCF" w:rsidP="00377CCF">
      <w:r w:rsidRPr="00FB5935">
        <w:t xml:space="preserve">The Independent Health and Aged Care Pricing Authority (IHACPA) is a corporate Commonwealth entity under the </w:t>
      </w:r>
      <w:r w:rsidRPr="00FB5935">
        <w:rPr>
          <w:i/>
          <w:iCs/>
        </w:rPr>
        <w:t>Public Governance, Performance and Accountability Act 2013</w:t>
      </w:r>
      <w:r w:rsidRPr="00FB5935">
        <w:t xml:space="preserve"> (PGPA Act) with its principal place of business located at Level 12, 1 Oxford Street, Sydney NSW.</w:t>
      </w:r>
    </w:p>
    <w:p w14:paraId="7CBCD8FF" w14:textId="77777777" w:rsidR="00377CCF" w:rsidRPr="00FB5935" w:rsidRDefault="00377CCF" w:rsidP="00377CCF">
      <w:r w:rsidRPr="00FB5935">
        <w:t xml:space="preserve">IHACPA's role and functions are set out in the </w:t>
      </w:r>
      <w:r w:rsidRPr="00FB5935">
        <w:rPr>
          <w:i/>
          <w:iCs/>
        </w:rPr>
        <w:t>National Health Reform Act 2011</w:t>
      </w:r>
      <w:r>
        <w:t xml:space="preserve"> and </w:t>
      </w:r>
      <w:r w:rsidRPr="00FB5935">
        <w:t xml:space="preserve">the </w:t>
      </w:r>
      <w:r w:rsidRPr="00FB5935">
        <w:rPr>
          <w:i/>
          <w:iCs/>
        </w:rPr>
        <w:t>Aged Care Act 2024</w:t>
      </w:r>
      <w:r>
        <w:rPr>
          <w:rStyle w:val="FootnoteReference"/>
        </w:rPr>
        <w:footnoteReference w:id="7"/>
      </w:r>
      <w:r w:rsidRPr="00FB5935">
        <w:t>. IHACPA's role and functions include the:</w:t>
      </w:r>
    </w:p>
    <w:p w14:paraId="73DD9D87" w14:textId="77777777" w:rsidR="00377CCF" w:rsidRPr="00FB5935" w:rsidRDefault="00377CCF" w:rsidP="00377CCF">
      <w:pPr>
        <w:pStyle w:val="ListLevel1"/>
      </w:pPr>
      <w:r w:rsidRPr="00FB5935">
        <w:t xml:space="preserve">determination of the national efficient price and national efficient cost for public hospital services </w:t>
      </w:r>
    </w:p>
    <w:p w14:paraId="17F13DA8" w14:textId="77777777" w:rsidR="00377CCF" w:rsidRPr="00FB5935" w:rsidRDefault="00377CCF" w:rsidP="00377CCF">
      <w:pPr>
        <w:pStyle w:val="ListLevel1"/>
      </w:pPr>
      <w:r w:rsidRPr="00FB5935">
        <w:t>development of national classifications for activity-based funding</w:t>
      </w:r>
    </w:p>
    <w:p w14:paraId="1CD70204" w14:textId="77777777" w:rsidR="00377CCF" w:rsidRPr="00FB5935" w:rsidRDefault="00377CCF" w:rsidP="00377CCF">
      <w:pPr>
        <w:pStyle w:val="ListLevel1"/>
      </w:pPr>
      <w:r w:rsidRPr="00FB5935">
        <w:t xml:space="preserve">resolution of disputes on cost-shifting and cross-border issues </w:t>
      </w:r>
    </w:p>
    <w:p w14:paraId="7F751ED4" w14:textId="77777777" w:rsidR="00377CCF" w:rsidRPr="00FB5935" w:rsidRDefault="00377CCF" w:rsidP="00377CCF">
      <w:pPr>
        <w:pStyle w:val="ListLevel1"/>
      </w:pPr>
      <w:r w:rsidRPr="00FB5935">
        <w:t xml:space="preserve">provision of advice on healthcare pricing and costing matters </w:t>
      </w:r>
    </w:p>
    <w:p w14:paraId="4B2CA0E1" w14:textId="77777777" w:rsidR="00377CCF" w:rsidRPr="00FB5935" w:rsidRDefault="00377CCF" w:rsidP="00377CCF">
      <w:pPr>
        <w:pStyle w:val="ListLevel1"/>
      </w:pPr>
      <w:r w:rsidRPr="00FB5935">
        <w:t xml:space="preserve">provision of advice on aged care pricing and costing matters </w:t>
      </w:r>
    </w:p>
    <w:p w14:paraId="0A24A6F1" w14:textId="77777777" w:rsidR="00377CCF" w:rsidRPr="00FB5935" w:rsidRDefault="00377CCF" w:rsidP="00377CCF">
      <w:pPr>
        <w:pStyle w:val="ListLevel1"/>
      </w:pPr>
      <w:r w:rsidRPr="00FB5935">
        <w:t xml:space="preserve">performance of certain functions conferred by the </w:t>
      </w:r>
      <w:r w:rsidRPr="00CD2862">
        <w:rPr>
          <w:i/>
          <w:iCs/>
        </w:rPr>
        <w:t>Aged Care Act 2024</w:t>
      </w:r>
      <w:r w:rsidRPr="00FB5935">
        <w:t xml:space="preserve">. </w:t>
      </w:r>
    </w:p>
    <w:p w14:paraId="3B251ECD" w14:textId="77777777" w:rsidR="00377CCF" w:rsidRPr="00FB5935" w:rsidRDefault="00377CCF" w:rsidP="00377CCF">
      <w:pPr>
        <w:pStyle w:val="ListLevel1"/>
        <w:numPr>
          <w:ilvl w:val="0"/>
          <w:numId w:val="0"/>
        </w:numPr>
      </w:pPr>
    </w:p>
    <w:p w14:paraId="1A1B819B" w14:textId="77777777" w:rsidR="00377CCF" w:rsidRPr="00FB5935" w:rsidRDefault="00377CCF" w:rsidP="00377CCF">
      <w:pPr>
        <w:pStyle w:val="ListLevel1"/>
        <w:numPr>
          <w:ilvl w:val="0"/>
          <w:numId w:val="0"/>
        </w:numPr>
      </w:pPr>
      <w:r w:rsidRPr="00FB5935">
        <w:t xml:space="preserve">The continued existence of the entity in its present form, and with its present programs, is dependent on government policy and on continuing funding by parliament for the entity's administration and programs. </w:t>
      </w:r>
    </w:p>
    <w:p w14:paraId="2C47D6B3" w14:textId="77777777" w:rsidR="00377CCF" w:rsidRDefault="00377CCF" w:rsidP="00377CCF">
      <w:pPr>
        <w:pStyle w:val="ListLevel1"/>
        <w:numPr>
          <w:ilvl w:val="0"/>
          <w:numId w:val="0"/>
        </w:numPr>
      </w:pPr>
    </w:p>
    <w:p w14:paraId="5B045E21" w14:textId="77777777" w:rsidR="00377CCF" w:rsidRDefault="00377CCF" w:rsidP="00377CCF">
      <w:pPr>
        <w:pStyle w:val="Heading3"/>
      </w:pPr>
      <w:bookmarkStart w:id="993" w:name="_Toc235786173"/>
      <w:bookmarkStart w:id="994" w:name="_Toc235787504"/>
      <w:bookmarkStart w:id="995" w:name="_Toc235791642"/>
      <w:r>
        <w:t>The basis of preparation</w:t>
      </w:r>
      <w:bookmarkEnd w:id="993"/>
      <w:bookmarkEnd w:id="994"/>
      <w:bookmarkEnd w:id="995"/>
    </w:p>
    <w:p w14:paraId="519BEE4E" w14:textId="77777777" w:rsidR="00377CCF" w:rsidRPr="00FB5935" w:rsidRDefault="00377CCF" w:rsidP="00377CCF">
      <w:pPr>
        <w:pStyle w:val="ListLevel1"/>
        <w:numPr>
          <w:ilvl w:val="0"/>
          <w:numId w:val="0"/>
        </w:numPr>
      </w:pPr>
      <w:r w:rsidRPr="00FB5935">
        <w:t>The financial statements are general purpose financial statements and are required by section 42 of the PGPA Act.</w:t>
      </w:r>
    </w:p>
    <w:p w14:paraId="661209C4" w14:textId="77777777" w:rsidR="00377CCF" w:rsidRPr="00FB5935" w:rsidRDefault="00377CCF" w:rsidP="00377CCF">
      <w:r w:rsidRPr="00FB5935">
        <w:t>The financial statements have been prepared in accordance with the:</w:t>
      </w:r>
    </w:p>
    <w:p w14:paraId="5D0D7F77" w14:textId="6F3863B9" w:rsidR="00377CCF" w:rsidRPr="00FB5935" w:rsidRDefault="00377CCF" w:rsidP="00377CCF">
      <w:pPr>
        <w:pStyle w:val="ListParagraph"/>
        <w:numPr>
          <w:ilvl w:val="0"/>
          <w:numId w:val="45"/>
        </w:numPr>
      </w:pPr>
      <w:r w:rsidRPr="00FB5935">
        <w:t>Public Governance, Performance and Accountability (Financial Reporting) Rule 2015 F</w:t>
      </w:r>
      <w:r w:rsidR="002B28AB">
        <w:t>R</w:t>
      </w:r>
      <w:r w:rsidRPr="00FB5935">
        <w:t xml:space="preserve">R </w:t>
      </w:r>
    </w:p>
    <w:p w14:paraId="69DFDB35" w14:textId="77777777" w:rsidR="00377CCF" w:rsidRPr="00FB5935" w:rsidRDefault="00377CCF" w:rsidP="00377CCF">
      <w:pPr>
        <w:pStyle w:val="ListParagraph"/>
        <w:numPr>
          <w:ilvl w:val="0"/>
          <w:numId w:val="45"/>
        </w:numPr>
      </w:pPr>
      <w:r w:rsidRPr="00FB5935">
        <w:t>Australian Accounting Standards and Interpretations – including simplified disclosures for Tier 2 Entities under AASB 1060 issued by the Australian Accounting Standards Board (AASB) that apply for the reporting period.</w:t>
      </w:r>
    </w:p>
    <w:p w14:paraId="4BE97E6F" w14:textId="77777777" w:rsidR="00377CCF" w:rsidRPr="00FB5935" w:rsidRDefault="00377CCF" w:rsidP="00377CCF">
      <w:r w:rsidRPr="00FB5935">
        <w:t>The financial statements have been prepared on an accrual basis and in accordance with the historical cost convention, except for certain assets and liabilities at fair value. Except where stated, no allowance is made for the effect of changing prices on the results or the financial position. The financial statements are presented in Australian dollars and values are rounded to the nearest thousand dollars, unless otherwise specified.</w:t>
      </w:r>
    </w:p>
    <w:p w14:paraId="57A43DAB" w14:textId="77777777" w:rsidR="00377CCF" w:rsidRDefault="00377CCF" w:rsidP="00377CCF">
      <w:pPr>
        <w:pStyle w:val="Heading3"/>
      </w:pPr>
      <w:bookmarkStart w:id="996" w:name="_Toc235786174"/>
      <w:bookmarkStart w:id="997" w:name="_Toc235787505"/>
      <w:bookmarkStart w:id="998" w:name="_Toc235791643"/>
      <w:r>
        <w:lastRenderedPageBreak/>
        <w:t>Significant changes affecting IHACPA during 2025–26</w:t>
      </w:r>
      <w:bookmarkEnd w:id="996"/>
      <w:bookmarkEnd w:id="997"/>
      <w:bookmarkEnd w:id="998"/>
      <w:r>
        <w:t xml:space="preserve"> </w:t>
      </w:r>
    </w:p>
    <w:p w14:paraId="52DE9EB0" w14:textId="77777777" w:rsidR="00377CCF" w:rsidRDefault="00377CCF" w:rsidP="00377CCF">
      <w:r w:rsidRPr="00B97947">
        <w:t>No significant changes affecting IHACPA functions have occurred in this reporting period.</w:t>
      </w:r>
    </w:p>
    <w:p w14:paraId="417AB069" w14:textId="77777777" w:rsidR="00377CCF" w:rsidRDefault="00377CCF" w:rsidP="00377CCF">
      <w:pPr>
        <w:pStyle w:val="Heading3"/>
      </w:pPr>
      <w:bookmarkStart w:id="999" w:name="_Toc235786175"/>
      <w:bookmarkStart w:id="1000" w:name="_Toc235787506"/>
      <w:bookmarkStart w:id="1001" w:name="_Toc235791644"/>
      <w:r>
        <w:t>New accounting standards</w:t>
      </w:r>
      <w:bookmarkEnd w:id="999"/>
      <w:bookmarkEnd w:id="1000"/>
      <w:bookmarkEnd w:id="1001"/>
    </w:p>
    <w:p w14:paraId="1ACE8A42" w14:textId="77777777" w:rsidR="00377CCF" w:rsidRDefault="00377CCF" w:rsidP="00377CCF">
      <w:r w:rsidRPr="005B6B14">
        <w:t>IHACPA has adopted all new, revised and amending standards and interpretations that were issued by the Australian Accounting Standards Board (AASB) prior to the sign-off date and are applicable to the current reporting period. The adoption of these standards and interpretations did not have a material effect</w:t>
      </w:r>
      <w:r>
        <w:t>,</w:t>
      </w:r>
      <w:r w:rsidRPr="005B6B14">
        <w:t xml:space="preserve"> and are not expected to have a future material effect on IHACPA's financial statements.</w:t>
      </w:r>
    </w:p>
    <w:p w14:paraId="009ABEDA" w14:textId="4296522F" w:rsidR="00377CCF" w:rsidRDefault="00377CCF" w:rsidP="00377CCF">
      <w:r>
        <w:t xml:space="preserve">No accounting standard has been adopted earlier than the application date as stated in the standard. </w:t>
      </w:r>
    </w:p>
    <w:p w14:paraId="4B985F80" w14:textId="77777777" w:rsidR="00377CCF" w:rsidRPr="005B6B14" w:rsidRDefault="00377CCF" w:rsidP="00377CCF">
      <w:pPr>
        <w:pStyle w:val="Heading3"/>
        <w:rPr>
          <w:color w:val="15272F" w:themeColor="text1"/>
        </w:rPr>
      </w:pPr>
      <w:bookmarkStart w:id="1002" w:name="_Toc235786176"/>
      <w:bookmarkStart w:id="1003" w:name="_Toc235787507"/>
      <w:bookmarkStart w:id="1004" w:name="_Toc235791645"/>
      <w:r>
        <w:t>Significant accounting judgements and estimates</w:t>
      </w:r>
      <w:bookmarkEnd w:id="1002"/>
      <w:bookmarkEnd w:id="1003"/>
      <w:bookmarkEnd w:id="1004"/>
      <w:r>
        <w:t xml:space="preserve"> </w:t>
      </w:r>
    </w:p>
    <w:p w14:paraId="2F949515" w14:textId="77777777" w:rsidR="00377CCF" w:rsidRDefault="00377CCF" w:rsidP="00377CCF">
      <w:r w:rsidRPr="00386259">
        <w:t>Except where specifically identified and disclosed, IHACPA has determined that no accounting assumptions and estimates have a significant risk of causing a material adjustment to carrying amounts of assets and liabilities within the next accounting period.</w:t>
      </w:r>
    </w:p>
    <w:p w14:paraId="722814ED" w14:textId="77777777" w:rsidR="00377CCF" w:rsidRDefault="00377CCF" w:rsidP="00377CCF">
      <w:pPr>
        <w:pStyle w:val="Heading3"/>
      </w:pPr>
      <w:bookmarkStart w:id="1005" w:name="_Toc235786177"/>
      <w:bookmarkStart w:id="1006" w:name="_Toc235787508"/>
      <w:bookmarkStart w:id="1007" w:name="_Toc235791646"/>
      <w:r>
        <w:t>Taxation</w:t>
      </w:r>
      <w:bookmarkEnd w:id="1005"/>
      <w:bookmarkEnd w:id="1006"/>
      <w:bookmarkEnd w:id="1007"/>
    </w:p>
    <w:p w14:paraId="06B7C130" w14:textId="77777777" w:rsidR="00377CCF" w:rsidRDefault="00377CCF" w:rsidP="00377CCF">
      <w:r>
        <w:t xml:space="preserve">IHACPA is exempt from all forms of taxation, except Fringe Benefits Tax (FBT) and the Goods and Services Tax (GST). </w:t>
      </w:r>
    </w:p>
    <w:p w14:paraId="527AEFEE" w14:textId="77777777" w:rsidR="00377CCF" w:rsidRDefault="00377CCF" w:rsidP="00377CCF">
      <w:pPr>
        <w:pStyle w:val="Heading3"/>
      </w:pPr>
      <w:bookmarkStart w:id="1008" w:name="_Toc235786178"/>
      <w:bookmarkStart w:id="1009" w:name="_Toc235787509"/>
      <w:bookmarkStart w:id="1010" w:name="_Toc235791647"/>
      <w:r>
        <w:t>Events after the reporting period</w:t>
      </w:r>
      <w:bookmarkEnd w:id="1008"/>
      <w:bookmarkEnd w:id="1009"/>
      <w:bookmarkEnd w:id="1010"/>
      <w:r>
        <w:t xml:space="preserve"> </w:t>
      </w:r>
    </w:p>
    <w:p w14:paraId="51535EB8" w14:textId="77777777" w:rsidR="00377CCF" w:rsidRPr="006619C2" w:rsidRDefault="00377CCF" w:rsidP="00377CCF">
      <w:r w:rsidRPr="006619C2">
        <w:t xml:space="preserve">On 27 February 2026, the Australian Government and all state and territory governments signed the Addendum, which amends the National Health Reform Agreement (NHRA) for the period 1 July 2026 to 30 June 2031 (the addendum). </w:t>
      </w:r>
    </w:p>
    <w:p w14:paraId="066589D8" w14:textId="77777777" w:rsidR="00377CCF" w:rsidRPr="006619C2" w:rsidRDefault="00377CCF" w:rsidP="00377CCF">
      <w:r w:rsidRPr="006619C2">
        <w:t>The addendum establishes a renewed framework for Australian Government, state and territory cooperation in public hospital funding and broader health system reform. It provides an ambitious reform agenda, responding to persistent system pressures and demographic change. The addendum reframes the role of public hospitals within a person centred, equitable, responsive and sustainable whole of system health and care model, recognising the interdependencies between hospitals, primary care, aged care, disability services and community based supports.</w:t>
      </w:r>
    </w:p>
    <w:p w14:paraId="0065E483" w14:textId="77777777" w:rsidR="00377CCF" w:rsidRPr="006619C2" w:rsidRDefault="00377CCF" w:rsidP="00377CCF">
      <w:r w:rsidRPr="006619C2">
        <w:t>It sets 3 main objectives that all Australian governments will focus on over the next 5 years. These objectives are intended to ensure the delivery of safe, high quality health care, in the right place, at the right time.</w:t>
      </w:r>
    </w:p>
    <w:p w14:paraId="5FFC1C2D" w14:textId="77777777" w:rsidR="00377CCF" w:rsidRPr="006619C2" w:rsidRDefault="00377CCF" w:rsidP="00377CCF">
      <w:r w:rsidRPr="006619C2">
        <w:t>Objective 1 – Better health outcomes and experiences for all Australians and better value for patients.</w:t>
      </w:r>
    </w:p>
    <w:p w14:paraId="65D1D917" w14:textId="77777777" w:rsidR="00377CCF" w:rsidRPr="006619C2" w:rsidRDefault="00377CCF" w:rsidP="00377CCF">
      <w:r w:rsidRPr="006619C2">
        <w:t>Objective 2 – Stronger shared stewardship of the whole health system.</w:t>
      </w:r>
    </w:p>
    <w:p w14:paraId="3E82416A" w14:textId="77777777" w:rsidR="00377CCF" w:rsidRPr="006619C2" w:rsidRDefault="00377CCF" w:rsidP="00377CCF">
      <w:r w:rsidRPr="006619C2">
        <w:t>Objective 3 – A simpler, more equitable public hospital and health services funding model</w:t>
      </w:r>
      <w:r>
        <w:t>.</w:t>
      </w:r>
    </w:p>
    <w:p w14:paraId="2614553A" w14:textId="77777777" w:rsidR="00377CCF" w:rsidRPr="006619C2" w:rsidRDefault="00377CCF" w:rsidP="00377CCF">
      <w:r w:rsidRPr="006619C2">
        <w:lastRenderedPageBreak/>
        <w:t>Consistent with the objectives, the reforms are intended to support improved patient experience and outcomes, strengthen population health, promote high-quality and evidence</w:t>
      </w:r>
      <w:r>
        <w:t xml:space="preserve"> </w:t>
      </w:r>
      <w:r w:rsidRPr="006619C2">
        <w:t>based care, and ensure the long</w:t>
      </w:r>
      <w:r>
        <w:t xml:space="preserve"> </w:t>
      </w:r>
      <w:r w:rsidRPr="006619C2">
        <w:t>term financial sustainability of the public hospital system. These objectives underpin the design of the new governance, funding and accountability arrangements introduced through the addendum.</w:t>
      </w:r>
    </w:p>
    <w:p w14:paraId="7516641D" w14:textId="77777777" w:rsidR="00377CCF" w:rsidRPr="006619C2" w:rsidRDefault="00377CCF" w:rsidP="00377CCF">
      <w:r w:rsidRPr="006619C2">
        <w:t>The addendum introduces substantial reforms to national health funding, pricing, governance and accountability, many of which directly impact IHACPA’s responsibilities and introduce a significant amount of work for IHACPA.</w:t>
      </w:r>
    </w:p>
    <w:p w14:paraId="770BA8C3" w14:textId="77777777" w:rsidR="00377CCF" w:rsidRDefault="00377CCF" w:rsidP="00377CCF">
      <w:r>
        <w:t>IHACPA will consult with relevant stakeholders regarding proposed implementation, including its advisory committees and working groups.</w:t>
      </w:r>
    </w:p>
    <w:p w14:paraId="15564757" w14:textId="77777777" w:rsidR="00377CCF" w:rsidRDefault="00377CCF" w:rsidP="00377CCF">
      <w:r>
        <w:t>No other events have occurred since the reporting date which have had a material impact on the financial statements.</w:t>
      </w:r>
    </w:p>
    <w:p w14:paraId="29FB89E2" w14:textId="77777777" w:rsidR="00377CCF" w:rsidRDefault="00377CCF" w:rsidP="00377CCF"/>
    <w:p w14:paraId="46242CBF" w14:textId="77777777" w:rsidR="00EB0D85" w:rsidRDefault="00EB0D85" w:rsidP="00EB0D85"/>
    <w:p w14:paraId="74D57586" w14:textId="77777777" w:rsidR="00EB0D85" w:rsidRDefault="00EB0D85" w:rsidP="00EB0D85"/>
    <w:p w14:paraId="3C0A833A" w14:textId="77777777" w:rsidR="00EB0D85" w:rsidRDefault="00EB0D85" w:rsidP="00EB0D85"/>
    <w:p w14:paraId="3E3E0DC3" w14:textId="77777777" w:rsidR="00EB0D85" w:rsidRPr="00000AAD" w:rsidRDefault="00EB0D85" w:rsidP="00EB0D85"/>
    <w:p w14:paraId="6DA2D498" w14:textId="77777777" w:rsidR="00EB0D85" w:rsidRDefault="00EB0D85" w:rsidP="00EB0D85"/>
    <w:p w14:paraId="1AC2B47F" w14:textId="77777777" w:rsidR="00EB0D85" w:rsidRDefault="00EB0D85" w:rsidP="00EB0D85"/>
    <w:p w14:paraId="3A93278E" w14:textId="77777777" w:rsidR="00EB0D85" w:rsidRDefault="00EB0D85" w:rsidP="00EB0D85"/>
    <w:p w14:paraId="3A614E00" w14:textId="77777777" w:rsidR="00EB0D85" w:rsidRDefault="00EB0D85" w:rsidP="00EB0D85"/>
    <w:p w14:paraId="41FA208E" w14:textId="77777777" w:rsidR="00EB0D85" w:rsidRDefault="00EB0D85" w:rsidP="00EB0D85"/>
    <w:p w14:paraId="5CE275FC" w14:textId="77777777" w:rsidR="00EB0D85" w:rsidRDefault="00EB0D85" w:rsidP="00EB0D85"/>
    <w:p w14:paraId="091A00D1" w14:textId="77777777" w:rsidR="00EB0D85" w:rsidRDefault="00EB0D85" w:rsidP="00EB0D85"/>
    <w:p w14:paraId="459E12D0" w14:textId="77777777" w:rsidR="00EB0D85" w:rsidRDefault="00EB0D85" w:rsidP="00EB0D85"/>
    <w:p w14:paraId="5C449AF0" w14:textId="77777777" w:rsidR="00EB0D85" w:rsidRDefault="00EB0D85" w:rsidP="00EB0D85"/>
    <w:p w14:paraId="4EF8E02C" w14:textId="77777777" w:rsidR="00EB0D85" w:rsidRDefault="00EB0D85" w:rsidP="00EB0D85"/>
    <w:p w14:paraId="3D7C3E8D" w14:textId="77777777" w:rsidR="00377CCF" w:rsidRDefault="00377CCF" w:rsidP="00377CCF"/>
    <w:p w14:paraId="262833E9" w14:textId="77777777" w:rsidR="00377CCF" w:rsidRDefault="00377CCF" w:rsidP="00377CCF"/>
    <w:p w14:paraId="71DF24E0" w14:textId="77777777" w:rsidR="007478E1" w:rsidRDefault="007478E1" w:rsidP="007478E1">
      <w:bookmarkStart w:id="1011" w:name="_Toc235786179"/>
      <w:bookmarkStart w:id="1012" w:name="_Toc235787510"/>
      <w:bookmarkStart w:id="1013" w:name="_Toc235791648"/>
    </w:p>
    <w:p w14:paraId="463B7D4F" w14:textId="61D635E9" w:rsidR="007478E1" w:rsidRDefault="007478E1" w:rsidP="007478E1">
      <w:pPr>
        <w:pStyle w:val="Heading1"/>
      </w:pPr>
      <w:r>
        <w:lastRenderedPageBreak/>
        <w:t>Financial performance</w:t>
      </w:r>
      <w:bookmarkEnd w:id="1011"/>
      <w:bookmarkEnd w:id="1012"/>
      <w:bookmarkEnd w:id="1013"/>
      <w:r>
        <w:t xml:space="preserve"> </w:t>
      </w:r>
    </w:p>
    <w:p w14:paraId="7E8C4CD5" w14:textId="77777777" w:rsidR="007478E1" w:rsidRDefault="007478E1" w:rsidP="007478E1">
      <w:r>
        <w:t xml:space="preserve">This section analyses the financial performance of IHACPA for the year ended 30 June 2026. </w:t>
      </w:r>
    </w:p>
    <w:tbl>
      <w:tblPr>
        <w:tblW w:w="8968" w:type="dxa"/>
        <w:tblLook w:val="04A0" w:firstRow="1" w:lastRow="0" w:firstColumn="1" w:lastColumn="0" w:noHBand="0" w:noVBand="1"/>
      </w:tblPr>
      <w:tblGrid>
        <w:gridCol w:w="6536"/>
        <w:gridCol w:w="440"/>
        <w:gridCol w:w="736"/>
        <w:gridCol w:w="280"/>
        <w:gridCol w:w="797"/>
        <w:gridCol w:w="179"/>
      </w:tblGrid>
      <w:tr w:rsidR="007478E1" w:rsidRPr="00575658" w14:paraId="79349F2D" w14:textId="77777777" w:rsidTr="007478E1">
        <w:trPr>
          <w:trHeight w:val="300"/>
        </w:trPr>
        <w:tc>
          <w:tcPr>
            <w:tcW w:w="6976" w:type="dxa"/>
            <w:gridSpan w:val="2"/>
            <w:tcBorders>
              <w:top w:val="single" w:sz="4" w:space="0" w:color="FFFFFF"/>
              <w:left w:val="nil"/>
              <w:bottom w:val="single" w:sz="4" w:space="0" w:color="FFFFFF"/>
              <w:right w:val="nil"/>
            </w:tcBorders>
            <w:shd w:val="clear" w:color="000000" w:fill="37424A"/>
            <w:noWrap/>
            <w:vAlign w:val="center"/>
            <w:hideMark/>
          </w:tcPr>
          <w:p w14:paraId="4316D702" w14:textId="77777777" w:rsidR="007478E1" w:rsidRPr="00575658" w:rsidRDefault="007478E1" w:rsidP="00856101">
            <w:pPr>
              <w:spacing w:after="0" w:line="240" w:lineRule="auto"/>
              <w:rPr>
                <w:rFonts w:ascii="Cambria" w:eastAsia="Times New Roman" w:hAnsi="Cambria" w:cs="Calibri"/>
                <w:b/>
                <w:bCs/>
                <w:color w:val="FFFFFF"/>
                <w:sz w:val="18"/>
                <w:szCs w:val="18"/>
                <w:lang w:eastAsia="en-AU"/>
              </w:rPr>
            </w:pPr>
            <w:r w:rsidRPr="00575658">
              <w:rPr>
                <w:rFonts w:ascii="Cambria" w:eastAsia="Times New Roman" w:hAnsi="Cambria" w:cs="Calibri"/>
                <w:b/>
                <w:bCs/>
                <w:color w:val="FFFFFF"/>
                <w:sz w:val="18"/>
                <w:szCs w:val="18"/>
                <w:lang w:eastAsia="en-AU"/>
              </w:rPr>
              <w:t>Note 1.1 Expenses</w:t>
            </w:r>
          </w:p>
        </w:tc>
        <w:tc>
          <w:tcPr>
            <w:tcW w:w="1016" w:type="dxa"/>
            <w:gridSpan w:val="2"/>
            <w:tcBorders>
              <w:top w:val="single" w:sz="4" w:space="0" w:color="FFFFFF"/>
              <w:left w:val="nil"/>
              <w:bottom w:val="single" w:sz="4" w:space="0" w:color="FFFFFF"/>
              <w:right w:val="nil"/>
            </w:tcBorders>
            <w:shd w:val="clear" w:color="000000" w:fill="37424A"/>
            <w:noWrap/>
            <w:vAlign w:val="center"/>
            <w:hideMark/>
          </w:tcPr>
          <w:p w14:paraId="5E4346BC" w14:textId="77777777" w:rsidR="007478E1" w:rsidRPr="00575658" w:rsidRDefault="007478E1" w:rsidP="00856101">
            <w:pPr>
              <w:spacing w:after="0" w:line="240" w:lineRule="auto"/>
              <w:rPr>
                <w:rFonts w:ascii="Cambria" w:eastAsia="Times New Roman" w:hAnsi="Cambria" w:cs="Calibri"/>
                <w:b/>
                <w:bCs/>
                <w:color w:val="FFFFFF"/>
                <w:sz w:val="18"/>
                <w:szCs w:val="18"/>
                <w:lang w:eastAsia="en-AU"/>
              </w:rPr>
            </w:pPr>
            <w:r w:rsidRPr="00575658">
              <w:rPr>
                <w:rFonts w:ascii="Cambria" w:eastAsia="Times New Roman" w:hAnsi="Cambria" w:cs="Calibri"/>
                <w:b/>
                <w:bCs/>
                <w:color w:val="FFFFFF"/>
                <w:sz w:val="18"/>
                <w:szCs w:val="18"/>
                <w:lang w:eastAsia="en-AU"/>
              </w:rPr>
              <w:t> </w:t>
            </w:r>
          </w:p>
        </w:tc>
        <w:tc>
          <w:tcPr>
            <w:tcW w:w="976" w:type="dxa"/>
            <w:gridSpan w:val="2"/>
            <w:tcBorders>
              <w:top w:val="single" w:sz="4" w:space="0" w:color="FFFFFF"/>
              <w:left w:val="nil"/>
              <w:bottom w:val="single" w:sz="4" w:space="0" w:color="FFFFFF"/>
              <w:right w:val="nil"/>
            </w:tcBorders>
            <w:shd w:val="clear" w:color="000000" w:fill="37424A"/>
            <w:noWrap/>
            <w:vAlign w:val="center"/>
            <w:hideMark/>
          </w:tcPr>
          <w:p w14:paraId="55FD806C" w14:textId="77777777" w:rsidR="007478E1" w:rsidRPr="00575658" w:rsidRDefault="007478E1" w:rsidP="00856101">
            <w:pPr>
              <w:spacing w:after="0" w:line="240" w:lineRule="auto"/>
              <w:rPr>
                <w:rFonts w:ascii="Cambria" w:eastAsia="Times New Roman" w:hAnsi="Cambria" w:cs="Calibri"/>
                <w:b/>
                <w:bCs/>
                <w:color w:val="FFFFFF"/>
                <w:sz w:val="18"/>
                <w:szCs w:val="18"/>
                <w:lang w:eastAsia="en-AU"/>
              </w:rPr>
            </w:pPr>
            <w:r w:rsidRPr="00575658">
              <w:rPr>
                <w:rFonts w:ascii="Cambria" w:eastAsia="Times New Roman" w:hAnsi="Cambria" w:cs="Calibri"/>
                <w:b/>
                <w:bCs/>
                <w:color w:val="FFFFFF"/>
                <w:sz w:val="18"/>
                <w:szCs w:val="18"/>
                <w:lang w:eastAsia="en-AU"/>
              </w:rPr>
              <w:t> </w:t>
            </w:r>
          </w:p>
        </w:tc>
      </w:tr>
      <w:tr w:rsidR="007478E1" w:rsidRPr="00575658" w14:paraId="3CE053D4" w14:textId="77777777" w:rsidTr="007478E1">
        <w:trPr>
          <w:trHeight w:val="132"/>
        </w:trPr>
        <w:tc>
          <w:tcPr>
            <w:tcW w:w="6976" w:type="dxa"/>
            <w:gridSpan w:val="2"/>
            <w:tcBorders>
              <w:top w:val="nil"/>
              <w:left w:val="nil"/>
              <w:bottom w:val="nil"/>
              <w:right w:val="nil"/>
            </w:tcBorders>
            <w:hideMark/>
          </w:tcPr>
          <w:p w14:paraId="72CB696C" w14:textId="77777777" w:rsidR="007478E1" w:rsidRPr="00575658" w:rsidRDefault="007478E1" w:rsidP="00856101">
            <w:pPr>
              <w:spacing w:after="0" w:line="240" w:lineRule="auto"/>
              <w:rPr>
                <w:rFonts w:ascii="Cambria" w:eastAsia="Times New Roman" w:hAnsi="Cambria" w:cs="Calibri"/>
                <w:b/>
                <w:bCs/>
                <w:color w:val="FFFFFF"/>
                <w:sz w:val="18"/>
                <w:szCs w:val="18"/>
                <w:lang w:eastAsia="en-AU"/>
              </w:rPr>
            </w:pPr>
            <w:r w:rsidRPr="00575658">
              <w:rPr>
                <w:rFonts w:ascii="Cambria" w:eastAsia="Times New Roman" w:hAnsi="Cambria" w:cs="Calibri"/>
                <w:b/>
                <w:bCs/>
                <w:color w:val="FFFFFF"/>
                <w:sz w:val="18"/>
                <w:szCs w:val="18"/>
                <w:lang w:eastAsia="en-AU"/>
              </w:rPr>
              <w:t>Note 2.2A: Reconciliation of the Opening and Closing Balances of Property, Plant, Equipment and Intangibles</w:t>
            </w:r>
          </w:p>
        </w:tc>
        <w:tc>
          <w:tcPr>
            <w:tcW w:w="1016" w:type="dxa"/>
            <w:gridSpan w:val="2"/>
            <w:tcBorders>
              <w:top w:val="nil"/>
              <w:left w:val="nil"/>
              <w:bottom w:val="nil"/>
              <w:right w:val="nil"/>
            </w:tcBorders>
            <w:hideMark/>
          </w:tcPr>
          <w:p w14:paraId="0098399E" w14:textId="77777777" w:rsidR="007478E1" w:rsidRPr="00575658" w:rsidRDefault="007478E1" w:rsidP="00856101">
            <w:pPr>
              <w:spacing w:after="0" w:line="240" w:lineRule="auto"/>
              <w:rPr>
                <w:rFonts w:ascii="Cambria" w:eastAsia="Times New Roman" w:hAnsi="Cambria" w:cs="Calibri"/>
                <w:b/>
                <w:bCs/>
                <w:color w:val="FFFFFF"/>
                <w:sz w:val="18"/>
                <w:szCs w:val="18"/>
                <w:lang w:eastAsia="en-AU"/>
              </w:rPr>
            </w:pPr>
          </w:p>
        </w:tc>
        <w:tc>
          <w:tcPr>
            <w:tcW w:w="976" w:type="dxa"/>
            <w:gridSpan w:val="2"/>
            <w:tcBorders>
              <w:top w:val="nil"/>
              <w:left w:val="nil"/>
              <w:bottom w:val="nil"/>
              <w:right w:val="nil"/>
            </w:tcBorders>
            <w:hideMark/>
          </w:tcPr>
          <w:p w14:paraId="6AE70CBB" w14:textId="77777777" w:rsidR="007478E1" w:rsidRPr="00575658" w:rsidRDefault="007478E1" w:rsidP="00856101">
            <w:pPr>
              <w:spacing w:after="0" w:line="240" w:lineRule="auto"/>
              <w:rPr>
                <w:rFonts w:ascii="Times New Roman" w:eastAsia="Times New Roman" w:hAnsi="Times New Roman" w:cs="Times New Roman"/>
                <w:color w:val="auto"/>
                <w:sz w:val="20"/>
                <w:szCs w:val="20"/>
                <w:lang w:eastAsia="en-AU"/>
              </w:rPr>
            </w:pPr>
          </w:p>
        </w:tc>
      </w:tr>
      <w:tr w:rsidR="007478E1" w:rsidRPr="00575658" w14:paraId="42C81218" w14:textId="77777777" w:rsidTr="007478E1">
        <w:trPr>
          <w:trHeight w:val="240"/>
        </w:trPr>
        <w:tc>
          <w:tcPr>
            <w:tcW w:w="6976" w:type="dxa"/>
            <w:gridSpan w:val="2"/>
            <w:tcBorders>
              <w:top w:val="nil"/>
              <w:left w:val="nil"/>
              <w:bottom w:val="nil"/>
              <w:right w:val="nil"/>
            </w:tcBorders>
            <w:hideMark/>
          </w:tcPr>
          <w:p w14:paraId="04FCAEA1" w14:textId="77777777" w:rsidR="007478E1" w:rsidRPr="00575658" w:rsidRDefault="007478E1" w:rsidP="00856101">
            <w:pPr>
              <w:spacing w:after="0" w:line="240" w:lineRule="auto"/>
              <w:rPr>
                <w:rFonts w:ascii="Times New Roman" w:eastAsia="Times New Roman" w:hAnsi="Times New Roman" w:cs="Times New Roman"/>
                <w:color w:val="auto"/>
                <w:sz w:val="20"/>
                <w:szCs w:val="20"/>
                <w:lang w:eastAsia="en-AU"/>
              </w:rPr>
            </w:pPr>
          </w:p>
        </w:tc>
        <w:tc>
          <w:tcPr>
            <w:tcW w:w="1016" w:type="dxa"/>
            <w:gridSpan w:val="2"/>
            <w:tcBorders>
              <w:top w:val="nil"/>
              <w:left w:val="nil"/>
              <w:bottom w:val="nil"/>
              <w:right w:val="nil"/>
            </w:tcBorders>
            <w:noWrap/>
            <w:vAlign w:val="bottom"/>
            <w:hideMark/>
          </w:tcPr>
          <w:p w14:paraId="6CC41C52"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2026</w:t>
            </w:r>
          </w:p>
        </w:tc>
        <w:tc>
          <w:tcPr>
            <w:tcW w:w="976" w:type="dxa"/>
            <w:gridSpan w:val="2"/>
            <w:tcBorders>
              <w:top w:val="nil"/>
              <w:left w:val="nil"/>
              <w:bottom w:val="nil"/>
              <w:right w:val="nil"/>
            </w:tcBorders>
            <w:noWrap/>
            <w:vAlign w:val="bottom"/>
            <w:hideMark/>
          </w:tcPr>
          <w:p w14:paraId="3A7F5AB8"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2025</w:t>
            </w:r>
          </w:p>
        </w:tc>
      </w:tr>
      <w:tr w:rsidR="007478E1" w:rsidRPr="00575658" w14:paraId="65E06E93" w14:textId="77777777" w:rsidTr="007478E1">
        <w:trPr>
          <w:trHeight w:val="240"/>
        </w:trPr>
        <w:tc>
          <w:tcPr>
            <w:tcW w:w="6976" w:type="dxa"/>
            <w:gridSpan w:val="2"/>
            <w:tcBorders>
              <w:top w:val="nil"/>
              <w:left w:val="nil"/>
              <w:bottom w:val="single" w:sz="8" w:space="0" w:color="009560"/>
              <w:right w:val="nil"/>
            </w:tcBorders>
            <w:hideMark/>
          </w:tcPr>
          <w:p w14:paraId="106B06FA"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c>
          <w:tcPr>
            <w:tcW w:w="1016" w:type="dxa"/>
            <w:gridSpan w:val="2"/>
            <w:tcBorders>
              <w:top w:val="nil"/>
              <w:left w:val="nil"/>
              <w:bottom w:val="single" w:sz="8" w:space="0" w:color="009560"/>
              <w:right w:val="nil"/>
            </w:tcBorders>
            <w:hideMark/>
          </w:tcPr>
          <w:p w14:paraId="74F759A4"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$’000</w:t>
            </w:r>
          </w:p>
        </w:tc>
        <w:tc>
          <w:tcPr>
            <w:tcW w:w="976" w:type="dxa"/>
            <w:gridSpan w:val="2"/>
            <w:tcBorders>
              <w:top w:val="nil"/>
              <w:left w:val="nil"/>
              <w:bottom w:val="single" w:sz="8" w:space="0" w:color="009560"/>
              <w:right w:val="nil"/>
            </w:tcBorders>
            <w:hideMark/>
          </w:tcPr>
          <w:p w14:paraId="5036EAF4"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$’000</w:t>
            </w:r>
          </w:p>
        </w:tc>
      </w:tr>
      <w:tr w:rsidR="007478E1" w:rsidRPr="00575658" w14:paraId="26ACCA52" w14:textId="77777777" w:rsidTr="007478E1">
        <w:trPr>
          <w:trHeight w:val="147"/>
        </w:trPr>
        <w:tc>
          <w:tcPr>
            <w:tcW w:w="6976" w:type="dxa"/>
            <w:gridSpan w:val="2"/>
            <w:tcBorders>
              <w:top w:val="nil"/>
              <w:left w:val="nil"/>
              <w:bottom w:val="nil"/>
              <w:right w:val="nil"/>
            </w:tcBorders>
            <w:noWrap/>
            <w:vAlign w:val="bottom"/>
            <w:hideMark/>
          </w:tcPr>
          <w:p w14:paraId="6DFEF8BB"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p>
        </w:tc>
        <w:tc>
          <w:tcPr>
            <w:tcW w:w="1016" w:type="dxa"/>
            <w:gridSpan w:val="2"/>
            <w:tcBorders>
              <w:top w:val="nil"/>
              <w:left w:val="nil"/>
              <w:bottom w:val="nil"/>
              <w:right w:val="nil"/>
            </w:tcBorders>
            <w:noWrap/>
            <w:vAlign w:val="bottom"/>
            <w:hideMark/>
          </w:tcPr>
          <w:p w14:paraId="69991D62" w14:textId="77777777" w:rsidR="007478E1" w:rsidRPr="00575658" w:rsidRDefault="007478E1" w:rsidP="00856101">
            <w:pPr>
              <w:spacing w:after="0" w:line="240" w:lineRule="auto"/>
              <w:rPr>
                <w:rFonts w:ascii="Times New Roman" w:eastAsia="Times New Roman" w:hAnsi="Times New Roman" w:cs="Times New Roman"/>
                <w:color w:val="auto"/>
                <w:sz w:val="20"/>
                <w:szCs w:val="20"/>
                <w:lang w:eastAsia="en-AU"/>
              </w:rPr>
            </w:pPr>
          </w:p>
        </w:tc>
        <w:tc>
          <w:tcPr>
            <w:tcW w:w="976" w:type="dxa"/>
            <w:gridSpan w:val="2"/>
            <w:tcBorders>
              <w:top w:val="nil"/>
              <w:left w:val="nil"/>
              <w:bottom w:val="nil"/>
              <w:right w:val="nil"/>
            </w:tcBorders>
            <w:noWrap/>
            <w:vAlign w:val="bottom"/>
            <w:hideMark/>
          </w:tcPr>
          <w:p w14:paraId="320937C2" w14:textId="77777777" w:rsidR="007478E1" w:rsidRPr="00575658" w:rsidRDefault="007478E1" w:rsidP="00856101">
            <w:pPr>
              <w:spacing w:after="0" w:line="240" w:lineRule="auto"/>
              <w:rPr>
                <w:rFonts w:ascii="Times New Roman" w:eastAsia="Times New Roman" w:hAnsi="Times New Roman" w:cs="Times New Roman"/>
                <w:color w:val="auto"/>
                <w:sz w:val="20"/>
                <w:szCs w:val="20"/>
                <w:lang w:eastAsia="en-AU"/>
              </w:rPr>
            </w:pPr>
          </w:p>
        </w:tc>
      </w:tr>
      <w:tr w:rsidR="007478E1" w:rsidRPr="00575658" w14:paraId="6A092B06" w14:textId="77777777" w:rsidTr="007478E1">
        <w:trPr>
          <w:trHeight w:val="240"/>
        </w:trPr>
        <w:tc>
          <w:tcPr>
            <w:tcW w:w="6976" w:type="dxa"/>
            <w:gridSpan w:val="2"/>
            <w:tcBorders>
              <w:top w:val="nil"/>
              <w:left w:val="nil"/>
              <w:bottom w:val="nil"/>
              <w:right w:val="nil"/>
            </w:tcBorders>
            <w:hideMark/>
          </w:tcPr>
          <w:p w14:paraId="4DDA7225" w14:textId="77777777" w:rsidR="007478E1" w:rsidRPr="00575658" w:rsidRDefault="007478E1" w:rsidP="00856101">
            <w:pPr>
              <w:spacing w:after="0" w:line="240" w:lineRule="auto"/>
              <w:rPr>
                <w:rFonts w:ascii="Cambria" w:eastAsia="Times New Roman" w:hAnsi="Cambria" w:cs="Calibri"/>
                <w:b/>
                <w:bCs/>
                <w:color w:val="auto"/>
                <w:sz w:val="18"/>
                <w:szCs w:val="18"/>
                <w:u w:val="single"/>
                <w:lang w:eastAsia="en-AU"/>
              </w:rPr>
            </w:pPr>
            <w:r w:rsidRPr="00575658">
              <w:rPr>
                <w:rFonts w:ascii="Cambria" w:eastAsia="Times New Roman" w:hAnsi="Cambria" w:cs="Calibri"/>
                <w:b/>
                <w:bCs/>
                <w:color w:val="auto"/>
                <w:sz w:val="18"/>
                <w:szCs w:val="18"/>
                <w:u w:val="single"/>
                <w:lang w:eastAsia="en-AU"/>
              </w:rPr>
              <w:t>Note 1.1A: Employee Benefits</w:t>
            </w:r>
          </w:p>
        </w:tc>
        <w:tc>
          <w:tcPr>
            <w:tcW w:w="1016" w:type="dxa"/>
            <w:gridSpan w:val="2"/>
            <w:tcBorders>
              <w:top w:val="nil"/>
              <w:left w:val="nil"/>
              <w:bottom w:val="nil"/>
              <w:right w:val="nil"/>
            </w:tcBorders>
            <w:hideMark/>
          </w:tcPr>
          <w:p w14:paraId="5059E4C9" w14:textId="77777777" w:rsidR="007478E1" w:rsidRPr="00575658" w:rsidRDefault="007478E1" w:rsidP="00856101">
            <w:pPr>
              <w:spacing w:after="0" w:line="240" w:lineRule="auto"/>
              <w:rPr>
                <w:rFonts w:ascii="Cambria" w:eastAsia="Times New Roman" w:hAnsi="Cambria" w:cs="Calibri"/>
                <w:b/>
                <w:bCs/>
                <w:color w:val="auto"/>
                <w:sz w:val="18"/>
                <w:szCs w:val="18"/>
                <w:u w:val="single"/>
                <w:lang w:eastAsia="en-AU"/>
              </w:rPr>
            </w:pPr>
          </w:p>
        </w:tc>
        <w:tc>
          <w:tcPr>
            <w:tcW w:w="976" w:type="dxa"/>
            <w:gridSpan w:val="2"/>
            <w:tcBorders>
              <w:top w:val="nil"/>
              <w:left w:val="nil"/>
              <w:bottom w:val="nil"/>
              <w:right w:val="nil"/>
            </w:tcBorders>
            <w:vAlign w:val="bottom"/>
            <w:hideMark/>
          </w:tcPr>
          <w:p w14:paraId="23AAC9B7" w14:textId="77777777" w:rsidR="007478E1" w:rsidRPr="00575658" w:rsidRDefault="007478E1" w:rsidP="00856101">
            <w:pPr>
              <w:spacing w:after="0" w:line="240" w:lineRule="auto"/>
              <w:jc w:val="right"/>
              <w:rPr>
                <w:rFonts w:ascii="Times New Roman" w:eastAsia="Times New Roman" w:hAnsi="Times New Roman" w:cs="Times New Roman"/>
                <w:color w:val="auto"/>
                <w:sz w:val="20"/>
                <w:szCs w:val="20"/>
                <w:lang w:eastAsia="en-AU"/>
              </w:rPr>
            </w:pPr>
          </w:p>
        </w:tc>
      </w:tr>
      <w:tr w:rsidR="007478E1" w:rsidRPr="00575658" w14:paraId="09B3F25A" w14:textId="77777777" w:rsidTr="007478E1">
        <w:trPr>
          <w:trHeight w:val="240"/>
        </w:trPr>
        <w:tc>
          <w:tcPr>
            <w:tcW w:w="6976" w:type="dxa"/>
            <w:gridSpan w:val="2"/>
            <w:tcBorders>
              <w:top w:val="nil"/>
              <w:left w:val="nil"/>
              <w:bottom w:val="nil"/>
              <w:right w:val="nil"/>
            </w:tcBorders>
            <w:shd w:val="clear" w:color="000000" w:fill="FFFFFF"/>
            <w:hideMark/>
          </w:tcPr>
          <w:p w14:paraId="7CC47232"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Wages and salaries</w:t>
            </w:r>
          </w:p>
        </w:tc>
        <w:tc>
          <w:tcPr>
            <w:tcW w:w="1016" w:type="dxa"/>
            <w:gridSpan w:val="2"/>
            <w:tcBorders>
              <w:top w:val="nil"/>
              <w:left w:val="nil"/>
              <w:bottom w:val="nil"/>
              <w:right w:val="nil"/>
            </w:tcBorders>
            <w:noWrap/>
            <w:vAlign w:val="bottom"/>
            <w:hideMark/>
          </w:tcPr>
          <w:p w14:paraId="175DF362"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784 </w:t>
            </w:r>
          </w:p>
        </w:tc>
        <w:tc>
          <w:tcPr>
            <w:tcW w:w="976" w:type="dxa"/>
            <w:gridSpan w:val="2"/>
            <w:tcBorders>
              <w:top w:val="nil"/>
              <w:left w:val="nil"/>
              <w:bottom w:val="nil"/>
              <w:right w:val="nil"/>
            </w:tcBorders>
            <w:shd w:val="clear" w:color="000000" w:fill="FFFFFF"/>
            <w:noWrap/>
            <w:vAlign w:val="bottom"/>
            <w:hideMark/>
          </w:tcPr>
          <w:p w14:paraId="0A4EBCF6"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799 </w:t>
            </w:r>
          </w:p>
        </w:tc>
      </w:tr>
      <w:tr w:rsidR="007478E1" w:rsidRPr="00575658" w14:paraId="1F57F5F2" w14:textId="77777777" w:rsidTr="007478E1">
        <w:trPr>
          <w:trHeight w:val="240"/>
        </w:trPr>
        <w:tc>
          <w:tcPr>
            <w:tcW w:w="6976" w:type="dxa"/>
            <w:gridSpan w:val="2"/>
            <w:tcBorders>
              <w:top w:val="nil"/>
              <w:left w:val="nil"/>
              <w:bottom w:val="nil"/>
              <w:right w:val="nil"/>
            </w:tcBorders>
            <w:shd w:val="clear" w:color="000000" w:fill="FFFFFF"/>
            <w:hideMark/>
          </w:tcPr>
          <w:p w14:paraId="57651706"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Superannuation - Defined contribution plans</w:t>
            </w:r>
          </w:p>
        </w:tc>
        <w:tc>
          <w:tcPr>
            <w:tcW w:w="1016" w:type="dxa"/>
            <w:gridSpan w:val="2"/>
            <w:tcBorders>
              <w:top w:val="nil"/>
              <w:left w:val="nil"/>
              <w:bottom w:val="nil"/>
              <w:right w:val="nil"/>
            </w:tcBorders>
            <w:noWrap/>
            <w:vAlign w:val="bottom"/>
            <w:hideMark/>
          </w:tcPr>
          <w:p w14:paraId="5C312116"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99 </w:t>
            </w:r>
          </w:p>
        </w:tc>
        <w:tc>
          <w:tcPr>
            <w:tcW w:w="976" w:type="dxa"/>
            <w:gridSpan w:val="2"/>
            <w:tcBorders>
              <w:top w:val="nil"/>
              <w:left w:val="nil"/>
              <w:bottom w:val="nil"/>
              <w:right w:val="nil"/>
            </w:tcBorders>
            <w:shd w:val="clear" w:color="000000" w:fill="FFFFFF"/>
            <w:noWrap/>
            <w:vAlign w:val="bottom"/>
            <w:hideMark/>
          </w:tcPr>
          <w:p w14:paraId="63CF3603"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101 </w:t>
            </w:r>
          </w:p>
        </w:tc>
      </w:tr>
      <w:tr w:rsidR="007478E1" w:rsidRPr="00575658" w14:paraId="09BC8840" w14:textId="77777777" w:rsidTr="007478E1">
        <w:trPr>
          <w:trHeight w:val="240"/>
        </w:trPr>
        <w:tc>
          <w:tcPr>
            <w:tcW w:w="6976" w:type="dxa"/>
            <w:gridSpan w:val="2"/>
            <w:tcBorders>
              <w:top w:val="nil"/>
              <w:left w:val="nil"/>
              <w:bottom w:val="nil"/>
              <w:right w:val="nil"/>
            </w:tcBorders>
            <w:shd w:val="clear" w:color="000000" w:fill="FFFFFF"/>
            <w:hideMark/>
          </w:tcPr>
          <w:p w14:paraId="0C830B20"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Leave and other entitlements</w:t>
            </w:r>
          </w:p>
        </w:tc>
        <w:tc>
          <w:tcPr>
            <w:tcW w:w="1016" w:type="dxa"/>
            <w:gridSpan w:val="2"/>
            <w:tcBorders>
              <w:top w:val="nil"/>
              <w:left w:val="nil"/>
              <w:bottom w:val="nil"/>
              <w:right w:val="nil"/>
            </w:tcBorders>
            <w:noWrap/>
            <w:vAlign w:val="bottom"/>
            <w:hideMark/>
          </w:tcPr>
          <w:p w14:paraId="1A4E85AC"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368 </w:t>
            </w:r>
          </w:p>
        </w:tc>
        <w:tc>
          <w:tcPr>
            <w:tcW w:w="976" w:type="dxa"/>
            <w:gridSpan w:val="2"/>
            <w:tcBorders>
              <w:top w:val="nil"/>
              <w:left w:val="nil"/>
              <w:bottom w:val="nil"/>
              <w:right w:val="nil"/>
            </w:tcBorders>
            <w:shd w:val="clear" w:color="000000" w:fill="FFFFFF"/>
            <w:noWrap/>
            <w:vAlign w:val="bottom"/>
            <w:hideMark/>
          </w:tcPr>
          <w:p w14:paraId="516AD00E"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343 </w:t>
            </w:r>
          </w:p>
        </w:tc>
      </w:tr>
      <w:tr w:rsidR="007478E1" w:rsidRPr="00575658" w14:paraId="4EA44862" w14:textId="77777777" w:rsidTr="007478E1">
        <w:trPr>
          <w:trHeight w:val="240"/>
        </w:trPr>
        <w:tc>
          <w:tcPr>
            <w:tcW w:w="6976" w:type="dxa"/>
            <w:gridSpan w:val="2"/>
            <w:tcBorders>
              <w:top w:val="nil"/>
              <w:left w:val="nil"/>
              <w:bottom w:val="nil"/>
              <w:right w:val="nil"/>
            </w:tcBorders>
            <w:shd w:val="clear" w:color="000000" w:fill="FFFFFF"/>
            <w:hideMark/>
          </w:tcPr>
          <w:p w14:paraId="20C3A697"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Wages and salaries for staff provided by Department of Health, Disability and Ageing</w:t>
            </w:r>
          </w:p>
        </w:tc>
        <w:tc>
          <w:tcPr>
            <w:tcW w:w="1016" w:type="dxa"/>
            <w:gridSpan w:val="2"/>
            <w:tcBorders>
              <w:top w:val="nil"/>
              <w:left w:val="nil"/>
              <w:bottom w:val="nil"/>
              <w:right w:val="nil"/>
            </w:tcBorders>
            <w:noWrap/>
            <w:vAlign w:val="bottom"/>
            <w:hideMark/>
          </w:tcPr>
          <w:p w14:paraId="0CDAB032"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21,834 </w:t>
            </w:r>
          </w:p>
        </w:tc>
        <w:tc>
          <w:tcPr>
            <w:tcW w:w="976" w:type="dxa"/>
            <w:gridSpan w:val="2"/>
            <w:tcBorders>
              <w:top w:val="nil"/>
              <w:left w:val="nil"/>
              <w:bottom w:val="nil"/>
              <w:right w:val="nil"/>
            </w:tcBorders>
            <w:shd w:val="clear" w:color="000000" w:fill="FFFFFF"/>
            <w:noWrap/>
            <w:vAlign w:val="bottom"/>
            <w:hideMark/>
          </w:tcPr>
          <w:p w14:paraId="3CA630A0"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21,204 </w:t>
            </w:r>
          </w:p>
        </w:tc>
      </w:tr>
      <w:tr w:rsidR="007478E1" w:rsidRPr="00575658" w14:paraId="1539CF20" w14:textId="77777777" w:rsidTr="007478E1">
        <w:trPr>
          <w:trHeight w:val="255"/>
        </w:trPr>
        <w:tc>
          <w:tcPr>
            <w:tcW w:w="6976" w:type="dxa"/>
            <w:gridSpan w:val="2"/>
            <w:tcBorders>
              <w:top w:val="nil"/>
              <w:left w:val="nil"/>
              <w:bottom w:val="nil"/>
              <w:right w:val="nil"/>
            </w:tcBorders>
            <w:shd w:val="clear" w:color="000000" w:fill="FFFFFF"/>
            <w:hideMark/>
          </w:tcPr>
          <w:p w14:paraId="0F79C4C6" w14:textId="77777777" w:rsidR="007478E1" w:rsidRPr="00575658" w:rsidRDefault="007478E1" w:rsidP="00856101">
            <w:pPr>
              <w:spacing w:after="0" w:line="240" w:lineRule="auto"/>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Total employee benefits</w:t>
            </w:r>
          </w:p>
        </w:tc>
        <w:tc>
          <w:tcPr>
            <w:tcW w:w="1016" w:type="dxa"/>
            <w:gridSpan w:val="2"/>
            <w:tcBorders>
              <w:top w:val="single" w:sz="4" w:space="0" w:color="auto"/>
              <w:left w:val="nil"/>
              <w:bottom w:val="single" w:sz="4" w:space="0" w:color="auto"/>
              <w:right w:val="nil"/>
            </w:tcBorders>
            <w:shd w:val="clear" w:color="000000" w:fill="FFFFFF"/>
            <w:noWrap/>
            <w:vAlign w:val="bottom"/>
            <w:hideMark/>
          </w:tcPr>
          <w:p w14:paraId="4D7EAC5B"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23,085 </w:t>
            </w:r>
          </w:p>
        </w:tc>
        <w:tc>
          <w:tcPr>
            <w:tcW w:w="976" w:type="dxa"/>
            <w:gridSpan w:val="2"/>
            <w:tcBorders>
              <w:top w:val="single" w:sz="4" w:space="0" w:color="auto"/>
              <w:left w:val="nil"/>
              <w:bottom w:val="single" w:sz="4" w:space="0" w:color="auto"/>
              <w:right w:val="nil"/>
            </w:tcBorders>
            <w:shd w:val="clear" w:color="000000" w:fill="FFFFFF"/>
            <w:noWrap/>
            <w:vAlign w:val="bottom"/>
            <w:hideMark/>
          </w:tcPr>
          <w:p w14:paraId="0FA70364"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22,447 </w:t>
            </w:r>
          </w:p>
        </w:tc>
      </w:tr>
      <w:tr w:rsidR="007478E1" w:rsidRPr="00575658" w14:paraId="23F9E0D7" w14:textId="77777777" w:rsidTr="007478E1">
        <w:trPr>
          <w:trHeight w:val="288"/>
        </w:trPr>
        <w:tc>
          <w:tcPr>
            <w:tcW w:w="6976" w:type="dxa"/>
            <w:gridSpan w:val="2"/>
            <w:tcBorders>
              <w:top w:val="nil"/>
              <w:left w:val="nil"/>
              <w:bottom w:val="nil"/>
              <w:right w:val="nil"/>
            </w:tcBorders>
            <w:shd w:val="clear" w:color="000000" w:fill="FFFFFF"/>
            <w:hideMark/>
          </w:tcPr>
          <w:p w14:paraId="65CBB027"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noProof/>
                <w:color w:val="auto"/>
                <w:sz w:val="18"/>
                <w:szCs w:val="18"/>
                <w:lang w:eastAsia="en-AU"/>
              </w:rPr>
              <mc:AlternateContent>
                <mc:Choice Requires="wps">
                  <w:drawing>
                    <wp:anchor distT="0" distB="0" distL="114300" distR="114300" simplePos="0" relativeHeight="251689984" behindDoc="0" locked="0" layoutInCell="1" allowOverlap="1" wp14:anchorId="296E4254" wp14:editId="11FAFE6F">
                      <wp:simplePos x="0" y="0"/>
                      <wp:positionH relativeFrom="column">
                        <wp:posOffset>47625</wp:posOffset>
                      </wp:positionH>
                      <wp:positionV relativeFrom="paragraph">
                        <wp:posOffset>88175</wp:posOffset>
                      </wp:positionV>
                      <wp:extent cx="5396712" cy="669472"/>
                      <wp:effectExtent l="0" t="0" r="13970" b="16510"/>
                      <wp:wrapNone/>
                      <wp:docPr id="172253406" name="Text Box 57">
                        <a:extLst xmlns:a="http://schemas.openxmlformats.org/drawingml/2006/main">
                          <a:ext uri="{FF2B5EF4-FFF2-40B4-BE49-F238E27FC236}">
                            <a16:creationId xmlns:a16="http://schemas.microsoft.com/office/drawing/2014/main" id="{00000000-0008-0000-0A00-00000200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6712" cy="669472"/>
                              </a:xfrm>
                              <a:prstGeom prst="rect">
                                <a:avLst/>
                              </a:prstGeom>
                              <a:noFill/>
                              <a:ln w="12700" cmpd="sng">
                                <a:solidFill>
                                  <a:srgbClr val="009560"/>
                                </a:solidFill>
                              </a:ln>
                              <a:effectLst/>
                            </wps:spPr>
                            <wps:txbx>
                              <w:txbxContent>
                                <w:p w14:paraId="0B6A54AD" w14:textId="77777777" w:rsidR="00260496" w:rsidRDefault="007478E1" w:rsidP="00260496">
                                  <w:pPr>
                                    <w:spacing w:after="0"/>
                                    <w:rPr>
                                      <w:rFonts w:cs="Arial"/>
                                      <w:sz w:val="18"/>
                                      <w:szCs w:val="18"/>
                                    </w:rPr>
                                  </w:pPr>
                                  <w:r w:rsidRPr="00FB5935">
                                    <w:rPr>
                                      <w:rFonts w:cs="Arial"/>
                                      <w:sz w:val="18"/>
                                      <w:szCs w:val="18"/>
                                    </w:rPr>
                                    <w:t>Accounting Policy</w:t>
                                  </w:r>
                                  <w:r>
                                    <w:rPr>
                                      <w:rFonts w:cs="Arial"/>
                                      <w:sz w:val="18"/>
                                      <w:szCs w:val="18"/>
                                    </w:rPr>
                                    <w:t xml:space="preserve"> </w:t>
                                  </w:r>
                                </w:p>
                                <w:p w14:paraId="7E1011E4" w14:textId="77777777" w:rsidR="00260496" w:rsidRDefault="007478E1" w:rsidP="00260496">
                                  <w:pPr>
                                    <w:spacing w:after="0"/>
                                    <w:rPr>
                                      <w:rFonts w:cs="Arial"/>
                                      <w:sz w:val="18"/>
                                      <w:szCs w:val="18"/>
                                    </w:rPr>
                                  </w:pPr>
                                  <w:r w:rsidRPr="00FB5935">
                                    <w:rPr>
                                      <w:rFonts w:cs="Arial"/>
                                      <w:sz w:val="18"/>
                                      <w:szCs w:val="18"/>
                                    </w:rPr>
                                    <w:t>Employee benefits</w:t>
                                  </w:r>
                                  <w:r>
                                    <w:rPr>
                                      <w:rFonts w:cs="Arial"/>
                                      <w:sz w:val="18"/>
                                      <w:szCs w:val="18"/>
                                    </w:rPr>
                                    <w:t xml:space="preserve"> </w:t>
                                  </w:r>
                                </w:p>
                                <w:p w14:paraId="5811EF51" w14:textId="0D4A7FA8" w:rsidR="007478E1" w:rsidRPr="00FB5935" w:rsidRDefault="007478E1" w:rsidP="00260496">
                                  <w:pPr>
                                    <w:spacing w:after="0"/>
                                    <w:rPr>
                                      <w:rFonts w:cs="Arial"/>
                                      <w:sz w:val="18"/>
                                      <w:szCs w:val="18"/>
                                    </w:rPr>
                                  </w:pPr>
                                  <w:r w:rsidRPr="00FB5935">
                                    <w:rPr>
                                      <w:rFonts w:cs="Arial"/>
                                      <w:sz w:val="18"/>
                                      <w:szCs w:val="18"/>
                                    </w:rPr>
                                    <w:t>Accounting policies for employee benefits is contained in the people and relationships section.</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296E4254" id="Text Box 57" o:spid="_x0000_s1031" type="#_x0000_t202" style="position:absolute;margin-left:3.75pt;margin-top:6.95pt;width:424.95pt;height:5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" filled="f" strokecolor="#009560" strokeweight="1pt">
                      <v:path arrowok="t"/>
                      <v:textbox>
                        <w:txbxContent>
                          <w:p w14:paraId="0B6A54AD" w14:textId="77777777" w:rsidR="00260496" w:rsidRDefault="007478E1" w:rsidP="00260496">
                            <w:pPr>
                              <w:spacing w:after="0"/>
                              <w:rPr>
                                <w:rFonts w:cs="Arial"/>
                                <w:sz w:val="18"/>
                                <w:szCs w:val="18"/>
                              </w:rPr>
                            </w:pPr>
                            <w:r w:rsidRPr="00FB5935">
                              <w:rPr>
                                <w:rFonts w:cs="Arial"/>
                                <w:sz w:val="18"/>
                                <w:szCs w:val="18"/>
                              </w:rPr>
                              <w:t>Accounting Policy</w:t>
                            </w:r>
                            <w:r>
                              <w:rPr>
                                <w:rFonts w:cs="Arial"/>
                                <w:sz w:val="18"/>
                                <w:szCs w:val="18"/>
                              </w:rPr>
                              <w:t xml:space="preserve"> </w:t>
                            </w:r>
                          </w:p>
                          <w:p w14:paraId="7E1011E4" w14:textId="77777777" w:rsidR="00260496" w:rsidRDefault="007478E1" w:rsidP="00260496">
                            <w:pPr>
                              <w:spacing w:after="0"/>
                              <w:rPr>
                                <w:rFonts w:cs="Arial"/>
                                <w:sz w:val="18"/>
                                <w:szCs w:val="18"/>
                              </w:rPr>
                            </w:pPr>
                            <w:r w:rsidRPr="00FB5935">
                              <w:rPr>
                                <w:rFonts w:cs="Arial"/>
                                <w:sz w:val="18"/>
                                <w:szCs w:val="18"/>
                              </w:rPr>
                              <w:t>Employee benefits</w:t>
                            </w:r>
                            <w:r>
                              <w:rPr>
                                <w:rFonts w:cs="Arial"/>
                                <w:sz w:val="18"/>
                                <w:szCs w:val="18"/>
                              </w:rPr>
                              <w:t xml:space="preserve"> </w:t>
                            </w:r>
                          </w:p>
                          <w:p w14:paraId="5811EF51" w14:textId="0D4A7FA8" w:rsidR="007478E1" w:rsidRPr="00FB5935" w:rsidRDefault="007478E1" w:rsidP="00260496">
                            <w:pPr>
                              <w:spacing w:after="0"/>
                              <w:rPr>
                                <w:rFonts w:cs="Arial"/>
                                <w:sz w:val="18"/>
                                <w:szCs w:val="18"/>
                              </w:rPr>
                            </w:pPr>
                            <w:r w:rsidRPr="00FB5935">
                              <w:rPr>
                                <w:rFonts w:cs="Arial"/>
                                <w:sz w:val="18"/>
                                <w:szCs w:val="18"/>
                              </w:rPr>
                              <w:t>Accounting policies for employee benefits is contained in the people and relationships section.</w:t>
                            </w:r>
                          </w:p>
                        </w:txbxContent>
                      </v:textbox>
                    </v:shape>
                  </w:pict>
                </mc:Fallback>
              </mc:AlternateContent>
            </w:r>
          </w:p>
        </w:tc>
        <w:tc>
          <w:tcPr>
            <w:tcW w:w="1016" w:type="dxa"/>
            <w:gridSpan w:val="2"/>
            <w:tcBorders>
              <w:top w:val="nil"/>
              <w:left w:val="nil"/>
              <w:bottom w:val="nil"/>
              <w:right w:val="nil"/>
            </w:tcBorders>
            <w:shd w:val="clear" w:color="000000" w:fill="FFFFFF"/>
            <w:noWrap/>
            <w:vAlign w:val="bottom"/>
            <w:hideMark/>
          </w:tcPr>
          <w:p w14:paraId="5231A47B"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c>
          <w:tcPr>
            <w:tcW w:w="976" w:type="dxa"/>
            <w:gridSpan w:val="2"/>
            <w:tcBorders>
              <w:top w:val="nil"/>
              <w:left w:val="nil"/>
              <w:bottom w:val="nil"/>
              <w:right w:val="nil"/>
            </w:tcBorders>
            <w:shd w:val="clear" w:color="000000" w:fill="FFFFFF"/>
            <w:noWrap/>
            <w:vAlign w:val="bottom"/>
            <w:hideMark/>
          </w:tcPr>
          <w:p w14:paraId="557FD421"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r>
      <w:tr w:rsidR="007478E1" w:rsidRPr="00575658" w14:paraId="27043F9D" w14:textId="77777777" w:rsidTr="007478E1">
        <w:trPr>
          <w:trHeight w:val="288"/>
        </w:trPr>
        <w:tc>
          <w:tcPr>
            <w:tcW w:w="6976" w:type="dxa"/>
            <w:gridSpan w:val="2"/>
            <w:tcBorders>
              <w:top w:val="nil"/>
              <w:left w:val="nil"/>
              <w:bottom w:val="nil"/>
              <w:right w:val="nil"/>
            </w:tcBorders>
            <w:shd w:val="clear" w:color="000000" w:fill="FFFFFF"/>
            <w:hideMark/>
          </w:tcPr>
          <w:p w14:paraId="44334C55"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c>
          <w:tcPr>
            <w:tcW w:w="1016" w:type="dxa"/>
            <w:gridSpan w:val="2"/>
            <w:tcBorders>
              <w:top w:val="nil"/>
              <w:left w:val="nil"/>
              <w:bottom w:val="nil"/>
              <w:right w:val="nil"/>
            </w:tcBorders>
            <w:shd w:val="clear" w:color="000000" w:fill="FFFFFF"/>
            <w:noWrap/>
            <w:vAlign w:val="bottom"/>
            <w:hideMark/>
          </w:tcPr>
          <w:p w14:paraId="7F042381"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c>
          <w:tcPr>
            <w:tcW w:w="976" w:type="dxa"/>
            <w:gridSpan w:val="2"/>
            <w:tcBorders>
              <w:top w:val="nil"/>
              <w:left w:val="nil"/>
              <w:bottom w:val="nil"/>
              <w:right w:val="nil"/>
            </w:tcBorders>
            <w:shd w:val="clear" w:color="000000" w:fill="FFFFFF"/>
            <w:noWrap/>
            <w:vAlign w:val="bottom"/>
            <w:hideMark/>
          </w:tcPr>
          <w:p w14:paraId="5CD308C4"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r>
      <w:tr w:rsidR="007478E1" w:rsidRPr="00575658" w14:paraId="6335F43A" w14:textId="77777777" w:rsidTr="007478E1">
        <w:trPr>
          <w:trHeight w:val="210"/>
        </w:trPr>
        <w:tc>
          <w:tcPr>
            <w:tcW w:w="6976" w:type="dxa"/>
            <w:gridSpan w:val="2"/>
            <w:tcBorders>
              <w:top w:val="nil"/>
              <w:left w:val="nil"/>
              <w:bottom w:val="nil"/>
              <w:right w:val="nil"/>
            </w:tcBorders>
            <w:shd w:val="clear" w:color="000000" w:fill="FFFFFF"/>
            <w:hideMark/>
          </w:tcPr>
          <w:p w14:paraId="69093FE7"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c>
          <w:tcPr>
            <w:tcW w:w="1016" w:type="dxa"/>
            <w:gridSpan w:val="2"/>
            <w:tcBorders>
              <w:top w:val="nil"/>
              <w:left w:val="nil"/>
              <w:bottom w:val="nil"/>
              <w:right w:val="nil"/>
            </w:tcBorders>
            <w:shd w:val="clear" w:color="000000" w:fill="FFFFFF"/>
            <w:hideMark/>
          </w:tcPr>
          <w:p w14:paraId="22E560E7"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w:t>
            </w:r>
          </w:p>
        </w:tc>
        <w:tc>
          <w:tcPr>
            <w:tcW w:w="976" w:type="dxa"/>
            <w:gridSpan w:val="2"/>
            <w:tcBorders>
              <w:top w:val="nil"/>
              <w:left w:val="nil"/>
              <w:bottom w:val="nil"/>
              <w:right w:val="nil"/>
            </w:tcBorders>
            <w:shd w:val="clear" w:color="000000" w:fill="FFFFFF"/>
            <w:hideMark/>
          </w:tcPr>
          <w:p w14:paraId="54C34B8B"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r>
      <w:tr w:rsidR="007478E1" w:rsidRPr="00575658" w14:paraId="196611DC" w14:textId="77777777" w:rsidTr="007478E1">
        <w:trPr>
          <w:trHeight w:val="240"/>
        </w:trPr>
        <w:tc>
          <w:tcPr>
            <w:tcW w:w="6976" w:type="dxa"/>
            <w:gridSpan w:val="2"/>
            <w:tcBorders>
              <w:top w:val="nil"/>
              <w:left w:val="nil"/>
              <w:bottom w:val="nil"/>
              <w:right w:val="nil"/>
            </w:tcBorders>
            <w:shd w:val="clear" w:color="000000" w:fill="FFFFFF"/>
            <w:hideMark/>
          </w:tcPr>
          <w:p w14:paraId="27E74205"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c>
          <w:tcPr>
            <w:tcW w:w="1016" w:type="dxa"/>
            <w:gridSpan w:val="2"/>
            <w:tcBorders>
              <w:top w:val="nil"/>
              <w:left w:val="nil"/>
              <w:bottom w:val="nil"/>
              <w:right w:val="nil"/>
            </w:tcBorders>
            <w:shd w:val="clear" w:color="000000" w:fill="FFFFFF"/>
            <w:hideMark/>
          </w:tcPr>
          <w:p w14:paraId="6DDC7156"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w:t>
            </w:r>
          </w:p>
        </w:tc>
        <w:tc>
          <w:tcPr>
            <w:tcW w:w="976" w:type="dxa"/>
            <w:gridSpan w:val="2"/>
            <w:tcBorders>
              <w:top w:val="nil"/>
              <w:left w:val="nil"/>
              <w:bottom w:val="nil"/>
              <w:right w:val="nil"/>
            </w:tcBorders>
            <w:shd w:val="clear" w:color="000000" w:fill="FFFFFF"/>
            <w:hideMark/>
          </w:tcPr>
          <w:p w14:paraId="3CF4E0EF"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r>
      <w:tr w:rsidR="007478E1" w:rsidRPr="00575658" w14:paraId="01810CC9" w14:textId="77777777" w:rsidTr="007478E1">
        <w:trPr>
          <w:trHeight w:val="150"/>
        </w:trPr>
        <w:tc>
          <w:tcPr>
            <w:tcW w:w="6976" w:type="dxa"/>
            <w:gridSpan w:val="2"/>
            <w:tcBorders>
              <w:top w:val="nil"/>
              <w:left w:val="nil"/>
              <w:bottom w:val="nil"/>
              <w:right w:val="nil"/>
            </w:tcBorders>
            <w:shd w:val="clear" w:color="000000" w:fill="FFFFFF"/>
            <w:hideMark/>
          </w:tcPr>
          <w:p w14:paraId="7BC7E103"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c>
          <w:tcPr>
            <w:tcW w:w="1016" w:type="dxa"/>
            <w:gridSpan w:val="2"/>
            <w:tcBorders>
              <w:top w:val="nil"/>
              <w:left w:val="nil"/>
              <w:bottom w:val="nil"/>
              <w:right w:val="nil"/>
            </w:tcBorders>
            <w:shd w:val="clear" w:color="000000" w:fill="FFFFFF"/>
            <w:hideMark/>
          </w:tcPr>
          <w:p w14:paraId="3E1023DB"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w:t>
            </w:r>
          </w:p>
        </w:tc>
        <w:tc>
          <w:tcPr>
            <w:tcW w:w="976" w:type="dxa"/>
            <w:gridSpan w:val="2"/>
            <w:tcBorders>
              <w:top w:val="nil"/>
              <w:left w:val="nil"/>
              <w:bottom w:val="nil"/>
              <w:right w:val="nil"/>
            </w:tcBorders>
            <w:shd w:val="clear" w:color="000000" w:fill="FFFFFF"/>
            <w:hideMark/>
          </w:tcPr>
          <w:p w14:paraId="0C3C5477"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r>
      <w:tr w:rsidR="007478E1" w:rsidRPr="00575658" w14:paraId="652277A2" w14:textId="77777777" w:rsidTr="007478E1">
        <w:trPr>
          <w:trHeight w:val="240"/>
        </w:trPr>
        <w:tc>
          <w:tcPr>
            <w:tcW w:w="6976" w:type="dxa"/>
            <w:gridSpan w:val="2"/>
            <w:tcBorders>
              <w:top w:val="nil"/>
              <w:left w:val="nil"/>
              <w:bottom w:val="nil"/>
              <w:right w:val="nil"/>
            </w:tcBorders>
            <w:shd w:val="clear" w:color="000000" w:fill="FFFFFF"/>
            <w:hideMark/>
          </w:tcPr>
          <w:p w14:paraId="4ED42D4C"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3CDA91E1"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281B3ECE"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3845250D" w14:textId="77777777" w:rsidR="007478E1" w:rsidRPr="00575658" w:rsidRDefault="007478E1" w:rsidP="00856101">
            <w:pPr>
              <w:spacing w:after="0" w:line="240" w:lineRule="auto"/>
              <w:rPr>
                <w:rFonts w:ascii="Cambria" w:eastAsia="Times New Roman" w:hAnsi="Cambria" w:cs="Calibri"/>
                <w:b/>
                <w:bCs/>
                <w:color w:val="auto"/>
                <w:sz w:val="18"/>
                <w:szCs w:val="18"/>
                <w:u w:val="single"/>
                <w:lang w:eastAsia="en-AU"/>
              </w:rPr>
            </w:pPr>
            <w:r w:rsidRPr="00575658">
              <w:rPr>
                <w:rFonts w:ascii="Cambria" w:eastAsia="Times New Roman" w:hAnsi="Cambria" w:cs="Calibri"/>
                <w:b/>
                <w:bCs/>
                <w:color w:val="auto"/>
                <w:sz w:val="18"/>
                <w:szCs w:val="18"/>
                <w:u w:val="single"/>
                <w:lang w:eastAsia="en-AU"/>
              </w:rPr>
              <w:t>Note 1.1B: Suppliers</w:t>
            </w:r>
          </w:p>
        </w:tc>
        <w:tc>
          <w:tcPr>
            <w:tcW w:w="1016" w:type="dxa"/>
            <w:gridSpan w:val="2"/>
            <w:tcBorders>
              <w:top w:val="nil"/>
              <w:left w:val="nil"/>
              <w:bottom w:val="nil"/>
              <w:right w:val="nil"/>
            </w:tcBorders>
            <w:shd w:val="clear" w:color="000000" w:fill="FFFFFF"/>
            <w:noWrap/>
            <w:vAlign w:val="bottom"/>
            <w:hideMark/>
          </w:tcPr>
          <w:p w14:paraId="4FAB30C0"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c>
          <w:tcPr>
            <w:tcW w:w="976" w:type="dxa"/>
            <w:gridSpan w:val="2"/>
            <w:tcBorders>
              <w:top w:val="nil"/>
              <w:left w:val="nil"/>
              <w:bottom w:val="nil"/>
              <w:right w:val="nil"/>
            </w:tcBorders>
            <w:shd w:val="clear" w:color="000000" w:fill="FFFFFF"/>
            <w:noWrap/>
            <w:vAlign w:val="bottom"/>
            <w:hideMark/>
          </w:tcPr>
          <w:p w14:paraId="757A0519"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r>
      <w:tr w:rsidR="007478E1" w:rsidRPr="00575658" w14:paraId="2123110C" w14:textId="77777777" w:rsidTr="007478E1">
        <w:trPr>
          <w:trHeight w:val="240"/>
        </w:trPr>
        <w:tc>
          <w:tcPr>
            <w:tcW w:w="6976" w:type="dxa"/>
            <w:gridSpan w:val="2"/>
            <w:tcBorders>
              <w:top w:val="nil"/>
              <w:left w:val="nil"/>
              <w:bottom w:val="nil"/>
              <w:right w:val="nil"/>
            </w:tcBorders>
            <w:shd w:val="clear" w:color="000000" w:fill="FFFFFF"/>
            <w:hideMark/>
          </w:tcPr>
          <w:p w14:paraId="76545CE3" w14:textId="77777777" w:rsidR="007478E1" w:rsidRPr="00575658" w:rsidRDefault="007478E1" w:rsidP="00856101">
            <w:pPr>
              <w:spacing w:after="0" w:line="240" w:lineRule="auto"/>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Goods and services supplied or rendered</w:t>
            </w:r>
          </w:p>
        </w:tc>
        <w:tc>
          <w:tcPr>
            <w:tcW w:w="1016" w:type="dxa"/>
            <w:gridSpan w:val="2"/>
            <w:tcBorders>
              <w:top w:val="nil"/>
              <w:left w:val="nil"/>
              <w:bottom w:val="nil"/>
              <w:right w:val="nil"/>
            </w:tcBorders>
            <w:shd w:val="clear" w:color="000000" w:fill="FFFFFF"/>
            <w:noWrap/>
            <w:vAlign w:val="bottom"/>
            <w:hideMark/>
          </w:tcPr>
          <w:p w14:paraId="1D7C64E8"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c>
          <w:tcPr>
            <w:tcW w:w="976" w:type="dxa"/>
            <w:gridSpan w:val="2"/>
            <w:tcBorders>
              <w:top w:val="nil"/>
              <w:left w:val="nil"/>
              <w:bottom w:val="nil"/>
              <w:right w:val="nil"/>
            </w:tcBorders>
            <w:shd w:val="clear" w:color="000000" w:fill="FFFFFF"/>
            <w:noWrap/>
            <w:vAlign w:val="bottom"/>
            <w:hideMark/>
          </w:tcPr>
          <w:p w14:paraId="4837D63F"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r>
      <w:tr w:rsidR="007478E1" w:rsidRPr="00575658" w14:paraId="0A6EA683" w14:textId="77777777" w:rsidTr="007478E1">
        <w:trPr>
          <w:trHeight w:val="240"/>
        </w:trPr>
        <w:tc>
          <w:tcPr>
            <w:tcW w:w="6976" w:type="dxa"/>
            <w:gridSpan w:val="2"/>
            <w:tcBorders>
              <w:top w:val="nil"/>
              <w:left w:val="nil"/>
              <w:bottom w:val="nil"/>
              <w:right w:val="nil"/>
            </w:tcBorders>
            <w:shd w:val="clear" w:color="000000" w:fill="FFFFFF"/>
            <w:noWrap/>
            <w:vAlign w:val="bottom"/>
            <w:hideMark/>
          </w:tcPr>
          <w:p w14:paraId="5951AAE3"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Consultants</w:t>
            </w:r>
          </w:p>
        </w:tc>
        <w:tc>
          <w:tcPr>
            <w:tcW w:w="1016" w:type="dxa"/>
            <w:gridSpan w:val="2"/>
            <w:tcBorders>
              <w:top w:val="nil"/>
              <w:left w:val="nil"/>
              <w:bottom w:val="nil"/>
              <w:right w:val="nil"/>
            </w:tcBorders>
            <w:shd w:val="clear" w:color="000000" w:fill="FFFFFF"/>
            <w:noWrap/>
            <w:vAlign w:val="bottom"/>
            <w:hideMark/>
          </w:tcPr>
          <w:p w14:paraId="2D15A2C7"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19,280 </w:t>
            </w:r>
          </w:p>
        </w:tc>
        <w:tc>
          <w:tcPr>
            <w:tcW w:w="976" w:type="dxa"/>
            <w:gridSpan w:val="2"/>
            <w:tcBorders>
              <w:top w:val="nil"/>
              <w:left w:val="nil"/>
              <w:bottom w:val="nil"/>
              <w:right w:val="nil"/>
            </w:tcBorders>
            <w:shd w:val="clear" w:color="000000" w:fill="FFFFFF"/>
            <w:noWrap/>
            <w:vAlign w:val="bottom"/>
            <w:hideMark/>
          </w:tcPr>
          <w:p w14:paraId="32127DBE"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13,066 </w:t>
            </w:r>
          </w:p>
        </w:tc>
      </w:tr>
      <w:tr w:rsidR="007478E1" w:rsidRPr="00575658" w14:paraId="7361D508" w14:textId="77777777" w:rsidTr="007478E1">
        <w:trPr>
          <w:trHeight w:val="240"/>
        </w:trPr>
        <w:tc>
          <w:tcPr>
            <w:tcW w:w="6976" w:type="dxa"/>
            <w:gridSpan w:val="2"/>
            <w:tcBorders>
              <w:top w:val="nil"/>
              <w:left w:val="nil"/>
              <w:bottom w:val="nil"/>
              <w:right w:val="nil"/>
            </w:tcBorders>
            <w:shd w:val="clear" w:color="000000" w:fill="FFFFFF"/>
            <w:noWrap/>
            <w:vAlign w:val="bottom"/>
            <w:hideMark/>
          </w:tcPr>
          <w:p w14:paraId="51F6A3D0"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Contractors</w:t>
            </w:r>
          </w:p>
        </w:tc>
        <w:tc>
          <w:tcPr>
            <w:tcW w:w="1016" w:type="dxa"/>
            <w:gridSpan w:val="2"/>
            <w:tcBorders>
              <w:top w:val="nil"/>
              <w:left w:val="nil"/>
              <w:bottom w:val="nil"/>
              <w:right w:val="nil"/>
            </w:tcBorders>
            <w:shd w:val="clear" w:color="000000" w:fill="FFFFFF"/>
            <w:noWrap/>
            <w:vAlign w:val="bottom"/>
            <w:hideMark/>
          </w:tcPr>
          <w:p w14:paraId="7DF7538D"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7,299 </w:t>
            </w:r>
          </w:p>
        </w:tc>
        <w:tc>
          <w:tcPr>
            <w:tcW w:w="976" w:type="dxa"/>
            <w:gridSpan w:val="2"/>
            <w:tcBorders>
              <w:top w:val="nil"/>
              <w:left w:val="nil"/>
              <w:bottom w:val="nil"/>
              <w:right w:val="nil"/>
            </w:tcBorders>
            <w:shd w:val="clear" w:color="000000" w:fill="FFFFFF"/>
            <w:noWrap/>
            <w:vAlign w:val="bottom"/>
            <w:hideMark/>
          </w:tcPr>
          <w:p w14:paraId="144D4522"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8,727 </w:t>
            </w:r>
          </w:p>
        </w:tc>
      </w:tr>
      <w:tr w:rsidR="007478E1" w:rsidRPr="00575658" w14:paraId="42C8392F" w14:textId="77777777" w:rsidTr="007478E1">
        <w:trPr>
          <w:trHeight w:val="240"/>
        </w:trPr>
        <w:tc>
          <w:tcPr>
            <w:tcW w:w="6976" w:type="dxa"/>
            <w:gridSpan w:val="2"/>
            <w:tcBorders>
              <w:top w:val="nil"/>
              <w:left w:val="nil"/>
              <w:bottom w:val="nil"/>
              <w:right w:val="nil"/>
            </w:tcBorders>
            <w:noWrap/>
            <w:vAlign w:val="bottom"/>
            <w:hideMark/>
          </w:tcPr>
          <w:p w14:paraId="0B369024"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IT services</w:t>
            </w:r>
          </w:p>
        </w:tc>
        <w:tc>
          <w:tcPr>
            <w:tcW w:w="1016" w:type="dxa"/>
            <w:gridSpan w:val="2"/>
            <w:tcBorders>
              <w:top w:val="nil"/>
              <w:left w:val="nil"/>
              <w:bottom w:val="nil"/>
              <w:right w:val="nil"/>
            </w:tcBorders>
            <w:noWrap/>
            <w:vAlign w:val="bottom"/>
            <w:hideMark/>
          </w:tcPr>
          <w:p w14:paraId="47446ED9"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6,735 </w:t>
            </w:r>
          </w:p>
        </w:tc>
        <w:tc>
          <w:tcPr>
            <w:tcW w:w="976" w:type="dxa"/>
            <w:gridSpan w:val="2"/>
            <w:tcBorders>
              <w:top w:val="nil"/>
              <w:left w:val="nil"/>
              <w:bottom w:val="nil"/>
              <w:right w:val="nil"/>
            </w:tcBorders>
            <w:noWrap/>
            <w:vAlign w:val="bottom"/>
            <w:hideMark/>
          </w:tcPr>
          <w:p w14:paraId="275D5665"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5,948 </w:t>
            </w:r>
          </w:p>
        </w:tc>
      </w:tr>
      <w:tr w:rsidR="007478E1" w:rsidRPr="00575658" w14:paraId="1309AB17" w14:textId="77777777" w:rsidTr="007478E1">
        <w:trPr>
          <w:trHeight w:val="240"/>
        </w:trPr>
        <w:tc>
          <w:tcPr>
            <w:tcW w:w="6976" w:type="dxa"/>
            <w:gridSpan w:val="2"/>
            <w:tcBorders>
              <w:top w:val="nil"/>
              <w:left w:val="nil"/>
              <w:bottom w:val="nil"/>
              <w:right w:val="nil"/>
            </w:tcBorders>
            <w:shd w:val="clear" w:color="000000" w:fill="FFFFFF"/>
            <w:noWrap/>
            <w:vAlign w:val="bottom"/>
            <w:hideMark/>
          </w:tcPr>
          <w:p w14:paraId="16468769"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Travel</w:t>
            </w:r>
          </w:p>
        </w:tc>
        <w:tc>
          <w:tcPr>
            <w:tcW w:w="1016" w:type="dxa"/>
            <w:gridSpan w:val="2"/>
            <w:tcBorders>
              <w:top w:val="nil"/>
              <w:left w:val="nil"/>
              <w:bottom w:val="nil"/>
              <w:right w:val="nil"/>
            </w:tcBorders>
            <w:noWrap/>
            <w:vAlign w:val="bottom"/>
            <w:hideMark/>
          </w:tcPr>
          <w:p w14:paraId="2AC577A0"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486 </w:t>
            </w:r>
          </w:p>
        </w:tc>
        <w:tc>
          <w:tcPr>
            <w:tcW w:w="976" w:type="dxa"/>
            <w:gridSpan w:val="2"/>
            <w:tcBorders>
              <w:top w:val="nil"/>
              <w:left w:val="nil"/>
              <w:bottom w:val="nil"/>
              <w:right w:val="nil"/>
            </w:tcBorders>
            <w:shd w:val="clear" w:color="000000" w:fill="FFFFFF"/>
            <w:noWrap/>
            <w:vAlign w:val="bottom"/>
            <w:hideMark/>
          </w:tcPr>
          <w:p w14:paraId="748AFC9B"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457 </w:t>
            </w:r>
          </w:p>
        </w:tc>
      </w:tr>
      <w:tr w:rsidR="007478E1" w:rsidRPr="00575658" w14:paraId="7D667BCC" w14:textId="77777777" w:rsidTr="007478E1">
        <w:trPr>
          <w:trHeight w:val="240"/>
        </w:trPr>
        <w:tc>
          <w:tcPr>
            <w:tcW w:w="6976" w:type="dxa"/>
            <w:gridSpan w:val="2"/>
            <w:tcBorders>
              <w:top w:val="nil"/>
              <w:left w:val="nil"/>
              <w:bottom w:val="nil"/>
              <w:right w:val="nil"/>
            </w:tcBorders>
            <w:shd w:val="clear" w:color="000000" w:fill="FFFFFF"/>
            <w:noWrap/>
            <w:vAlign w:val="bottom"/>
            <w:hideMark/>
          </w:tcPr>
          <w:p w14:paraId="74F550AB"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Training</w:t>
            </w:r>
          </w:p>
        </w:tc>
        <w:tc>
          <w:tcPr>
            <w:tcW w:w="1016" w:type="dxa"/>
            <w:gridSpan w:val="2"/>
            <w:tcBorders>
              <w:top w:val="nil"/>
              <w:left w:val="nil"/>
              <w:bottom w:val="nil"/>
              <w:right w:val="nil"/>
            </w:tcBorders>
            <w:shd w:val="clear" w:color="000000" w:fill="FFFFFF"/>
            <w:noWrap/>
            <w:vAlign w:val="bottom"/>
            <w:hideMark/>
          </w:tcPr>
          <w:p w14:paraId="02249C9F"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1</w:t>
            </w:r>
            <w:r>
              <w:rPr>
                <w:rFonts w:ascii="Cambria" w:eastAsia="Times New Roman" w:hAnsi="Cambria" w:cs="Calibri"/>
                <w:b/>
                <w:bCs/>
                <w:color w:val="auto"/>
                <w:sz w:val="18"/>
                <w:szCs w:val="18"/>
                <w:lang w:eastAsia="en-AU"/>
              </w:rPr>
              <w:t>47</w:t>
            </w:r>
            <w:r w:rsidRPr="00575658">
              <w:rPr>
                <w:rFonts w:ascii="Cambria" w:eastAsia="Times New Roman" w:hAnsi="Cambria" w:cs="Calibri"/>
                <w:b/>
                <w:bCs/>
                <w:color w:val="auto"/>
                <w:sz w:val="18"/>
                <w:szCs w:val="18"/>
                <w:lang w:eastAsia="en-AU"/>
              </w:rPr>
              <w:t xml:space="preserve"> </w:t>
            </w:r>
          </w:p>
        </w:tc>
        <w:tc>
          <w:tcPr>
            <w:tcW w:w="976" w:type="dxa"/>
            <w:gridSpan w:val="2"/>
            <w:tcBorders>
              <w:top w:val="nil"/>
              <w:left w:val="nil"/>
              <w:bottom w:val="nil"/>
              <w:right w:val="nil"/>
            </w:tcBorders>
            <w:shd w:val="clear" w:color="000000" w:fill="FFFFFF"/>
            <w:noWrap/>
            <w:vAlign w:val="bottom"/>
            <w:hideMark/>
          </w:tcPr>
          <w:p w14:paraId="519933D6"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Pr>
                <w:rFonts w:ascii="Cambria" w:eastAsia="Times New Roman" w:hAnsi="Cambria" w:cs="Calibri"/>
                <w:color w:val="auto"/>
                <w:sz w:val="18"/>
                <w:szCs w:val="18"/>
                <w:lang w:eastAsia="en-AU"/>
              </w:rPr>
              <w:t>113</w:t>
            </w:r>
            <w:r w:rsidRPr="00575658">
              <w:rPr>
                <w:rFonts w:ascii="Cambria" w:eastAsia="Times New Roman" w:hAnsi="Cambria" w:cs="Calibri"/>
                <w:color w:val="auto"/>
                <w:sz w:val="18"/>
                <w:szCs w:val="18"/>
                <w:lang w:eastAsia="en-AU"/>
              </w:rPr>
              <w:t xml:space="preserve"> </w:t>
            </w:r>
          </w:p>
        </w:tc>
      </w:tr>
      <w:tr w:rsidR="007478E1" w:rsidRPr="00575658" w14:paraId="71FD75FA" w14:textId="77777777" w:rsidTr="007478E1">
        <w:trPr>
          <w:trHeight w:val="240"/>
        </w:trPr>
        <w:tc>
          <w:tcPr>
            <w:tcW w:w="6976" w:type="dxa"/>
            <w:gridSpan w:val="2"/>
            <w:tcBorders>
              <w:top w:val="nil"/>
              <w:left w:val="nil"/>
              <w:bottom w:val="nil"/>
              <w:right w:val="nil"/>
            </w:tcBorders>
            <w:shd w:val="clear" w:color="000000" w:fill="FFFFFF"/>
            <w:noWrap/>
            <w:vAlign w:val="bottom"/>
            <w:hideMark/>
          </w:tcPr>
          <w:p w14:paraId="5FA836E5"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Publishing materials</w:t>
            </w:r>
          </w:p>
        </w:tc>
        <w:tc>
          <w:tcPr>
            <w:tcW w:w="1016" w:type="dxa"/>
            <w:gridSpan w:val="2"/>
            <w:tcBorders>
              <w:top w:val="nil"/>
              <w:left w:val="nil"/>
              <w:bottom w:val="nil"/>
              <w:right w:val="nil"/>
            </w:tcBorders>
            <w:shd w:val="clear" w:color="000000" w:fill="FFFFFF"/>
            <w:noWrap/>
            <w:vAlign w:val="bottom"/>
            <w:hideMark/>
          </w:tcPr>
          <w:p w14:paraId="534EDDB6"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296 </w:t>
            </w:r>
          </w:p>
        </w:tc>
        <w:tc>
          <w:tcPr>
            <w:tcW w:w="976" w:type="dxa"/>
            <w:gridSpan w:val="2"/>
            <w:tcBorders>
              <w:top w:val="nil"/>
              <w:left w:val="nil"/>
              <w:bottom w:val="nil"/>
              <w:right w:val="nil"/>
            </w:tcBorders>
            <w:shd w:val="clear" w:color="000000" w:fill="FFFFFF"/>
            <w:noWrap/>
            <w:vAlign w:val="bottom"/>
            <w:hideMark/>
          </w:tcPr>
          <w:p w14:paraId="139C65E3"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533 </w:t>
            </w:r>
          </w:p>
        </w:tc>
      </w:tr>
      <w:tr w:rsidR="007478E1" w:rsidRPr="00575658" w14:paraId="556254A8" w14:textId="77777777" w:rsidTr="007478E1">
        <w:trPr>
          <w:trHeight w:val="240"/>
        </w:trPr>
        <w:tc>
          <w:tcPr>
            <w:tcW w:w="6976" w:type="dxa"/>
            <w:gridSpan w:val="2"/>
            <w:tcBorders>
              <w:top w:val="nil"/>
              <w:left w:val="nil"/>
              <w:bottom w:val="nil"/>
              <w:right w:val="nil"/>
            </w:tcBorders>
            <w:shd w:val="clear" w:color="000000" w:fill="FFFFFF"/>
            <w:noWrap/>
            <w:vAlign w:val="bottom"/>
            <w:hideMark/>
          </w:tcPr>
          <w:p w14:paraId="23A3E0B9"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Legal and audit expenses</w:t>
            </w:r>
          </w:p>
        </w:tc>
        <w:tc>
          <w:tcPr>
            <w:tcW w:w="1016" w:type="dxa"/>
            <w:gridSpan w:val="2"/>
            <w:tcBorders>
              <w:top w:val="nil"/>
              <w:left w:val="nil"/>
              <w:bottom w:val="nil"/>
              <w:right w:val="nil"/>
            </w:tcBorders>
            <w:shd w:val="clear" w:color="000000" w:fill="FFFFFF"/>
            <w:noWrap/>
            <w:vAlign w:val="bottom"/>
            <w:hideMark/>
          </w:tcPr>
          <w:p w14:paraId="60F0D812"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245 </w:t>
            </w:r>
          </w:p>
        </w:tc>
        <w:tc>
          <w:tcPr>
            <w:tcW w:w="976" w:type="dxa"/>
            <w:gridSpan w:val="2"/>
            <w:tcBorders>
              <w:top w:val="nil"/>
              <w:left w:val="nil"/>
              <w:bottom w:val="nil"/>
              <w:right w:val="nil"/>
            </w:tcBorders>
            <w:shd w:val="clear" w:color="000000" w:fill="FFFFFF"/>
            <w:noWrap/>
            <w:vAlign w:val="bottom"/>
            <w:hideMark/>
          </w:tcPr>
          <w:p w14:paraId="129E1397"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484 </w:t>
            </w:r>
          </w:p>
        </w:tc>
      </w:tr>
      <w:tr w:rsidR="007478E1" w:rsidRPr="00575658" w14:paraId="28E24CF7" w14:textId="77777777" w:rsidTr="007478E1">
        <w:trPr>
          <w:trHeight w:val="240"/>
        </w:trPr>
        <w:tc>
          <w:tcPr>
            <w:tcW w:w="6976" w:type="dxa"/>
            <w:gridSpan w:val="2"/>
            <w:tcBorders>
              <w:top w:val="nil"/>
              <w:left w:val="nil"/>
              <w:bottom w:val="nil"/>
              <w:right w:val="nil"/>
            </w:tcBorders>
            <w:shd w:val="clear" w:color="000000" w:fill="FFFFFF"/>
            <w:noWrap/>
            <w:vAlign w:val="bottom"/>
            <w:hideMark/>
          </w:tcPr>
          <w:p w14:paraId="385691D7"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Conference </w:t>
            </w:r>
            <w:r>
              <w:rPr>
                <w:rFonts w:ascii="Cambria" w:eastAsia="Times New Roman" w:hAnsi="Cambria" w:cs="Calibri"/>
                <w:color w:val="auto"/>
                <w:sz w:val="18"/>
                <w:szCs w:val="18"/>
                <w:lang w:eastAsia="en-AU"/>
              </w:rPr>
              <w:t xml:space="preserve">and seminars </w:t>
            </w:r>
          </w:p>
        </w:tc>
        <w:tc>
          <w:tcPr>
            <w:tcW w:w="1016" w:type="dxa"/>
            <w:gridSpan w:val="2"/>
            <w:tcBorders>
              <w:top w:val="nil"/>
              <w:left w:val="nil"/>
              <w:bottom w:val="nil"/>
              <w:right w:val="nil"/>
            </w:tcBorders>
            <w:shd w:val="clear" w:color="000000" w:fill="FFFFFF"/>
            <w:noWrap/>
            <w:vAlign w:val="bottom"/>
            <w:hideMark/>
          </w:tcPr>
          <w:p w14:paraId="6C25B2A7"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Pr>
                <w:rFonts w:ascii="Cambria" w:eastAsia="Times New Roman" w:hAnsi="Cambria" w:cs="Calibri"/>
                <w:b/>
                <w:bCs/>
                <w:color w:val="auto"/>
                <w:sz w:val="18"/>
                <w:szCs w:val="18"/>
                <w:lang w:eastAsia="en-AU"/>
              </w:rPr>
              <w:t>731</w:t>
            </w:r>
            <w:r w:rsidRPr="00575658">
              <w:rPr>
                <w:rFonts w:ascii="Cambria" w:eastAsia="Times New Roman" w:hAnsi="Cambria" w:cs="Calibri"/>
                <w:b/>
                <w:bCs/>
                <w:color w:val="auto"/>
                <w:sz w:val="18"/>
                <w:szCs w:val="18"/>
                <w:lang w:eastAsia="en-AU"/>
              </w:rPr>
              <w:t xml:space="preserve"> </w:t>
            </w:r>
          </w:p>
        </w:tc>
        <w:tc>
          <w:tcPr>
            <w:tcW w:w="976" w:type="dxa"/>
            <w:gridSpan w:val="2"/>
            <w:tcBorders>
              <w:top w:val="nil"/>
              <w:left w:val="nil"/>
              <w:bottom w:val="nil"/>
              <w:right w:val="nil"/>
            </w:tcBorders>
            <w:shd w:val="clear" w:color="000000" w:fill="FFFFFF"/>
            <w:noWrap/>
            <w:vAlign w:val="bottom"/>
            <w:hideMark/>
          </w:tcPr>
          <w:p w14:paraId="7D43B0CB"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 </w:t>
            </w:r>
            <w:r>
              <w:rPr>
                <w:rFonts w:ascii="Cambria" w:eastAsia="Times New Roman" w:hAnsi="Cambria" w:cs="Calibri"/>
                <w:color w:val="auto"/>
                <w:sz w:val="18"/>
                <w:szCs w:val="18"/>
                <w:lang w:eastAsia="en-AU"/>
              </w:rPr>
              <w:t>283</w:t>
            </w:r>
            <w:r w:rsidRPr="00575658">
              <w:rPr>
                <w:rFonts w:ascii="Cambria" w:eastAsia="Times New Roman" w:hAnsi="Cambria" w:cs="Calibri"/>
                <w:color w:val="auto"/>
                <w:sz w:val="18"/>
                <w:szCs w:val="18"/>
                <w:lang w:eastAsia="en-AU"/>
              </w:rPr>
              <w:t xml:space="preserve"> </w:t>
            </w:r>
          </w:p>
        </w:tc>
      </w:tr>
      <w:tr w:rsidR="007478E1" w:rsidRPr="00575658" w14:paraId="29A4337D" w14:textId="77777777" w:rsidTr="007478E1">
        <w:trPr>
          <w:trHeight w:val="240"/>
        </w:trPr>
        <w:tc>
          <w:tcPr>
            <w:tcW w:w="6976" w:type="dxa"/>
            <w:gridSpan w:val="2"/>
            <w:tcBorders>
              <w:top w:val="nil"/>
              <w:left w:val="nil"/>
              <w:bottom w:val="nil"/>
              <w:right w:val="nil"/>
            </w:tcBorders>
            <w:shd w:val="clear" w:color="000000" w:fill="FFFFFF"/>
            <w:noWrap/>
            <w:vAlign w:val="bottom"/>
            <w:hideMark/>
          </w:tcPr>
          <w:p w14:paraId="0CAF64E5"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Other</w:t>
            </w:r>
          </w:p>
        </w:tc>
        <w:tc>
          <w:tcPr>
            <w:tcW w:w="1016" w:type="dxa"/>
            <w:gridSpan w:val="2"/>
            <w:tcBorders>
              <w:top w:val="nil"/>
              <w:left w:val="nil"/>
              <w:bottom w:val="nil"/>
              <w:right w:val="nil"/>
            </w:tcBorders>
            <w:shd w:val="clear" w:color="000000" w:fill="FFFFFF"/>
            <w:noWrap/>
            <w:vAlign w:val="bottom"/>
            <w:hideMark/>
          </w:tcPr>
          <w:p w14:paraId="3FBE4B68"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767 </w:t>
            </w:r>
          </w:p>
        </w:tc>
        <w:tc>
          <w:tcPr>
            <w:tcW w:w="976" w:type="dxa"/>
            <w:gridSpan w:val="2"/>
            <w:tcBorders>
              <w:top w:val="nil"/>
              <w:left w:val="nil"/>
              <w:bottom w:val="nil"/>
              <w:right w:val="nil"/>
            </w:tcBorders>
            <w:shd w:val="clear" w:color="000000" w:fill="FFFFFF"/>
            <w:noWrap/>
            <w:vAlign w:val="bottom"/>
            <w:hideMark/>
          </w:tcPr>
          <w:p w14:paraId="025FA0B0"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655 </w:t>
            </w:r>
          </w:p>
        </w:tc>
      </w:tr>
      <w:tr w:rsidR="007478E1" w:rsidRPr="00575658" w14:paraId="0763C20B" w14:textId="77777777" w:rsidTr="007478E1">
        <w:trPr>
          <w:trHeight w:val="270"/>
        </w:trPr>
        <w:tc>
          <w:tcPr>
            <w:tcW w:w="6976" w:type="dxa"/>
            <w:gridSpan w:val="2"/>
            <w:tcBorders>
              <w:top w:val="nil"/>
              <w:left w:val="nil"/>
              <w:bottom w:val="nil"/>
              <w:right w:val="nil"/>
            </w:tcBorders>
            <w:shd w:val="clear" w:color="000000" w:fill="FFFFFF"/>
            <w:noWrap/>
            <w:vAlign w:val="bottom"/>
            <w:hideMark/>
          </w:tcPr>
          <w:p w14:paraId="1B581B0E" w14:textId="77777777" w:rsidR="007478E1" w:rsidRPr="00575658" w:rsidRDefault="007478E1" w:rsidP="00856101">
            <w:pPr>
              <w:spacing w:after="0" w:line="240" w:lineRule="auto"/>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Total goods and services supplied or rendered</w:t>
            </w:r>
          </w:p>
        </w:tc>
        <w:tc>
          <w:tcPr>
            <w:tcW w:w="1016" w:type="dxa"/>
            <w:gridSpan w:val="2"/>
            <w:tcBorders>
              <w:top w:val="single" w:sz="4" w:space="0" w:color="auto"/>
              <w:left w:val="nil"/>
              <w:bottom w:val="single" w:sz="4" w:space="0" w:color="auto"/>
              <w:right w:val="nil"/>
            </w:tcBorders>
            <w:shd w:val="clear" w:color="000000" w:fill="FFFFFF"/>
            <w:noWrap/>
            <w:vAlign w:val="bottom"/>
            <w:hideMark/>
          </w:tcPr>
          <w:p w14:paraId="1E12ADFF"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35,986 </w:t>
            </w:r>
          </w:p>
        </w:tc>
        <w:tc>
          <w:tcPr>
            <w:tcW w:w="976" w:type="dxa"/>
            <w:gridSpan w:val="2"/>
            <w:tcBorders>
              <w:top w:val="single" w:sz="4" w:space="0" w:color="auto"/>
              <w:left w:val="nil"/>
              <w:bottom w:val="single" w:sz="4" w:space="0" w:color="auto"/>
              <w:right w:val="nil"/>
            </w:tcBorders>
            <w:shd w:val="clear" w:color="000000" w:fill="FFFFFF"/>
            <w:noWrap/>
            <w:vAlign w:val="bottom"/>
            <w:hideMark/>
          </w:tcPr>
          <w:p w14:paraId="4DA9D52B"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30,266 </w:t>
            </w:r>
          </w:p>
        </w:tc>
      </w:tr>
      <w:tr w:rsidR="007478E1" w:rsidRPr="00575658" w14:paraId="11C9DF4F" w14:textId="77777777" w:rsidTr="007478E1">
        <w:trPr>
          <w:trHeight w:val="240"/>
        </w:trPr>
        <w:tc>
          <w:tcPr>
            <w:tcW w:w="6976" w:type="dxa"/>
            <w:gridSpan w:val="2"/>
            <w:tcBorders>
              <w:top w:val="nil"/>
              <w:left w:val="nil"/>
              <w:bottom w:val="nil"/>
              <w:right w:val="nil"/>
            </w:tcBorders>
            <w:shd w:val="clear" w:color="000000" w:fill="FFFFFF"/>
            <w:noWrap/>
            <w:vAlign w:val="bottom"/>
            <w:hideMark/>
          </w:tcPr>
          <w:p w14:paraId="1917D74C" w14:textId="77777777" w:rsidR="007478E1" w:rsidRPr="00575658" w:rsidRDefault="007478E1" w:rsidP="00856101">
            <w:pPr>
              <w:spacing w:after="0" w:line="240" w:lineRule="auto"/>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w:t>
            </w:r>
          </w:p>
        </w:tc>
        <w:tc>
          <w:tcPr>
            <w:tcW w:w="1016" w:type="dxa"/>
            <w:gridSpan w:val="2"/>
            <w:tcBorders>
              <w:top w:val="nil"/>
              <w:left w:val="nil"/>
              <w:bottom w:val="nil"/>
              <w:right w:val="nil"/>
            </w:tcBorders>
            <w:shd w:val="clear" w:color="000000" w:fill="FFFFFF"/>
            <w:noWrap/>
            <w:vAlign w:val="bottom"/>
            <w:hideMark/>
          </w:tcPr>
          <w:p w14:paraId="42AB3409"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w:t>
            </w:r>
          </w:p>
        </w:tc>
        <w:tc>
          <w:tcPr>
            <w:tcW w:w="976" w:type="dxa"/>
            <w:gridSpan w:val="2"/>
            <w:tcBorders>
              <w:top w:val="nil"/>
              <w:left w:val="nil"/>
              <w:bottom w:val="nil"/>
              <w:right w:val="nil"/>
            </w:tcBorders>
            <w:shd w:val="clear" w:color="000000" w:fill="FFFFFF"/>
            <w:noWrap/>
            <w:vAlign w:val="bottom"/>
            <w:hideMark/>
          </w:tcPr>
          <w:p w14:paraId="3CF8044D"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r>
      <w:tr w:rsidR="007478E1" w:rsidRPr="00575658" w14:paraId="54C65069" w14:textId="77777777" w:rsidTr="007478E1">
        <w:trPr>
          <w:trHeight w:val="240"/>
        </w:trPr>
        <w:tc>
          <w:tcPr>
            <w:tcW w:w="6976" w:type="dxa"/>
            <w:gridSpan w:val="2"/>
            <w:tcBorders>
              <w:top w:val="nil"/>
              <w:left w:val="nil"/>
              <w:bottom w:val="nil"/>
              <w:right w:val="nil"/>
            </w:tcBorders>
            <w:shd w:val="clear" w:color="000000" w:fill="FFFFFF"/>
            <w:hideMark/>
          </w:tcPr>
          <w:p w14:paraId="08888B4E"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Goods supplied</w:t>
            </w:r>
          </w:p>
        </w:tc>
        <w:tc>
          <w:tcPr>
            <w:tcW w:w="1016" w:type="dxa"/>
            <w:gridSpan w:val="2"/>
            <w:tcBorders>
              <w:top w:val="nil"/>
              <w:left w:val="nil"/>
              <w:bottom w:val="nil"/>
              <w:right w:val="nil"/>
            </w:tcBorders>
            <w:shd w:val="clear" w:color="000000" w:fill="FFFFFF"/>
            <w:noWrap/>
            <w:vAlign w:val="bottom"/>
            <w:hideMark/>
          </w:tcPr>
          <w:p w14:paraId="7954EC40"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349 </w:t>
            </w:r>
          </w:p>
        </w:tc>
        <w:tc>
          <w:tcPr>
            <w:tcW w:w="976" w:type="dxa"/>
            <w:gridSpan w:val="2"/>
            <w:tcBorders>
              <w:top w:val="nil"/>
              <w:left w:val="nil"/>
              <w:bottom w:val="nil"/>
              <w:right w:val="nil"/>
            </w:tcBorders>
            <w:shd w:val="clear" w:color="000000" w:fill="FFFFFF"/>
            <w:noWrap/>
            <w:vAlign w:val="bottom"/>
            <w:hideMark/>
          </w:tcPr>
          <w:p w14:paraId="49F846F0"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608 </w:t>
            </w:r>
          </w:p>
        </w:tc>
      </w:tr>
      <w:tr w:rsidR="007478E1" w:rsidRPr="00575658" w14:paraId="27ACC205" w14:textId="77777777" w:rsidTr="007478E1">
        <w:trPr>
          <w:trHeight w:val="240"/>
        </w:trPr>
        <w:tc>
          <w:tcPr>
            <w:tcW w:w="6976" w:type="dxa"/>
            <w:gridSpan w:val="2"/>
            <w:tcBorders>
              <w:top w:val="nil"/>
              <w:left w:val="nil"/>
              <w:bottom w:val="nil"/>
              <w:right w:val="nil"/>
            </w:tcBorders>
            <w:shd w:val="clear" w:color="000000" w:fill="FFFFFF"/>
            <w:hideMark/>
          </w:tcPr>
          <w:p w14:paraId="5707A336"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Services rendered </w:t>
            </w:r>
          </w:p>
        </w:tc>
        <w:tc>
          <w:tcPr>
            <w:tcW w:w="1016" w:type="dxa"/>
            <w:gridSpan w:val="2"/>
            <w:tcBorders>
              <w:top w:val="nil"/>
              <w:left w:val="nil"/>
              <w:bottom w:val="nil"/>
              <w:right w:val="nil"/>
            </w:tcBorders>
            <w:shd w:val="clear" w:color="000000" w:fill="FFFFFF"/>
            <w:noWrap/>
            <w:vAlign w:val="bottom"/>
            <w:hideMark/>
          </w:tcPr>
          <w:p w14:paraId="5B0D2B01"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35,637 </w:t>
            </w:r>
          </w:p>
        </w:tc>
        <w:tc>
          <w:tcPr>
            <w:tcW w:w="976" w:type="dxa"/>
            <w:gridSpan w:val="2"/>
            <w:tcBorders>
              <w:top w:val="nil"/>
              <w:left w:val="nil"/>
              <w:bottom w:val="nil"/>
              <w:right w:val="nil"/>
            </w:tcBorders>
            <w:shd w:val="clear" w:color="000000" w:fill="FFFFFF"/>
            <w:noWrap/>
            <w:vAlign w:val="bottom"/>
            <w:hideMark/>
          </w:tcPr>
          <w:p w14:paraId="23379DC8"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29,658 </w:t>
            </w:r>
          </w:p>
        </w:tc>
      </w:tr>
      <w:tr w:rsidR="007478E1" w:rsidRPr="00575658" w14:paraId="5A8590EC" w14:textId="77777777" w:rsidTr="007478E1">
        <w:trPr>
          <w:trHeight w:val="270"/>
        </w:trPr>
        <w:tc>
          <w:tcPr>
            <w:tcW w:w="6976" w:type="dxa"/>
            <w:gridSpan w:val="2"/>
            <w:tcBorders>
              <w:top w:val="nil"/>
              <w:left w:val="nil"/>
              <w:bottom w:val="nil"/>
              <w:right w:val="nil"/>
            </w:tcBorders>
            <w:noWrap/>
            <w:vAlign w:val="bottom"/>
            <w:hideMark/>
          </w:tcPr>
          <w:p w14:paraId="299C14C8" w14:textId="77777777" w:rsidR="007478E1" w:rsidRPr="00575658" w:rsidRDefault="007478E1" w:rsidP="00856101">
            <w:pPr>
              <w:spacing w:after="0" w:line="240" w:lineRule="auto"/>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Total goods and services supplied or rendered</w:t>
            </w:r>
          </w:p>
        </w:tc>
        <w:tc>
          <w:tcPr>
            <w:tcW w:w="1016" w:type="dxa"/>
            <w:gridSpan w:val="2"/>
            <w:tcBorders>
              <w:top w:val="single" w:sz="4" w:space="0" w:color="auto"/>
              <w:left w:val="nil"/>
              <w:bottom w:val="single" w:sz="4" w:space="0" w:color="auto"/>
              <w:right w:val="nil"/>
            </w:tcBorders>
            <w:noWrap/>
            <w:vAlign w:val="bottom"/>
            <w:hideMark/>
          </w:tcPr>
          <w:p w14:paraId="63D603C3"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35,986 </w:t>
            </w:r>
          </w:p>
        </w:tc>
        <w:tc>
          <w:tcPr>
            <w:tcW w:w="976" w:type="dxa"/>
            <w:gridSpan w:val="2"/>
            <w:tcBorders>
              <w:top w:val="single" w:sz="4" w:space="0" w:color="auto"/>
              <w:left w:val="nil"/>
              <w:bottom w:val="single" w:sz="4" w:space="0" w:color="auto"/>
              <w:right w:val="nil"/>
            </w:tcBorders>
            <w:noWrap/>
            <w:vAlign w:val="bottom"/>
            <w:hideMark/>
          </w:tcPr>
          <w:p w14:paraId="245B3824"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30,266 </w:t>
            </w:r>
          </w:p>
        </w:tc>
      </w:tr>
      <w:tr w:rsidR="007478E1" w:rsidRPr="00575658" w14:paraId="0FB9C409" w14:textId="77777777" w:rsidTr="007478E1">
        <w:trPr>
          <w:trHeight w:val="240"/>
        </w:trPr>
        <w:tc>
          <w:tcPr>
            <w:tcW w:w="6976" w:type="dxa"/>
            <w:gridSpan w:val="2"/>
            <w:tcBorders>
              <w:top w:val="nil"/>
              <w:left w:val="nil"/>
              <w:bottom w:val="nil"/>
              <w:right w:val="nil"/>
            </w:tcBorders>
            <w:hideMark/>
          </w:tcPr>
          <w:p w14:paraId="51159163"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p>
        </w:tc>
        <w:tc>
          <w:tcPr>
            <w:tcW w:w="1016" w:type="dxa"/>
            <w:gridSpan w:val="2"/>
            <w:tcBorders>
              <w:top w:val="nil"/>
              <w:left w:val="nil"/>
              <w:bottom w:val="nil"/>
              <w:right w:val="nil"/>
            </w:tcBorders>
            <w:hideMark/>
          </w:tcPr>
          <w:p w14:paraId="43777322" w14:textId="77777777" w:rsidR="007478E1" w:rsidRPr="00575658" w:rsidRDefault="007478E1" w:rsidP="00856101">
            <w:pPr>
              <w:spacing w:after="0" w:line="240" w:lineRule="auto"/>
              <w:rPr>
                <w:rFonts w:ascii="Times New Roman" w:eastAsia="Times New Roman" w:hAnsi="Times New Roman" w:cs="Times New Roman"/>
                <w:color w:val="auto"/>
                <w:sz w:val="20"/>
                <w:szCs w:val="20"/>
                <w:lang w:eastAsia="en-AU"/>
              </w:rPr>
            </w:pPr>
          </w:p>
        </w:tc>
        <w:tc>
          <w:tcPr>
            <w:tcW w:w="976" w:type="dxa"/>
            <w:gridSpan w:val="2"/>
            <w:tcBorders>
              <w:top w:val="nil"/>
              <w:left w:val="nil"/>
              <w:bottom w:val="nil"/>
              <w:right w:val="nil"/>
            </w:tcBorders>
            <w:hideMark/>
          </w:tcPr>
          <w:p w14:paraId="5888B5F8" w14:textId="77777777" w:rsidR="007478E1" w:rsidRPr="00575658" w:rsidRDefault="007478E1" w:rsidP="00856101">
            <w:pPr>
              <w:spacing w:after="0" w:line="240" w:lineRule="auto"/>
              <w:rPr>
                <w:rFonts w:ascii="Times New Roman" w:eastAsia="Times New Roman" w:hAnsi="Times New Roman" w:cs="Times New Roman"/>
                <w:color w:val="auto"/>
                <w:sz w:val="20"/>
                <w:szCs w:val="20"/>
                <w:lang w:eastAsia="en-AU"/>
              </w:rPr>
            </w:pPr>
          </w:p>
        </w:tc>
      </w:tr>
      <w:tr w:rsidR="007478E1" w:rsidRPr="00575658" w14:paraId="63102664" w14:textId="77777777" w:rsidTr="007478E1">
        <w:trPr>
          <w:trHeight w:val="240"/>
        </w:trPr>
        <w:tc>
          <w:tcPr>
            <w:tcW w:w="6976" w:type="dxa"/>
            <w:gridSpan w:val="2"/>
            <w:tcBorders>
              <w:top w:val="nil"/>
              <w:left w:val="nil"/>
              <w:bottom w:val="nil"/>
              <w:right w:val="nil"/>
            </w:tcBorders>
            <w:noWrap/>
            <w:vAlign w:val="bottom"/>
            <w:hideMark/>
          </w:tcPr>
          <w:p w14:paraId="64A2580C" w14:textId="77777777" w:rsidR="007478E1" w:rsidRPr="00575658" w:rsidRDefault="007478E1" w:rsidP="00856101">
            <w:pPr>
              <w:spacing w:after="0" w:line="240" w:lineRule="auto"/>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Other suppliers</w:t>
            </w:r>
          </w:p>
        </w:tc>
        <w:tc>
          <w:tcPr>
            <w:tcW w:w="1016" w:type="dxa"/>
            <w:gridSpan w:val="2"/>
            <w:tcBorders>
              <w:top w:val="nil"/>
              <w:left w:val="nil"/>
              <w:bottom w:val="nil"/>
              <w:right w:val="nil"/>
            </w:tcBorders>
            <w:noWrap/>
            <w:vAlign w:val="bottom"/>
            <w:hideMark/>
          </w:tcPr>
          <w:p w14:paraId="4318A8D7" w14:textId="77777777" w:rsidR="007478E1" w:rsidRPr="00575658" w:rsidRDefault="007478E1" w:rsidP="00856101">
            <w:pPr>
              <w:spacing w:after="0" w:line="240" w:lineRule="auto"/>
              <w:rPr>
                <w:rFonts w:ascii="Cambria" w:eastAsia="Times New Roman" w:hAnsi="Cambria" w:cs="Calibri"/>
                <w:b/>
                <w:bCs/>
                <w:color w:val="auto"/>
                <w:sz w:val="18"/>
                <w:szCs w:val="18"/>
                <w:lang w:eastAsia="en-AU"/>
              </w:rPr>
            </w:pPr>
          </w:p>
        </w:tc>
        <w:tc>
          <w:tcPr>
            <w:tcW w:w="976" w:type="dxa"/>
            <w:gridSpan w:val="2"/>
            <w:tcBorders>
              <w:top w:val="nil"/>
              <w:left w:val="nil"/>
              <w:bottom w:val="nil"/>
              <w:right w:val="nil"/>
            </w:tcBorders>
            <w:noWrap/>
            <w:vAlign w:val="bottom"/>
            <w:hideMark/>
          </w:tcPr>
          <w:p w14:paraId="241209D6" w14:textId="77777777" w:rsidR="007478E1" w:rsidRPr="00575658" w:rsidRDefault="007478E1" w:rsidP="00856101">
            <w:pPr>
              <w:spacing w:after="0" w:line="240" w:lineRule="auto"/>
              <w:jc w:val="right"/>
              <w:rPr>
                <w:rFonts w:ascii="Times New Roman" w:eastAsia="Times New Roman" w:hAnsi="Times New Roman" w:cs="Times New Roman"/>
                <w:color w:val="auto"/>
                <w:sz w:val="20"/>
                <w:szCs w:val="20"/>
                <w:lang w:eastAsia="en-AU"/>
              </w:rPr>
            </w:pPr>
          </w:p>
        </w:tc>
      </w:tr>
      <w:tr w:rsidR="007478E1" w:rsidRPr="00575658" w14:paraId="53C86107" w14:textId="77777777" w:rsidTr="007478E1">
        <w:trPr>
          <w:trHeight w:val="240"/>
        </w:trPr>
        <w:tc>
          <w:tcPr>
            <w:tcW w:w="6976" w:type="dxa"/>
            <w:gridSpan w:val="2"/>
            <w:tcBorders>
              <w:top w:val="nil"/>
              <w:left w:val="nil"/>
              <w:bottom w:val="nil"/>
              <w:right w:val="nil"/>
            </w:tcBorders>
            <w:shd w:val="clear" w:color="000000" w:fill="FFFFFF"/>
            <w:hideMark/>
          </w:tcPr>
          <w:p w14:paraId="7D9DA763"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Workers' compensation expenses</w:t>
            </w:r>
          </w:p>
        </w:tc>
        <w:tc>
          <w:tcPr>
            <w:tcW w:w="1016" w:type="dxa"/>
            <w:gridSpan w:val="2"/>
            <w:tcBorders>
              <w:top w:val="nil"/>
              <w:left w:val="nil"/>
              <w:bottom w:val="nil"/>
              <w:right w:val="nil"/>
            </w:tcBorders>
            <w:shd w:val="clear" w:color="000000" w:fill="FFFFFF"/>
            <w:noWrap/>
            <w:vAlign w:val="bottom"/>
            <w:hideMark/>
          </w:tcPr>
          <w:p w14:paraId="242B71BC"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4 </w:t>
            </w:r>
          </w:p>
        </w:tc>
        <w:tc>
          <w:tcPr>
            <w:tcW w:w="976" w:type="dxa"/>
            <w:gridSpan w:val="2"/>
            <w:tcBorders>
              <w:top w:val="nil"/>
              <w:left w:val="nil"/>
              <w:bottom w:val="nil"/>
              <w:right w:val="nil"/>
            </w:tcBorders>
            <w:shd w:val="clear" w:color="000000" w:fill="FFFFFF"/>
            <w:noWrap/>
            <w:vAlign w:val="bottom"/>
            <w:hideMark/>
          </w:tcPr>
          <w:p w14:paraId="31B6FB03"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4 </w:t>
            </w:r>
          </w:p>
        </w:tc>
      </w:tr>
      <w:tr w:rsidR="007478E1" w:rsidRPr="00575658" w14:paraId="2A103889" w14:textId="77777777" w:rsidTr="007478E1">
        <w:trPr>
          <w:trHeight w:val="240"/>
        </w:trPr>
        <w:tc>
          <w:tcPr>
            <w:tcW w:w="6976" w:type="dxa"/>
            <w:gridSpan w:val="2"/>
            <w:tcBorders>
              <w:top w:val="nil"/>
              <w:left w:val="nil"/>
              <w:bottom w:val="nil"/>
              <w:right w:val="nil"/>
            </w:tcBorders>
            <w:shd w:val="clear" w:color="000000" w:fill="FFFFFF"/>
            <w:hideMark/>
          </w:tcPr>
          <w:p w14:paraId="493F398F" w14:textId="77777777" w:rsidR="007478E1" w:rsidRPr="00575658" w:rsidRDefault="007478E1" w:rsidP="00856101">
            <w:pPr>
              <w:spacing w:after="0" w:line="240" w:lineRule="auto"/>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Total other suppliers</w:t>
            </w:r>
          </w:p>
        </w:tc>
        <w:tc>
          <w:tcPr>
            <w:tcW w:w="1016" w:type="dxa"/>
            <w:gridSpan w:val="2"/>
            <w:tcBorders>
              <w:top w:val="single" w:sz="4" w:space="0" w:color="auto"/>
              <w:left w:val="nil"/>
              <w:bottom w:val="single" w:sz="4" w:space="0" w:color="auto"/>
              <w:right w:val="nil"/>
            </w:tcBorders>
            <w:shd w:val="clear" w:color="000000" w:fill="FFFFFF"/>
            <w:noWrap/>
            <w:vAlign w:val="bottom"/>
            <w:hideMark/>
          </w:tcPr>
          <w:p w14:paraId="199011FF"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4 </w:t>
            </w:r>
          </w:p>
        </w:tc>
        <w:tc>
          <w:tcPr>
            <w:tcW w:w="976" w:type="dxa"/>
            <w:gridSpan w:val="2"/>
            <w:tcBorders>
              <w:top w:val="single" w:sz="4" w:space="0" w:color="auto"/>
              <w:left w:val="nil"/>
              <w:bottom w:val="single" w:sz="4" w:space="0" w:color="auto"/>
              <w:right w:val="nil"/>
            </w:tcBorders>
            <w:shd w:val="clear" w:color="000000" w:fill="FFFFFF"/>
            <w:noWrap/>
            <w:vAlign w:val="bottom"/>
            <w:hideMark/>
          </w:tcPr>
          <w:p w14:paraId="470F1E75"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4 </w:t>
            </w:r>
          </w:p>
        </w:tc>
      </w:tr>
      <w:tr w:rsidR="007478E1" w:rsidRPr="00575658" w14:paraId="052943B0" w14:textId="77777777" w:rsidTr="007478E1">
        <w:trPr>
          <w:trHeight w:val="330"/>
        </w:trPr>
        <w:tc>
          <w:tcPr>
            <w:tcW w:w="6976" w:type="dxa"/>
            <w:gridSpan w:val="2"/>
            <w:tcBorders>
              <w:top w:val="nil"/>
              <w:left w:val="nil"/>
              <w:bottom w:val="nil"/>
              <w:right w:val="nil"/>
            </w:tcBorders>
            <w:shd w:val="clear" w:color="000000" w:fill="FFFFFF"/>
            <w:hideMark/>
          </w:tcPr>
          <w:p w14:paraId="4B55A4EE" w14:textId="77777777" w:rsidR="007478E1" w:rsidRPr="00575658" w:rsidRDefault="007478E1" w:rsidP="00856101">
            <w:pPr>
              <w:spacing w:after="0" w:line="240" w:lineRule="auto"/>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Total suppliers</w:t>
            </w:r>
          </w:p>
        </w:tc>
        <w:tc>
          <w:tcPr>
            <w:tcW w:w="1016" w:type="dxa"/>
            <w:gridSpan w:val="2"/>
            <w:tcBorders>
              <w:top w:val="nil"/>
              <w:left w:val="nil"/>
              <w:bottom w:val="single" w:sz="4" w:space="0" w:color="auto"/>
              <w:right w:val="nil"/>
            </w:tcBorders>
            <w:shd w:val="clear" w:color="000000" w:fill="FFFFFF"/>
            <w:noWrap/>
            <w:vAlign w:val="bottom"/>
            <w:hideMark/>
          </w:tcPr>
          <w:p w14:paraId="2FA50B0A"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35,990 </w:t>
            </w:r>
          </w:p>
        </w:tc>
        <w:tc>
          <w:tcPr>
            <w:tcW w:w="976" w:type="dxa"/>
            <w:gridSpan w:val="2"/>
            <w:tcBorders>
              <w:top w:val="nil"/>
              <w:left w:val="nil"/>
              <w:bottom w:val="single" w:sz="4" w:space="0" w:color="auto"/>
              <w:right w:val="nil"/>
            </w:tcBorders>
            <w:shd w:val="clear" w:color="000000" w:fill="FFFFFF"/>
            <w:noWrap/>
            <w:vAlign w:val="bottom"/>
            <w:hideMark/>
          </w:tcPr>
          <w:p w14:paraId="69A54A88"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30,270 </w:t>
            </w:r>
          </w:p>
        </w:tc>
      </w:tr>
      <w:tr w:rsidR="007478E1" w:rsidRPr="00575658" w14:paraId="59591C6D" w14:textId="77777777" w:rsidTr="007478E1">
        <w:trPr>
          <w:trHeight w:val="240"/>
        </w:trPr>
        <w:tc>
          <w:tcPr>
            <w:tcW w:w="6976" w:type="dxa"/>
            <w:gridSpan w:val="2"/>
            <w:tcBorders>
              <w:top w:val="nil"/>
              <w:left w:val="nil"/>
              <w:bottom w:val="nil"/>
              <w:right w:val="nil"/>
            </w:tcBorders>
            <w:noWrap/>
            <w:vAlign w:val="bottom"/>
            <w:hideMark/>
          </w:tcPr>
          <w:p w14:paraId="1B166938"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p>
        </w:tc>
        <w:tc>
          <w:tcPr>
            <w:tcW w:w="1016" w:type="dxa"/>
            <w:gridSpan w:val="2"/>
            <w:tcBorders>
              <w:top w:val="nil"/>
              <w:left w:val="nil"/>
              <w:bottom w:val="nil"/>
              <w:right w:val="nil"/>
            </w:tcBorders>
            <w:noWrap/>
            <w:vAlign w:val="bottom"/>
            <w:hideMark/>
          </w:tcPr>
          <w:p w14:paraId="45CF3840" w14:textId="77777777" w:rsidR="007478E1" w:rsidRPr="00575658" w:rsidRDefault="007478E1" w:rsidP="00856101">
            <w:pPr>
              <w:spacing w:after="0" w:line="240" w:lineRule="auto"/>
              <w:rPr>
                <w:rFonts w:ascii="Times New Roman" w:eastAsia="Times New Roman" w:hAnsi="Times New Roman" w:cs="Times New Roman"/>
                <w:color w:val="auto"/>
                <w:sz w:val="20"/>
                <w:szCs w:val="20"/>
                <w:lang w:eastAsia="en-AU"/>
              </w:rPr>
            </w:pPr>
          </w:p>
        </w:tc>
        <w:tc>
          <w:tcPr>
            <w:tcW w:w="976" w:type="dxa"/>
            <w:gridSpan w:val="2"/>
            <w:tcBorders>
              <w:top w:val="nil"/>
              <w:left w:val="nil"/>
              <w:bottom w:val="nil"/>
              <w:right w:val="nil"/>
            </w:tcBorders>
            <w:noWrap/>
            <w:vAlign w:val="bottom"/>
            <w:hideMark/>
          </w:tcPr>
          <w:p w14:paraId="39ADBDDA" w14:textId="77777777" w:rsidR="007478E1" w:rsidRPr="00575658" w:rsidRDefault="007478E1" w:rsidP="00856101">
            <w:pPr>
              <w:spacing w:after="0" w:line="240" w:lineRule="auto"/>
              <w:rPr>
                <w:rFonts w:ascii="Times New Roman" w:eastAsia="Times New Roman" w:hAnsi="Times New Roman" w:cs="Times New Roman"/>
                <w:color w:val="auto"/>
                <w:sz w:val="20"/>
                <w:szCs w:val="20"/>
                <w:lang w:eastAsia="en-AU"/>
              </w:rPr>
            </w:pPr>
          </w:p>
        </w:tc>
      </w:tr>
      <w:tr w:rsidR="007478E1" w:rsidRPr="00575658" w14:paraId="7BA2CF54" w14:textId="77777777" w:rsidTr="007478E1">
        <w:trPr>
          <w:trHeight w:val="75"/>
        </w:trPr>
        <w:tc>
          <w:tcPr>
            <w:tcW w:w="6976" w:type="dxa"/>
            <w:gridSpan w:val="2"/>
            <w:tcBorders>
              <w:top w:val="nil"/>
              <w:left w:val="nil"/>
              <w:bottom w:val="nil"/>
              <w:right w:val="nil"/>
            </w:tcBorders>
            <w:noWrap/>
            <w:vAlign w:val="bottom"/>
            <w:hideMark/>
          </w:tcPr>
          <w:p w14:paraId="4AA45F55" w14:textId="77777777" w:rsidR="007478E1" w:rsidRPr="00575658" w:rsidRDefault="007478E1" w:rsidP="00856101">
            <w:pPr>
              <w:spacing w:after="0" w:line="240" w:lineRule="auto"/>
              <w:rPr>
                <w:rFonts w:ascii="Times New Roman" w:eastAsia="Times New Roman" w:hAnsi="Times New Roman" w:cs="Times New Roman"/>
                <w:color w:val="auto"/>
                <w:sz w:val="20"/>
                <w:szCs w:val="20"/>
                <w:lang w:eastAsia="en-AU"/>
              </w:rPr>
            </w:pPr>
          </w:p>
        </w:tc>
        <w:tc>
          <w:tcPr>
            <w:tcW w:w="1016" w:type="dxa"/>
            <w:gridSpan w:val="2"/>
            <w:tcBorders>
              <w:top w:val="nil"/>
              <w:left w:val="nil"/>
              <w:bottom w:val="nil"/>
              <w:right w:val="nil"/>
            </w:tcBorders>
            <w:noWrap/>
            <w:vAlign w:val="bottom"/>
            <w:hideMark/>
          </w:tcPr>
          <w:p w14:paraId="1EEA22A3" w14:textId="77777777" w:rsidR="007478E1" w:rsidRPr="00575658" w:rsidRDefault="007478E1" w:rsidP="00856101">
            <w:pPr>
              <w:spacing w:after="0" w:line="240" w:lineRule="auto"/>
              <w:ind w:firstLineChars="100" w:firstLine="200"/>
              <w:rPr>
                <w:rFonts w:ascii="Times New Roman" w:eastAsia="Times New Roman" w:hAnsi="Times New Roman" w:cs="Times New Roman"/>
                <w:color w:val="auto"/>
                <w:sz w:val="20"/>
                <w:szCs w:val="20"/>
                <w:lang w:eastAsia="en-AU"/>
              </w:rPr>
            </w:pPr>
          </w:p>
        </w:tc>
        <w:tc>
          <w:tcPr>
            <w:tcW w:w="976" w:type="dxa"/>
            <w:gridSpan w:val="2"/>
            <w:tcBorders>
              <w:top w:val="nil"/>
              <w:left w:val="nil"/>
              <w:bottom w:val="nil"/>
              <w:right w:val="nil"/>
            </w:tcBorders>
            <w:noWrap/>
            <w:vAlign w:val="bottom"/>
            <w:hideMark/>
          </w:tcPr>
          <w:p w14:paraId="173F8A21" w14:textId="77777777" w:rsidR="007478E1" w:rsidRPr="00575658" w:rsidRDefault="007478E1" w:rsidP="00856101">
            <w:pPr>
              <w:spacing w:after="0" w:line="240" w:lineRule="auto"/>
              <w:jc w:val="right"/>
              <w:rPr>
                <w:rFonts w:ascii="Times New Roman" w:eastAsia="Times New Roman" w:hAnsi="Times New Roman" w:cs="Times New Roman"/>
                <w:color w:val="auto"/>
                <w:sz w:val="20"/>
                <w:szCs w:val="20"/>
                <w:lang w:eastAsia="en-AU"/>
              </w:rPr>
            </w:pPr>
          </w:p>
        </w:tc>
      </w:tr>
      <w:tr w:rsidR="007478E1" w:rsidRPr="00575658" w14:paraId="0718C7A4" w14:textId="77777777" w:rsidTr="007478E1">
        <w:trPr>
          <w:trHeight w:val="327"/>
        </w:trPr>
        <w:tc>
          <w:tcPr>
            <w:tcW w:w="6976" w:type="dxa"/>
            <w:gridSpan w:val="2"/>
            <w:tcBorders>
              <w:top w:val="nil"/>
              <w:left w:val="nil"/>
              <w:bottom w:val="nil"/>
              <w:right w:val="nil"/>
            </w:tcBorders>
            <w:shd w:val="clear" w:color="000000" w:fill="FFFFFF"/>
            <w:hideMark/>
          </w:tcPr>
          <w:p w14:paraId="2FF8C453" w14:textId="77777777" w:rsidR="007478E1" w:rsidRPr="00575658" w:rsidRDefault="007478E1" w:rsidP="00856101">
            <w:pPr>
              <w:spacing w:after="0" w:line="240" w:lineRule="auto"/>
              <w:rPr>
                <w:rFonts w:ascii="Cambria" w:eastAsia="Times New Roman" w:hAnsi="Cambria" w:cs="Calibri"/>
                <w:b/>
                <w:bCs/>
                <w:color w:val="auto"/>
                <w:sz w:val="18"/>
                <w:szCs w:val="18"/>
                <w:u w:val="single"/>
                <w:lang w:eastAsia="en-AU"/>
              </w:rPr>
            </w:pPr>
            <w:r w:rsidRPr="00575658">
              <w:rPr>
                <w:rFonts w:ascii="Cambria" w:eastAsia="Times New Roman" w:hAnsi="Cambria" w:cs="Calibri"/>
                <w:b/>
                <w:bCs/>
                <w:color w:val="auto"/>
                <w:sz w:val="18"/>
                <w:szCs w:val="18"/>
                <w:u w:val="single"/>
                <w:lang w:eastAsia="en-AU"/>
              </w:rPr>
              <w:t>Note 1.1C: Finance Costs</w:t>
            </w:r>
          </w:p>
        </w:tc>
        <w:tc>
          <w:tcPr>
            <w:tcW w:w="1016" w:type="dxa"/>
            <w:gridSpan w:val="2"/>
            <w:tcBorders>
              <w:top w:val="nil"/>
              <w:left w:val="nil"/>
              <w:bottom w:val="nil"/>
              <w:right w:val="nil"/>
            </w:tcBorders>
            <w:shd w:val="clear" w:color="000000" w:fill="FFFFFF"/>
            <w:noWrap/>
            <w:vAlign w:val="bottom"/>
            <w:hideMark/>
          </w:tcPr>
          <w:p w14:paraId="759072E6"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c>
          <w:tcPr>
            <w:tcW w:w="976" w:type="dxa"/>
            <w:gridSpan w:val="2"/>
            <w:tcBorders>
              <w:top w:val="nil"/>
              <w:left w:val="nil"/>
              <w:bottom w:val="nil"/>
              <w:right w:val="nil"/>
            </w:tcBorders>
            <w:shd w:val="clear" w:color="000000" w:fill="FFFFFF"/>
            <w:vAlign w:val="bottom"/>
            <w:hideMark/>
          </w:tcPr>
          <w:p w14:paraId="4194DE16"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r>
      <w:tr w:rsidR="007478E1" w:rsidRPr="00575658" w14:paraId="4F864DEE" w14:textId="77777777" w:rsidTr="007478E1">
        <w:trPr>
          <w:trHeight w:val="240"/>
        </w:trPr>
        <w:tc>
          <w:tcPr>
            <w:tcW w:w="6976" w:type="dxa"/>
            <w:gridSpan w:val="2"/>
            <w:tcBorders>
              <w:top w:val="nil"/>
              <w:left w:val="nil"/>
              <w:bottom w:val="nil"/>
              <w:right w:val="nil"/>
            </w:tcBorders>
            <w:shd w:val="clear" w:color="000000" w:fill="FFFFFF"/>
            <w:hideMark/>
          </w:tcPr>
          <w:p w14:paraId="5CAF834B" w14:textId="77777777" w:rsidR="007478E1" w:rsidRPr="00575658" w:rsidRDefault="007478E1" w:rsidP="00856101">
            <w:pPr>
              <w:spacing w:after="0" w:line="240" w:lineRule="auto"/>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Interest on lease liabilities (office space lease)</w:t>
            </w:r>
          </w:p>
        </w:tc>
        <w:tc>
          <w:tcPr>
            <w:tcW w:w="1016" w:type="dxa"/>
            <w:gridSpan w:val="2"/>
            <w:tcBorders>
              <w:top w:val="nil"/>
              <w:left w:val="nil"/>
              <w:bottom w:val="nil"/>
              <w:right w:val="nil"/>
            </w:tcBorders>
            <w:shd w:val="clear" w:color="000000" w:fill="FFFFFF"/>
            <w:noWrap/>
            <w:vAlign w:val="bottom"/>
            <w:hideMark/>
          </w:tcPr>
          <w:p w14:paraId="544CAE3C"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135 </w:t>
            </w:r>
          </w:p>
        </w:tc>
        <w:tc>
          <w:tcPr>
            <w:tcW w:w="976" w:type="dxa"/>
            <w:gridSpan w:val="2"/>
            <w:tcBorders>
              <w:top w:val="nil"/>
              <w:left w:val="nil"/>
              <w:bottom w:val="nil"/>
              <w:right w:val="nil"/>
            </w:tcBorders>
            <w:shd w:val="clear" w:color="000000" w:fill="FFFFFF"/>
            <w:noWrap/>
            <w:vAlign w:val="bottom"/>
            <w:hideMark/>
          </w:tcPr>
          <w:p w14:paraId="1CC51368"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150 </w:t>
            </w:r>
          </w:p>
        </w:tc>
      </w:tr>
      <w:tr w:rsidR="007478E1" w:rsidRPr="00575658" w14:paraId="245C4893" w14:textId="77777777" w:rsidTr="007478E1">
        <w:trPr>
          <w:trHeight w:val="255"/>
        </w:trPr>
        <w:tc>
          <w:tcPr>
            <w:tcW w:w="6976" w:type="dxa"/>
            <w:gridSpan w:val="2"/>
            <w:tcBorders>
              <w:top w:val="nil"/>
              <w:left w:val="nil"/>
              <w:bottom w:val="nil"/>
              <w:right w:val="nil"/>
            </w:tcBorders>
            <w:shd w:val="clear" w:color="000000" w:fill="FFFFFF"/>
            <w:hideMark/>
          </w:tcPr>
          <w:p w14:paraId="6E68726F" w14:textId="77777777" w:rsidR="007478E1" w:rsidRPr="00575658" w:rsidRDefault="007478E1" w:rsidP="00856101">
            <w:pPr>
              <w:spacing w:after="0" w:line="240" w:lineRule="auto"/>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Total finance costs</w:t>
            </w:r>
          </w:p>
        </w:tc>
        <w:tc>
          <w:tcPr>
            <w:tcW w:w="1016" w:type="dxa"/>
            <w:gridSpan w:val="2"/>
            <w:tcBorders>
              <w:top w:val="single" w:sz="4" w:space="0" w:color="auto"/>
              <w:left w:val="nil"/>
              <w:bottom w:val="single" w:sz="4" w:space="0" w:color="auto"/>
              <w:right w:val="nil"/>
            </w:tcBorders>
            <w:shd w:val="clear" w:color="000000" w:fill="FFFFFF"/>
            <w:noWrap/>
            <w:vAlign w:val="bottom"/>
            <w:hideMark/>
          </w:tcPr>
          <w:p w14:paraId="37FAF766"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xml:space="preserve">135 </w:t>
            </w:r>
          </w:p>
        </w:tc>
        <w:tc>
          <w:tcPr>
            <w:tcW w:w="976" w:type="dxa"/>
            <w:gridSpan w:val="2"/>
            <w:tcBorders>
              <w:top w:val="single" w:sz="4" w:space="0" w:color="auto"/>
              <w:left w:val="nil"/>
              <w:bottom w:val="single" w:sz="4" w:space="0" w:color="auto"/>
              <w:right w:val="nil"/>
            </w:tcBorders>
            <w:shd w:val="clear" w:color="000000" w:fill="FFFFFF"/>
            <w:noWrap/>
            <w:vAlign w:val="bottom"/>
            <w:hideMark/>
          </w:tcPr>
          <w:p w14:paraId="31F1CD43"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xml:space="preserve">150 </w:t>
            </w:r>
          </w:p>
        </w:tc>
      </w:tr>
      <w:tr w:rsidR="007478E1" w:rsidRPr="00575658" w14:paraId="673288C7" w14:textId="77777777" w:rsidTr="007478E1">
        <w:trPr>
          <w:trHeight w:val="255"/>
        </w:trPr>
        <w:tc>
          <w:tcPr>
            <w:tcW w:w="6976" w:type="dxa"/>
            <w:gridSpan w:val="2"/>
            <w:tcBorders>
              <w:top w:val="nil"/>
              <w:left w:val="nil"/>
              <w:bottom w:val="nil"/>
              <w:right w:val="nil"/>
            </w:tcBorders>
            <w:shd w:val="clear" w:color="000000" w:fill="FFFFFF"/>
            <w:hideMark/>
          </w:tcPr>
          <w:p w14:paraId="035902F4" w14:textId="77777777" w:rsidR="007478E1" w:rsidRPr="00575658" w:rsidRDefault="007478E1" w:rsidP="00856101">
            <w:pPr>
              <w:spacing w:after="0" w:line="240" w:lineRule="auto"/>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w:t>
            </w:r>
          </w:p>
        </w:tc>
        <w:tc>
          <w:tcPr>
            <w:tcW w:w="1016" w:type="dxa"/>
            <w:gridSpan w:val="2"/>
            <w:tcBorders>
              <w:top w:val="nil"/>
              <w:left w:val="nil"/>
              <w:bottom w:val="nil"/>
              <w:right w:val="nil"/>
            </w:tcBorders>
            <w:shd w:val="clear" w:color="000000" w:fill="FFFFFF"/>
            <w:noWrap/>
            <w:vAlign w:val="bottom"/>
            <w:hideMark/>
          </w:tcPr>
          <w:p w14:paraId="08D2EC10" w14:textId="77777777" w:rsidR="007478E1" w:rsidRPr="00575658" w:rsidRDefault="007478E1" w:rsidP="00856101">
            <w:pPr>
              <w:spacing w:after="0" w:line="240" w:lineRule="auto"/>
              <w:jc w:val="right"/>
              <w:rPr>
                <w:rFonts w:ascii="Cambria" w:eastAsia="Times New Roman" w:hAnsi="Cambria" w:cs="Calibri"/>
                <w:b/>
                <w:bCs/>
                <w:color w:val="auto"/>
                <w:sz w:val="18"/>
                <w:szCs w:val="18"/>
                <w:lang w:eastAsia="en-AU"/>
              </w:rPr>
            </w:pPr>
            <w:r w:rsidRPr="00575658">
              <w:rPr>
                <w:rFonts w:ascii="Cambria" w:eastAsia="Times New Roman" w:hAnsi="Cambria" w:cs="Calibri"/>
                <w:b/>
                <w:bCs/>
                <w:color w:val="auto"/>
                <w:sz w:val="18"/>
                <w:szCs w:val="18"/>
                <w:lang w:eastAsia="en-AU"/>
              </w:rPr>
              <w:t> </w:t>
            </w:r>
          </w:p>
        </w:tc>
        <w:tc>
          <w:tcPr>
            <w:tcW w:w="976" w:type="dxa"/>
            <w:gridSpan w:val="2"/>
            <w:tcBorders>
              <w:top w:val="nil"/>
              <w:left w:val="nil"/>
              <w:bottom w:val="nil"/>
              <w:right w:val="nil"/>
            </w:tcBorders>
            <w:shd w:val="clear" w:color="000000" w:fill="FFFFFF"/>
            <w:noWrap/>
            <w:vAlign w:val="bottom"/>
            <w:hideMark/>
          </w:tcPr>
          <w:p w14:paraId="1EB6D5BD" w14:textId="77777777" w:rsidR="007478E1" w:rsidRPr="00575658" w:rsidRDefault="007478E1" w:rsidP="00856101">
            <w:pPr>
              <w:spacing w:after="0" w:line="240" w:lineRule="auto"/>
              <w:jc w:val="right"/>
              <w:rPr>
                <w:rFonts w:ascii="Cambria" w:eastAsia="Times New Roman" w:hAnsi="Cambria" w:cs="Calibri"/>
                <w:color w:val="auto"/>
                <w:sz w:val="18"/>
                <w:szCs w:val="18"/>
                <w:lang w:eastAsia="en-AU"/>
              </w:rPr>
            </w:pPr>
            <w:r w:rsidRPr="00575658">
              <w:rPr>
                <w:rFonts w:ascii="Cambria" w:eastAsia="Times New Roman" w:hAnsi="Cambria" w:cs="Calibri"/>
                <w:color w:val="auto"/>
                <w:sz w:val="18"/>
                <w:szCs w:val="18"/>
                <w:lang w:eastAsia="en-AU"/>
              </w:rPr>
              <w:t> </w:t>
            </w:r>
          </w:p>
        </w:tc>
      </w:tr>
      <w:tr w:rsidR="007478E1" w:rsidRPr="00575658" w14:paraId="1E291744" w14:textId="77777777" w:rsidTr="007478E1">
        <w:trPr>
          <w:trHeight w:val="390"/>
        </w:trPr>
        <w:tc>
          <w:tcPr>
            <w:tcW w:w="8968" w:type="dxa"/>
            <w:gridSpan w:val="6"/>
            <w:tcBorders>
              <w:top w:val="nil"/>
              <w:left w:val="nil"/>
              <w:bottom w:val="nil"/>
              <w:right w:val="nil"/>
            </w:tcBorders>
            <w:hideMark/>
          </w:tcPr>
          <w:p w14:paraId="18B62152" w14:textId="77777777" w:rsidR="007478E1" w:rsidRPr="00F35BAE" w:rsidRDefault="007478E1" w:rsidP="00856101">
            <w:pPr>
              <w:spacing w:after="0" w:line="240" w:lineRule="auto"/>
              <w:rPr>
                <w:rFonts w:ascii="Cambria" w:eastAsia="Times New Roman" w:hAnsi="Cambria" w:cs="Calibri"/>
                <w:color w:val="auto"/>
                <w:sz w:val="18"/>
                <w:szCs w:val="18"/>
                <w:lang w:eastAsia="en-AU"/>
              </w:rPr>
            </w:pPr>
            <w:r w:rsidRPr="00F35BAE">
              <w:rPr>
                <w:rFonts w:ascii="Cambria" w:eastAsia="Times New Roman" w:hAnsi="Cambria" w:cs="Calibri"/>
                <w:color w:val="auto"/>
                <w:sz w:val="18"/>
                <w:szCs w:val="18"/>
                <w:lang w:eastAsia="en-AU"/>
              </w:rPr>
              <w:t xml:space="preserve">The above lease disclosure should be read in conjunction with the accompanying notes 2.2A and 2.4A. </w:t>
            </w:r>
          </w:p>
        </w:tc>
      </w:tr>
      <w:tr w:rsidR="007478E1" w:rsidRPr="00535CCB" w14:paraId="19194C76" w14:textId="77777777" w:rsidTr="007478E1">
        <w:trPr>
          <w:gridAfter w:val="1"/>
          <w:wAfter w:w="179" w:type="dxa"/>
          <w:trHeight w:val="300"/>
        </w:trPr>
        <w:tc>
          <w:tcPr>
            <w:tcW w:w="6536" w:type="dxa"/>
            <w:tcBorders>
              <w:top w:val="single" w:sz="4" w:space="0" w:color="FFFFFF"/>
              <w:left w:val="nil"/>
              <w:bottom w:val="single" w:sz="4" w:space="0" w:color="FFFFFF"/>
              <w:right w:val="nil"/>
            </w:tcBorders>
            <w:shd w:val="clear" w:color="000000" w:fill="37424A"/>
            <w:noWrap/>
            <w:vAlign w:val="center"/>
            <w:hideMark/>
          </w:tcPr>
          <w:p w14:paraId="58E96B71" w14:textId="77777777" w:rsidR="007478E1" w:rsidRPr="00535CCB" w:rsidRDefault="007478E1" w:rsidP="00856101">
            <w:pPr>
              <w:spacing w:after="0" w:line="240" w:lineRule="auto"/>
              <w:rPr>
                <w:rFonts w:ascii="Cambria" w:eastAsia="Times New Roman" w:hAnsi="Cambria" w:cs="Calibri"/>
                <w:b/>
                <w:bCs/>
                <w:color w:val="FFFFFF"/>
                <w:sz w:val="18"/>
                <w:szCs w:val="18"/>
                <w:lang w:eastAsia="en-AU"/>
              </w:rPr>
            </w:pPr>
            <w:bookmarkStart w:id="1014" w:name="RANGE!C2:E65"/>
            <w:r w:rsidRPr="00535CCB">
              <w:rPr>
                <w:rFonts w:ascii="Cambria" w:eastAsia="Times New Roman" w:hAnsi="Cambria" w:cs="Calibri"/>
                <w:b/>
                <w:bCs/>
                <w:color w:val="FFFFFF"/>
                <w:sz w:val="18"/>
                <w:szCs w:val="18"/>
                <w:lang w:eastAsia="en-AU"/>
              </w:rPr>
              <w:lastRenderedPageBreak/>
              <w:t>Note 1.2 Own-source revenue and gains</w:t>
            </w:r>
            <w:bookmarkEnd w:id="1014"/>
          </w:p>
        </w:tc>
        <w:tc>
          <w:tcPr>
            <w:tcW w:w="1176" w:type="dxa"/>
            <w:gridSpan w:val="2"/>
            <w:tcBorders>
              <w:top w:val="single" w:sz="4" w:space="0" w:color="FFFFFF"/>
              <w:left w:val="nil"/>
              <w:bottom w:val="single" w:sz="4" w:space="0" w:color="FFFFFF"/>
              <w:right w:val="nil"/>
            </w:tcBorders>
            <w:shd w:val="clear" w:color="000000" w:fill="37424A"/>
            <w:noWrap/>
            <w:vAlign w:val="center"/>
            <w:hideMark/>
          </w:tcPr>
          <w:p w14:paraId="0DCBB1C9" w14:textId="77777777" w:rsidR="007478E1" w:rsidRPr="00535CCB" w:rsidRDefault="007478E1" w:rsidP="00856101">
            <w:pPr>
              <w:spacing w:after="0" w:line="240" w:lineRule="auto"/>
              <w:rPr>
                <w:rFonts w:ascii="Cambria" w:eastAsia="Times New Roman" w:hAnsi="Cambria" w:cs="Calibri"/>
                <w:b/>
                <w:bCs/>
                <w:color w:val="FFFFFF"/>
                <w:sz w:val="18"/>
                <w:szCs w:val="18"/>
                <w:lang w:eastAsia="en-AU"/>
              </w:rPr>
            </w:pPr>
            <w:r w:rsidRPr="00535CCB">
              <w:rPr>
                <w:rFonts w:ascii="Cambria" w:eastAsia="Times New Roman" w:hAnsi="Cambria" w:cs="Calibri"/>
                <w:b/>
                <w:bCs/>
                <w:color w:val="FFFFFF"/>
                <w:sz w:val="18"/>
                <w:szCs w:val="18"/>
                <w:lang w:eastAsia="en-AU"/>
              </w:rPr>
              <w:t> </w:t>
            </w:r>
          </w:p>
        </w:tc>
        <w:tc>
          <w:tcPr>
            <w:tcW w:w="1077" w:type="dxa"/>
            <w:gridSpan w:val="2"/>
            <w:tcBorders>
              <w:top w:val="single" w:sz="4" w:space="0" w:color="FFFFFF"/>
              <w:left w:val="nil"/>
              <w:bottom w:val="single" w:sz="4" w:space="0" w:color="FFFFFF"/>
              <w:right w:val="nil"/>
            </w:tcBorders>
            <w:shd w:val="clear" w:color="000000" w:fill="37424A"/>
            <w:noWrap/>
            <w:vAlign w:val="center"/>
            <w:hideMark/>
          </w:tcPr>
          <w:p w14:paraId="5A70166D" w14:textId="77777777" w:rsidR="007478E1" w:rsidRPr="00535CCB" w:rsidRDefault="007478E1" w:rsidP="00856101">
            <w:pPr>
              <w:spacing w:after="0" w:line="240" w:lineRule="auto"/>
              <w:rPr>
                <w:rFonts w:ascii="Cambria" w:eastAsia="Times New Roman" w:hAnsi="Cambria" w:cs="Calibri"/>
                <w:b/>
                <w:bCs/>
                <w:color w:val="FFFFFF"/>
                <w:sz w:val="18"/>
                <w:szCs w:val="18"/>
                <w:lang w:eastAsia="en-AU"/>
              </w:rPr>
            </w:pPr>
            <w:r w:rsidRPr="00535CCB">
              <w:rPr>
                <w:rFonts w:ascii="Cambria" w:eastAsia="Times New Roman" w:hAnsi="Cambria" w:cs="Calibri"/>
                <w:b/>
                <w:bCs/>
                <w:color w:val="FFFFFF"/>
                <w:sz w:val="18"/>
                <w:szCs w:val="18"/>
                <w:lang w:eastAsia="en-AU"/>
              </w:rPr>
              <w:t> </w:t>
            </w:r>
          </w:p>
        </w:tc>
      </w:tr>
      <w:tr w:rsidR="007478E1" w:rsidRPr="00535CCB" w14:paraId="5D49A1C5" w14:textId="77777777" w:rsidTr="007478E1">
        <w:trPr>
          <w:gridAfter w:val="1"/>
          <w:wAfter w:w="179" w:type="dxa"/>
          <w:trHeight w:val="255"/>
        </w:trPr>
        <w:tc>
          <w:tcPr>
            <w:tcW w:w="6536" w:type="dxa"/>
            <w:tcBorders>
              <w:top w:val="nil"/>
              <w:left w:val="nil"/>
              <w:bottom w:val="nil"/>
              <w:right w:val="nil"/>
            </w:tcBorders>
            <w:hideMark/>
          </w:tcPr>
          <w:p w14:paraId="7A96FDD1" w14:textId="77777777" w:rsidR="007478E1" w:rsidRPr="00535CCB" w:rsidRDefault="007478E1" w:rsidP="00856101">
            <w:pPr>
              <w:spacing w:after="0" w:line="240" w:lineRule="auto"/>
              <w:rPr>
                <w:rFonts w:ascii="Cambria" w:eastAsia="Times New Roman" w:hAnsi="Cambria" w:cs="Calibri"/>
                <w:b/>
                <w:bCs/>
                <w:color w:val="FFFFFF"/>
                <w:sz w:val="18"/>
                <w:szCs w:val="18"/>
                <w:lang w:eastAsia="en-AU"/>
              </w:rPr>
            </w:pPr>
          </w:p>
        </w:tc>
        <w:tc>
          <w:tcPr>
            <w:tcW w:w="1176" w:type="dxa"/>
            <w:gridSpan w:val="2"/>
            <w:tcBorders>
              <w:top w:val="nil"/>
              <w:left w:val="nil"/>
              <w:bottom w:val="nil"/>
              <w:right w:val="nil"/>
            </w:tcBorders>
            <w:noWrap/>
            <w:vAlign w:val="bottom"/>
            <w:hideMark/>
          </w:tcPr>
          <w:p w14:paraId="0D94288D"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2026</w:t>
            </w:r>
          </w:p>
        </w:tc>
        <w:tc>
          <w:tcPr>
            <w:tcW w:w="1077" w:type="dxa"/>
            <w:gridSpan w:val="2"/>
            <w:tcBorders>
              <w:top w:val="nil"/>
              <w:left w:val="nil"/>
              <w:bottom w:val="nil"/>
              <w:right w:val="nil"/>
            </w:tcBorders>
            <w:noWrap/>
            <w:vAlign w:val="bottom"/>
            <w:hideMark/>
          </w:tcPr>
          <w:p w14:paraId="07E452D0"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2025</w:t>
            </w:r>
          </w:p>
        </w:tc>
      </w:tr>
      <w:tr w:rsidR="007478E1" w:rsidRPr="00535CCB" w14:paraId="7FC8BB24" w14:textId="77777777" w:rsidTr="007478E1">
        <w:trPr>
          <w:gridAfter w:val="1"/>
          <w:wAfter w:w="179" w:type="dxa"/>
          <w:trHeight w:val="255"/>
        </w:trPr>
        <w:tc>
          <w:tcPr>
            <w:tcW w:w="6536" w:type="dxa"/>
            <w:tcBorders>
              <w:top w:val="nil"/>
              <w:left w:val="nil"/>
              <w:bottom w:val="single" w:sz="8" w:space="0" w:color="009560"/>
              <w:right w:val="nil"/>
            </w:tcBorders>
            <w:hideMark/>
          </w:tcPr>
          <w:p w14:paraId="6CCFE2D9" w14:textId="77777777" w:rsidR="007478E1" w:rsidRPr="00535CCB" w:rsidRDefault="007478E1" w:rsidP="00856101">
            <w:pPr>
              <w:spacing w:after="0" w:line="240" w:lineRule="auto"/>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w:t>
            </w:r>
          </w:p>
        </w:tc>
        <w:tc>
          <w:tcPr>
            <w:tcW w:w="1176" w:type="dxa"/>
            <w:gridSpan w:val="2"/>
            <w:tcBorders>
              <w:top w:val="nil"/>
              <w:left w:val="nil"/>
              <w:bottom w:val="single" w:sz="8" w:space="0" w:color="009560"/>
              <w:right w:val="nil"/>
            </w:tcBorders>
            <w:hideMark/>
          </w:tcPr>
          <w:p w14:paraId="7E3E8854"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$’000</w:t>
            </w:r>
          </w:p>
        </w:tc>
        <w:tc>
          <w:tcPr>
            <w:tcW w:w="1077" w:type="dxa"/>
            <w:gridSpan w:val="2"/>
            <w:tcBorders>
              <w:top w:val="nil"/>
              <w:left w:val="nil"/>
              <w:bottom w:val="single" w:sz="8" w:space="0" w:color="009560"/>
              <w:right w:val="nil"/>
            </w:tcBorders>
            <w:hideMark/>
          </w:tcPr>
          <w:p w14:paraId="4000F521"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$’000</w:t>
            </w:r>
          </w:p>
        </w:tc>
      </w:tr>
      <w:tr w:rsidR="007478E1" w:rsidRPr="00535CCB" w14:paraId="62731C79" w14:textId="77777777" w:rsidTr="007478E1">
        <w:trPr>
          <w:gridAfter w:val="1"/>
          <w:wAfter w:w="179" w:type="dxa"/>
          <w:trHeight w:val="180"/>
        </w:trPr>
        <w:tc>
          <w:tcPr>
            <w:tcW w:w="6536" w:type="dxa"/>
            <w:tcBorders>
              <w:top w:val="nil"/>
              <w:left w:val="nil"/>
              <w:bottom w:val="nil"/>
              <w:right w:val="nil"/>
            </w:tcBorders>
            <w:noWrap/>
            <w:vAlign w:val="bottom"/>
            <w:hideMark/>
          </w:tcPr>
          <w:p w14:paraId="52C05135"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p>
        </w:tc>
        <w:tc>
          <w:tcPr>
            <w:tcW w:w="1176" w:type="dxa"/>
            <w:gridSpan w:val="2"/>
            <w:tcBorders>
              <w:top w:val="nil"/>
              <w:left w:val="nil"/>
              <w:bottom w:val="nil"/>
              <w:right w:val="nil"/>
            </w:tcBorders>
            <w:noWrap/>
            <w:vAlign w:val="bottom"/>
            <w:hideMark/>
          </w:tcPr>
          <w:p w14:paraId="36F84548" w14:textId="7777777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noWrap/>
            <w:vAlign w:val="bottom"/>
            <w:hideMark/>
          </w:tcPr>
          <w:p w14:paraId="6D86ABA0" w14:textId="7777777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r>
      <w:tr w:rsidR="007478E1" w:rsidRPr="00535CCB" w14:paraId="1DAC6DFB" w14:textId="77777777" w:rsidTr="007478E1">
        <w:trPr>
          <w:gridAfter w:val="1"/>
          <w:wAfter w:w="179" w:type="dxa"/>
          <w:trHeight w:val="315"/>
        </w:trPr>
        <w:tc>
          <w:tcPr>
            <w:tcW w:w="6536" w:type="dxa"/>
            <w:tcBorders>
              <w:top w:val="nil"/>
              <w:left w:val="nil"/>
              <w:bottom w:val="nil"/>
              <w:right w:val="nil"/>
            </w:tcBorders>
            <w:hideMark/>
          </w:tcPr>
          <w:p w14:paraId="751837D4" w14:textId="77777777" w:rsidR="007478E1" w:rsidRPr="00535CCB" w:rsidRDefault="007478E1" w:rsidP="00856101">
            <w:pPr>
              <w:spacing w:after="0" w:line="240" w:lineRule="auto"/>
              <w:rPr>
                <w:rFonts w:ascii="Cambria" w:eastAsia="Times New Roman" w:hAnsi="Cambria" w:cs="Calibri"/>
                <w:b/>
                <w:bCs/>
                <w:color w:val="auto"/>
                <w:sz w:val="20"/>
                <w:szCs w:val="20"/>
                <w:lang w:eastAsia="en-AU"/>
              </w:rPr>
            </w:pPr>
            <w:r w:rsidRPr="00535CCB">
              <w:rPr>
                <w:rFonts w:ascii="Cambria" w:eastAsia="Times New Roman" w:hAnsi="Cambria" w:cs="Calibri"/>
                <w:b/>
                <w:bCs/>
                <w:color w:val="auto"/>
                <w:sz w:val="20"/>
                <w:szCs w:val="20"/>
                <w:lang w:eastAsia="en-AU"/>
              </w:rPr>
              <w:t>OWN-SOURCE REVENUE</w:t>
            </w:r>
          </w:p>
        </w:tc>
        <w:tc>
          <w:tcPr>
            <w:tcW w:w="1176" w:type="dxa"/>
            <w:gridSpan w:val="2"/>
            <w:tcBorders>
              <w:top w:val="nil"/>
              <w:left w:val="nil"/>
              <w:bottom w:val="nil"/>
              <w:right w:val="nil"/>
            </w:tcBorders>
            <w:hideMark/>
          </w:tcPr>
          <w:p w14:paraId="3D22B31B" w14:textId="77777777" w:rsidR="007478E1" w:rsidRPr="00535CCB" w:rsidRDefault="007478E1" w:rsidP="00856101">
            <w:pPr>
              <w:spacing w:after="0" w:line="240" w:lineRule="auto"/>
              <w:rPr>
                <w:rFonts w:ascii="Cambria" w:eastAsia="Times New Roman" w:hAnsi="Cambria" w:cs="Calibri"/>
                <w:b/>
                <w:bCs/>
                <w:color w:val="auto"/>
                <w:sz w:val="20"/>
                <w:szCs w:val="20"/>
                <w:lang w:eastAsia="en-AU"/>
              </w:rPr>
            </w:pPr>
          </w:p>
        </w:tc>
        <w:tc>
          <w:tcPr>
            <w:tcW w:w="1077" w:type="dxa"/>
            <w:gridSpan w:val="2"/>
            <w:tcBorders>
              <w:top w:val="nil"/>
              <w:left w:val="nil"/>
              <w:bottom w:val="nil"/>
              <w:right w:val="nil"/>
            </w:tcBorders>
            <w:hideMark/>
          </w:tcPr>
          <w:p w14:paraId="773DECA5" w14:textId="77777777" w:rsidR="007478E1" w:rsidRPr="00535CCB" w:rsidRDefault="007478E1" w:rsidP="00856101">
            <w:pPr>
              <w:spacing w:after="0" w:line="240" w:lineRule="auto"/>
              <w:jc w:val="right"/>
              <w:rPr>
                <w:rFonts w:ascii="Times New Roman" w:eastAsia="Times New Roman" w:hAnsi="Times New Roman" w:cs="Times New Roman"/>
                <w:color w:val="auto"/>
                <w:sz w:val="20"/>
                <w:szCs w:val="20"/>
                <w:lang w:eastAsia="en-AU"/>
              </w:rPr>
            </w:pPr>
          </w:p>
        </w:tc>
      </w:tr>
      <w:tr w:rsidR="007478E1" w:rsidRPr="00535CCB" w14:paraId="40EC52D5" w14:textId="77777777" w:rsidTr="007478E1">
        <w:trPr>
          <w:gridAfter w:val="1"/>
          <w:wAfter w:w="179" w:type="dxa"/>
          <w:trHeight w:val="87"/>
        </w:trPr>
        <w:tc>
          <w:tcPr>
            <w:tcW w:w="6536" w:type="dxa"/>
            <w:tcBorders>
              <w:top w:val="nil"/>
              <w:left w:val="nil"/>
              <w:bottom w:val="nil"/>
              <w:right w:val="nil"/>
            </w:tcBorders>
            <w:noWrap/>
            <w:vAlign w:val="bottom"/>
            <w:hideMark/>
          </w:tcPr>
          <w:p w14:paraId="7B03E95B" w14:textId="77777777" w:rsidR="007478E1" w:rsidRPr="00535CCB" w:rsidRDefault="007478E1" w:rsidP="00856101">
            <w:pPr>
              <w:spacing w:after="0" w:line="240" w:lineRule="auto"/>
              <w:jc w:val="right"/>
              <w:rPr>
                <w:rFonts w:ascii="Times New Roman" w:eastAsia="Times New Roman" w:hAnsi="Times New Roman" w:cs="Times New Roman"/>
                <w:color w:val="auto"/>
                <w:sz w:val="20"/>
                <w:szCs w:val="20"/>
                <w:lang w:eastAsia="en-AU"/>
              </w:rPr>
            </w:pPr>
          </w:p>
        </w:tc>
        <w:tc>
          <w:tcPr>
            <w:tcW w:w="1176" w:type="dxa"/>
            <w:gridSpan w:val="2"/>
            <w:tcBorders>
              <w:top w:val="nil"/>
              <w:left w:val="nil"/>
              <w:bottom w:val="nil"/>
              <w:right w:val="nil"/>
            </w:tcBorders>
            <w:noWrap/>
            <w:vAlign w:val="bottom"/>
            <w:hideMark/>
          </w:tcPr>
          <w:p w14:paraId="601C4A95" w14:textId="7777777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noWrap/>
            <w:vAlign w:val="bottom"/>
            <w:hideMark/>
          </w:tcPr>
          <w:p w14:paraId="38662027" w14:textId="7777777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r>
      <w:tr w:rsidR="007478E1" w:rsidRPr="00535CCB" w14:paraId="706B5163" w14:textId="77777777" w:rsidTr="007478E1">
        <w:trPr>
          <w:gridAfter w:val="1"/>
          <w:wAfter w:w="179" w:type="dxa"/>
          <w:trHeight w:val="240"/>
        </w:trPr>
        <w:tc>
          <w:tcPr>
            <w:tcW w:w="6536" w:type="dxa"/>
            <w:tcBorders>
              <w:top w:val="nil"/>
              <w:left w:val="nil"/>
              <w:bottom w:val="nil"/>
              <w:right w:val="nil"/>
            </w:tcBorders>
            <w:shd w:val="clear" w:color="000000" w:fill="FFFFFF"/>
            <w:hideMark/>
          </w:tcPr>
          <w:p w14:paraId="453286FA" w14:textId="77777777" w:rsidR="007478E1" w:rsidRPr="00535CCB" w:rsidRDefault="007478E1" w:rsidP="00856101">
            <w:pPr>
              <w:spacing w:after="0" w:line="240" w:lineRule="auto"/>
              <w:rPr>
                <w:rFonts w:ascii="Cambria" w:eastAsia="Times New Roman" w:hAnsi="Cambria" w:cs="Calibri"/>
                <w:b/>
                <w:bCs/>
                <w:color w:val="auto"/>
                <w:sz w:val="18"/>
                <w:szCs w:val="18"/>
                <w:u w:val="single"/>
                <w:lang w:eastAsia="en-AU"/>
              </w:rPr>
            </w:pPr>
            <w:r w:rsidRPr="00535CCB">
              <w:rPr>
                <w:rFonts w:ascii="Cambria" w:eastAsia="Times New Roman" w:hAnsi="Cambria" w:cs="Calibri"/>
                <w:b/>
                <w:bCs/>
                <w:color w:val="auto"/>
                <w:sz w:val="18"/>
                <w:szCs w:val="18"/>
                <w:u w:val="single"/>
                <w:lang w:eastAsia="en-AU"/>
              </w:rPr>
              <w:t>Note 1.2A: Revenue from contracts with customers</w:t>
            </w:r>
          </w:p>
        </w:tc>
        <w:tc>
          <w:tcPr>
            <w:tcW w:w="1176" w:type="dxa"/>
            <w:gridSpan w:val="2"/>
            <w:tcBorders>
              <w:top w:val="nil"/>
              <w:left w:val="nil"/>
              <w:bottom w:val="nil"/>
              <w:right w:val="nil"/>
            </w:tcBorders>
            <w:shd w:val="clear" w:color="000000" w:fill="FFFFFF"/>
            <w:hideMark/>
          </w:tcPr>
          <w:p w14:paraId="3E70F73E"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w:t>
            </w:r>
          </w:p>
        </w:tc>
        <w:tc>
          <w:tcPr>
            <w:tcW w:w="1077" w:type="dxa"/>
            <w:gridSpan w:val="2"/>
            <w:tcBorders>
              <w:top w:val="nil"/>
              <w:left w:val="nil"/>
              <w:bottom w:val="nil"/>
              <w:right w:val="nil"/>
            </w:tcBorders>
            <w:shd w:val="clear" w:color="000000" w:fill="FFFFFF"/>
            <w:hideMark/>
          </w:tcPr>
          <w:p w14:paraId="0EC9D7DF"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w:t>
            </w:r>
          </w:p>
        </w:tc>
      </w:tr>
      <w:tr w:rsidR="007478E1" w:rsidRPr="00535CCB" w14:paraId="62D25159" w14:textId="77777777" w:rsidTr="007478E1">
        <w:trPr>
          <w:gridAfter w:val="1"/>
          <w:wAfter w:w="179" w:type="dxa"/>
          <w:trHeight w:val="258"/>
        </w:trPr>
        <w:tc>
          <w:tcPr>
            <w:tcW w:w="6536" w:type="dxa"/>
            <w:tcBorders>
              <w:top w:val="nil"/>
              <w:left w:val="nil"/>
              <w:bottom w:val="nil"/>
              <w:right w:val="nil"/>
            </w:tcBorders>
            <w:shd w:val="clear" w:color="000000" w:fill="FFFFFF"/>
            <w:hideMark/>
          </w:tcPr>
          <w:p w14:paraId="601E38D3" w14:textId="77777777" w:rsidR="007478E1" w:rsidRPr="00535CCB" w:rsidRDefault="007478E1" w:rsidP="00856101">
            <w:pPr>
              <w:spacing w:after="0" w:line="240" w:lineRule="auto"/>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Sale of goods</w:t>
            </w:r>
          </w:p>
        </w:tc>
        <w:tc>
          <w:tcPr>
            <w:tcW w:w="1176" w:type="dxa"/>
            <w:gridSpan w:val="2"/>
            <w:tcBorders>
              <w:top w:val="nil"/>
              <w:left w:val="nil"/>
              <w:bottom w:val="nil"/>
              <w:right w:val="nil"/>
            </w:tcBorders>
            <w:shd w:val="clear" w:color="000000" w:fill="FFFFFF"/>
            <w:noWrap/>
            <w:vAlign w:val="bottom"/>
            <w:hideMark/>
          </w:tcPr>
          <w:p w14:paraId="0276EC38"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xml:space="preserve">313 </w:t>
            </w:r>
          </w:p>
        </w:tc>
        <w:tc>
          <w:tcPr>
            <w:tcW w:w="1077" w:type="dxa"/>
            <w:gridSpan w:val="2"/>
            <w:tcBorders>
              <w:top w:val="nil"/>
              <w:left w:val="nil"/>
              <w:bottom w:val="nil"/>
              <w:right w:val="nil"/>
            </w:tcBorders>
            <w:shd w:val="clear" w:color="000000" w:fill="FFFFFF"/>
            <w:noWrap/>
            <w:vAlign w:val="bottom"/>
            <w:hideMark/>
          </w:tcPr>
          <w:p w14:paraId="2750D399"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xml:space="preserve">433 </w:t>
            </w:r>
          </w:p>
        </w:tc>
      </w:tr>
      <w:tr w:rsidR="007478E1" w:rsidRPr="00535CCB" w14:paraId="04CBABF4" w14:textId="77777777" w:rsidTr="007478E1">
        <w:trPr>
          <w:gridAfter w:val="1"/>
          <w:wAfter w:w="179" w:type="dxa"/>
          <w:trHeight w:val="264"/>
        </w:trPr>
        <w:tc>
          <w:tcPr>
            <w:tcW w:w="6536" w:type="dxa"/>
            <w:tcBorders>
              <w:top w:val="nil"/>
              <w:left w:val="nil"/>
              <w:bottom w:val="nil"/>
              <w:right w:val="nil"/>
            </w:tcBorders>
            <w:shd w:val="clear" w:color="000000" w:fill="FFFFFF"/>
            <w:hideMark/>
          </w:tcPr>
          <w:p w14:paraId="3987C017" w14:textId="77777777" w:rsidR="007478E1" w:rsidRPr="00535CCB" w:rsidRDefault="007478E1" w:rsidP="00856101">
            <w:pPr>
              <w:spacing w:after="0" w:line="240" w:lineRule="auto"/>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Rendering of services</w:t>
            </w:r>
          </w:p>
        </w:tc>
        <w:tc>
          <w:tcPr>
            <w:tcW w:w="1176" w:type="dxa"/>
            <w:gridSpan w:val="2"/>
            <w:tcBorders>
              <w:top w:val="nil"/>
              <w:left w:val="nil"/>
              <w:bottom w:val="nil"/>
              <w:right w:val="nil"/>
            </w:tcBorders>
            <w:shd w:val="clear" w:color="000000" w:fill="FFFFFF"/>
            <w:noWrap/>
            <w:vAlign w:val="bottom"/>
            <w:hideMark/>
          </w:tcPr>
          <w:p w14:paraId="27E0F664"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xml:space="preserve">376 </w:t>
            </w:r>
          </w:p>
        </w:tc>
        <w:tc>
          <w:tcPr>
            <w:tcW w:w="1077" w:type="dxa"/>
            <w:gridSpan w:val="2"/>
            <w:tcBorders>
              <w:top w:val="nil"/>
              <w:left w:val="nil"/>
              <w:bottom w:val="nil"/>
              <w:right w:val="nil"/>
            </w:tcBorders>
            <w:shd w:val="clear" w:color="000000" w:fill="FFFFFF"/>
            <w:noWrap/>
            <w:vAlign w:val="bottom"/>
            <w:hideMark/>
          </w:tcPr>
          <w:p w14:paraId="7C593177"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xml:space="preserve"> - </w:t>
            </w:r>
          </w:p>
        </w:tc>
      </w:tr>
      <w:tr w:rsidR="007478E1" w:rsidRPr="00535CCB" w14:paraId="36B20C97" w14:textId="77777777" w:rsidTr="007478E1">
        <w:trPr>
          <w:gridAfter w:val="1"/>
          <w:wAfter w:w="179" w:type="dxa"/>
          <w:trHeight w:val="240"/>
        </w:trPr>
        <w:tc>
          <w:tcPr>
            <w:tcW w:w="6536" w:type="dxa"/>
            <w:tcBorders>
              <w:top w:val="nil"/>
              <w:left w:val="nil"/>
              <w:bottom w:val="nil"/>
              <w:right w:val="nil"/>
            </w:tcBorders>
            <w:shd w:val="clear" w:color="000000" w:fill="FFFFFF"/>
            <w:hideMark/>
          </w:tcPr>
          <w:p w14:paraId="14905DB9" w14:textId="77777777" w:rsidR="007478E1" w:rsidRPr="00535CCB" w:rsidRDefault="007478E1" w:rsidP="00856101">
            <w:pPr>
              <w:spacing w:after="0" w:line="240" w:lineRule="auto"/>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Total revenue from contracts with customers</w:t>
            </w:r>
          </w:p>
        </w:tc>
        <w:tc>
          <w:tcPr>
            <w:tcW w:w="1176" w:type="dxa"/>
            <w:gridSpan w:val="2"/>
            <w:tcBorders>
              <w:top w:val="single" w:sz="4" w:space="0" w:color="auto"/>
              <w:left w:val="nil"/>
              <w:bottom w:val="single" w:sz="4" w:space="0" w:color="auto"/>
              <w:right w:val="nil"/>
            </w:tcBorders>
            <w:shd w:val="clear" w:color="000000" w:fill="FFFFFF"/>
            <w:noWrap/>
            <w:vAlign w:val="bottom"/>
            <w:hideMark/>
          </w:tcPr>
          <w:p w14:paraId="016850E3"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xml:space="preserve">689 </w:t>
            </w:r>
          </w:p>
        </w:tc>
        <w:tc>
          <w:tcPr>
            <w:tcW w:w="1077" w:type="dxa"/>
            <w:gridSpan w:val="2"/>
            <w:tcBorders>
              <w:top w:val="single" w:sz="4" w:space="0" w:color="auto"/>
              <w:left w:val="nil"/>
              <w:bottom w:val="single" w:sz="4" w:space="0" w:color="auto"/>
              <w:right w:val="nil"/>
            </w:tcBorders>
            <w:shd w:val="clear" w:color="000000" w:fill="FFFFFF"/>
            <w:noWrap/>
            <w:vAlign w:val="bottom"/>
            <w:hideMark/>
          </w:tcPr>
          <w:p w14:paraId="19F3BD4E"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xml:space="preserve">433 </w:t>
            </w:r>
          </w:p>
        </w:tc>
      </w:tr>
      <w:tr w:rsidR="007478E1" w:rsidRPr="00535CCB" w14:paraId="4A5B3A79" w14:textId="77777777" w:rsidTr="007478E1">
        <w:trPr>
          <w:gridAfter w:val="1"/>
          <w:wAfter w:w="179" w:type="dxa"/>
          <w:trHeight w:val="240"/>
        </w:trPr>
        <w:tc>
          <w:tcPr>
            <w:tcW w:w="6536" w:type="dxa"/>
            <w:tcBorders>
              <w:top w:val="nil"/>
              <w:left w:val="nil"/>
              <w:bottom w:val="nil"/>
              <w:right w:val="nil"/>
            </w:tcBorders>
            <w:shd w:val="clear" w:color="000000" w:fill="FFFFFF"/>
            <w:hideMark/>
          </w:tcPr>
          <w:p w14:paraId="6799C51F" w14:textId="77777777" w:rsidR="007478E1" w:rsidRPr="00535CCB" w:rsidRDefault="007478E1" w:rsidP="00856101">
            <w:pPr>
              <w:spacing w:after="0" w:line="240" w:lineRule="auto"/>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w:t>
            </w:r>
          </w:p>
        </w:tc>
        <w:tc>
          <w:tcPr>
            <w:tcW w:w="1176" w:type="dxa"/>
            <w:gridSpan w:val="2"/>
            <w:tcBorders>
              <w:top w:val="nil"/>
              <w:left w:val="nil"/>
              <w:bottom w:val="nil"/>
              <w:right w:val="nil"/>
            </w:tcBorders>
            <w:shd w:val="clear" w:color="000000" w:fill="FFFFFF"/>
            <w:noWrap/>
            <w:vAlign w:val="bottom"/>
            <w:hideMark/>
          </w:tcPr>
          <w:p w14:paraId="112C2AB4"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w:t>
            </w:r>
          </w:p>
        </w:tc>
        <w:tc>
          <w:tcPr>
            <w:tcW w:w="1077" w:type="dxa"/>
            <w:gridSpan w:val="2"/>
            <w:tcBorders>
              <w:top w:val="nil"/>
              <w:left w:val="nil"/>
              <w:bottom w:val="nil"/>
              <w:right w:val="nil"/>
            </w:tcBorders>
            <w:shd w:val="clear" w:color="000000" w:fill="FFFFFF"/>
            <w:noWrap/>
            <w:vAlign w:val="bottom"/>
            <w:hideMark/>
          </w:tcPr>
          <w:p w14:paraId="666EF934"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w:t>
            </w:r>
          </w:p>
        </w:tc>
      </w:tr>
      <w:tr w:rsidR="007478E1" w:rsidRPr="00535CCB" w14:paraId="111291EC" w14:textId="77777777" w:rsidTr="007478E1">
        <w:trPr>
          <w:gridAfter w:val="1"/>
          <w:wAfter w:w="179" w:type="dxa"/>
          <w:trHeight w:val="558"/>
        </w:trPr>
        <w:tc>
          <w:tcPr>
            <w:tcW w:w="8789" w:type="dxa"/>
            <w:gridSpan w:val="5"/>
            <w:tcBorders>
              <w:top w:val="nil"/>
              <w:left w:val="nil"/>
              <w:bottom w:val="nil"/>
              <w:right w:val="nil"/>
            </w:tcBorders>
            <w:shd w:val="clear" w:color="000000" w:fill="FFFFFF"/>
            <w:hideMark/>
          </w:tcPr>
          <w:p w14:paraId="28DF1417" w14:textId="77777777" w:rsidR="007478E1" w:rsidRPr="00535CCB" w:rsidRDefault="007478E1" w:rsidP="00856101">
            <w:pPr>
              <w:spacing w:after="0" w:line="240" w:lineRule="auto"/>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Sales of goods are from sales of intellectual property relating to the Australian Refined Diagnosis Related Groups (AR-DRG) classification systems. Rendering of services represent conference revenue.</w:t>
            </w:r>
          </w:p>
        </w:tc>
      </w:tr>
      <w:tr w:rsidR="007478E1" w:rsidRPr="00535CCB" w14:paraId="5460D89C" w14:textId="77777777" w:rsidTr="007478E1">
        <w:trPr>
          <w:gridAfter w:val="1"/>
          <w:wAfter w:w="179" w:type="dxa"/>
          <w:trHeight w:val="255"/>
        </w:trPr>
        <w:tc>
          <w:tcPr>
            <w:tcW w:w="6536" w:type="dxa"/>
            <w:tcBorders>
              <w:top w:val="nil"/>
              <w:left w:val="nil"/>
              <w:bottom w:val="nil"/>
              <w:right w:val="nil"/>
            </w:tcBorders>
            <w:noWrap/>
            <w:vAlign w:val="bottom"/>
            <w:hideMark/>
          </w:tcPr>
          <w:p w14:paraId="1074BCDD" w14:textId="77777777" w:rsidR="007478E1" w:rsidRPr="00535CCB" w:rsidRDefault="007478E1" w:rsidP="00856101">
            <w:pPr>
              <w:spacing w:after="0" w:line="240" w:lineRule="auto"/>
              <w:rPr>
                <w:rFonts w:ascii="Calibri" w:eastAsia="Times New Roman" w:hAnsi="Calibri" w:cs="Calibri"/>
                <w:color w:val="000000"/>
                <w:lang w:eastAsia="en-AU"/>
              </w:rPr>
            </w:pPr>
            <w:r w:rsidRPr="00535CCB">
              <w:rPr>
                <w:rFonts w:ascii="Calibri" w:eastAsia="Times New Roman" w:hAnsi="Calibri" w:cs="Calibri"/>
                <w:noProof/>
                <w:color w:val="000000"/>
                <w:lang w:eastAsia="en-AU"/>
              </w:rPr>
              <mc:AlternateContent>
                <mc:Choice Requires="wps">
                  <w:drawing>
                    <wp:anchor distT="0" distB="0" distL="114300" distR="114300" simplePos="0" relativeHeight="251692032" behindDoc="0" locked="0" layoutInCell="1" allowOverlap="1" wp14:anchorId="6A10A94A" wp14:editId="47004C62">
                      <wp:simplePos x="0" y="0"/>
                      <wp:positionH relativeFrom="column">
                        <wp:posOffset>19685</wp:posOffset>
                      </wp:positionH>
                      <wp:positionV relativeFrom="paragraph">
                        <wp:posOffset>20320</wp:posOffset>
                      </wp:positionV>
                      <wp:extent cx="5638800" cy="2495550"/>
                      <wp:effectExtent l="0" t="0" r="19050" b="19050"/>
                      <wp:wrapNone/>
                      <wp:docPr id="379551886" name="Text Box 60">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microsoft.com/office/word/2010/wordprocessingShape">
                          <wps:wsp>
                            <wps:cNvSpPr txBox="1"/>
                            <wps:spPr>
                              <a:xfrm>
                                <a:off x="0" y="0"/>
                                <a:ext cx="5638800" cy="2495550"/>
                              </a:xfrm>
                              <a:prstGeom prst="rect">
                                <a:avLst/>
                              </a:prstGeom>
                              <a:noFill/>
                              <a:ln w="12700" cap="flat" cmpd="sng" algn="ctr">
                                <a:solidFill>
                                  <a:srgbClr val="009560"/>
                                </a:solidFill>
                                <a:prstDash val="solid"/>
                                <a:round/>
                                <a:headEnd type="none" w="med" len="med"/>
                                <a:tailEnd type="none" w="med" len="med"/>
                              </a:ln>
                              <a:effectLst/>
                            </wps:spPr>
                            <wps:txbx>
                              <w:txbxContent>
                                <w:p w14:paraId="05C83299" w14:textId="77777777" w:rsidR="007478E1" w:rsidRPr="004215F1" w:rsidRDefault="007478E1" w:rsidP="007478E1">
                                  <w:pPr>
                                    <w:spacing w:after="0"/>
                                    <w:rPr>
                                      <w:rFonts w:cs="Arial"/>
                                      <w:b/>
                                      <w:bCs/>
                                      <w:color w:val="15272F" w:themeColor="dark1"/>
                                      <w:sz w:val="18"/>
                                      <w:szCs w:val="18"/>
                                    </w:rPr>
                                  </w:pPr>
                                  <w:r w:rsidRPr="004215F1">
                                    <w:rPr>
                                      <w:rFonts w:cs="Arial"/>
                                      <w:b/>
                                      <w:bCs/>
                                      <w:color w:val="15272F" w:themeColor="dark1"/>
                                      <w:sz w:val="18"/>
                                      <w:szCs w:val="18"/>
                                    </w:rPr>
                                    <w:t>Accounting Policy</w:t>
                                  </w:r>
                                  <w:r>
                                    <w:rPr>
                                      <w:rFonts w:cs="Arial"/>
                                      <w:b/>
                                      <w:bCs/>
                                      <w:color w:val="15272F" w:themeColor="dark1"/>
                                      <w:sz w:val="18"/>
                                      <w:szCs w:val="18"/>
                                    </w:rPr>
                                    <w:t xml:space="preserve"> </w:t>
                                  </w:r>
                                </w:p>
                                <w:p w14:paraId="6C49C86F" w14:textId="77777777" w:rsidR="007478E1" w:rsidRPr="004215F1" w:rsidRDefault="007478E1" w:rsidP="007478E1">
                                  <w:pPr>
                                    <w:spacing w:after="0"/>
                                    <w:rPr>
                                      <w:rFonts w:cs="Arial"/>
                                      <w:b/>
                                      <w:bCs/>
                                      <w:color w:val="15272F" w:themeColor="dark1"/>
                                      <w:sz w:val="18"/>
                                      <w:szCs w:val="18"/>
                                    </w:rPr>
                                  </w:pPr>
                                  <w:r w:rsidRPr="004215F1">
                                    <w:rPr>
                                      <w:rFonts w:cs="Arial"/>
                                      <w:b/>
                                      <w:bCs/>
                                      <w:color w:val="15272F" w:themeColor="dark1"/>
                                      <w:sz w:val="18"/>
                                      <w:szCs w:val="18"/>
                                    </w:rPr>
                                    <w:t>Revenue from contracts with customers</w:t>
                                  </w:r>
                                  <w:r>
                                    <w:rPr>
                                      <w:rFonts w:cs="Arial"/>
                                      <w:color w:val="15272F" w:themeColor="dark1"/>
                                      <w:sz w:val="18"/>
                                      <w:szCs w:val="18"/>
                                    </w:rPr>
                                    <w:t xml:space="preserve"> </w:t>
                                  </w:r>
                                </w:p>
                                <w:p w14:paraId="659B34A5" w14:textId="77777777" w:rsidR="007478E1" w:rsidRDefault="007478E1" w:rsidP="007478E1">
                                  <w:pPr>
                                    <w:rPr>
                                      <w:rFonts w:cs="Arial"/>
                                      <w:color w:val="15272F" w:themeColor="dark1"/>
                                      <w:sz w:val="18"/>
                                      <w:szCs w:val="18"/>
                                    </w:rPr>
                                  </w:pPr>
                                  <w:r w:rsidRPr="004215F1">
                                    <w:rPr>
                                      <w:rFonts w:cs="Arial"/>
                                      <w:color w:val="15272F" w:themeColor="dark1"/>
                                      <w:sz w:val="18"/>
                                      <w:szCs w:val="18"/>
                                    </w:rPr>
                                    <w:t>Revenue from the sale of goods and rendering of services is recognised when control has been transferred to the buyer.</w:t>
                                  </w:r>
                                </w:p>
                                <w:p w14:paraId="0E3F948E" w14:textId="77777777" w:rsidR="007478E1" w:rsidRPr="004215F1" w:rsidRDefault="007478E1" w:rsidP="007478E1">
                                  <w:pPr>
                                    <w:rPr>
                                      <w:rFonts w:cs="Arial"/>
                                      <w:color w:val="15272F" w:themeColor="dark1"/>
                                      <w:sz w:val="18"/>
                                      <w:szCs w:val="18"/>
                                    </w:rPr>
                                  </w:pPr>
                                  <w:r w:rsidRPr="004215F1">
                                    <w:rPr>
                                      <w:rFonts w:cs="Arial"/>
                                      <w:color w:val="15272F" w:themeColor="dark1"/>
                                      <w:sz w:val="18"/>
                                      <w:szCs w:val="18"/>
                                    </w:rPr>
                                    <w:t xml:space="preserve">In relation to AASB 15, IHACPA has considered each revenue stream to identify the existence of an enforceable contract that requires the completion of sufficiently specific performance obligations in exchange for relevant consideration. Revenue is recognised either over time or at a point in time as performance obligations are completed and IHACPA has an enforceable right to payment for the performance completed to date. </w:t>
                                  </w:r>
                                </w:p>
                                <w:p w14:paraId="3832D3AB" w14:textId="77777777" w:rsidR="007478E1" w:rsidRPr="004215F1" w:rsidRDefault="007478E1" w:rsidP="007478E1">
                                  <w:pPr>
                                    <w:rPr>
                                      <w:rFonts w:cs="Arial"/>
                                      <w:color w:val="15272F" w:themeColor="dark1"/>
                                      <w:sz w:val="18"/>
                                      <w:szCs w:val="18"/>
                                    </w:rPr>
                                  </w:pPr>
                                  <w:r w:rsidRPr="004215F1">
                                    <w:rPr>
                                      <w:rFonts w:cs="Arial"/>
                                      <w:color w:val="15272F" w:themeColor="dark1"/>
                                      <w:sz w:val="18"/>
                                      <w:szCs w:val="18"/>
                                    </w:rPr>
                                    <w:t xml:space="preserve">Receivables for goods and services, which have 30 day terms, are recognised at the nominal amounts due less any impairment allowance account. Collectability of debts is reviewed at the end of the reporting period. Allowances are made when collectability of the debt is no longer considered probable. </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6A10A94A" id="Text Box 60" o:spid="_x0000_s1032" type="#_x0000_t202" style="position:absolute;margin-left:1.55pt;margin-top:1.6pt;width:444pt;height:19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" filled="f" strokecolor="#009560" strokeweight="1pt">
                      <v:stroke joinstyle="round"/>
                      <v:textbox>
                        <w:txbxContent>
                          <w:p w14:paraId="05C83299" w14:textId="77777777" w:rsidR="007478E1" w:rsidRPr="004215F1" w:rsidRDefault="007478E1" w:rsidP="007478E1">
                            <w:pPr>
                              <w:spacing w:after="0"/>
                              <w:rPr>
                                <w:rFonts w:cs="Arial"/>
                                <w:b/>
                                <w:bCs/>
                                <w:color w:val="15272F" w:themeColor="dark1"/>
                                <w:sz w:val="18"/>
                                <w:szCs w:val="18"/>
                              </w:rPr>
                            </w:pPr>
                            <w:r w:rsidRPr="004215F1">
                              <w:rPr>
                                <w:rFonts w:cs="Arial"/>
                                <w:b/>
                                <w:bCs/>
                                <w:color w:val="15272F" w:themeColor="dark1"/>
                                <w:sz w:val="18"/>
                                <w:szCs w:val="18"/>
                              </w:rPr>
                              <w:t>Accounting Policy</w:t>
                            </w:r>
                            <w:r>
                              <w:rPr>
                                <w:rFonts w:cs="Arial"/>
                                <w:b/>
                                <w:bCs/>
                                <w:color w:val="15272F" w:themeColor="dark1"/>
                                <w:sz w:val="18"/>
                                <w:szCs w:val="18"/>
                              </w:rPr>
                              <w:t xml:space="preserve"> </w:t>
                            </w:r>
                          </w:p>
                          <w:p w14:paraId="6C49C86F" w14:textId="77777777" w:rsidR="007478E1" w:rsidRPr="004215F1" w:rsidRDefault="007478E1" w:rsidP="007478E1">
                            <w:pPr>
                              <w:spacing w:after="0"/>
                              <w:rPr>
                                <w:rFonts w:cs="Arial"/>
                                <w:b/>
                                <w:bCs/>
                                <w:color w:val="15272F" w:themeColor="dark1"/>
                                <w:sz w:val="18"/>
                                <w:szCs w:val="18"/>
                              </w:rPr>
                            </w:pPr>
                            <w:r w:rsidRPr="004215F1">
                              <w:rPr>
                                <w:rFonts w:cs="Arial"/>
                                <w:b/>
                                <w:bCs/>
                                <w:color w:val="15272F" w:themeColor="dark1"/>
                                <w:sz w:val="18"/>
                                <w:szCs w:val="18"/>
                              </w:rPr>
                              <w:t>Revenue from contracts with customers</w:t>
                            </w:r>
                            <w:r>
                              <w:rPr>
                                <w:rFonts w:cs="Arial"/>
                                <w:color w:val="15272F" w:themeColor="dark1"/>
                                <w:sz w:val="18"/>
                                <w:szCs w:val="18"/>
                              </w:rPr>
                              <w:t xml:space="preserve"> </w:t>
                            </w:r>
                          </w:p>
                          <w:p w14:paraId="659B34A5" w14:textId="77777777" w:rsidR="007478E1" w:rsidRDefault="007478E1" w:rsidP="007478E1">
                            <w:pPr>
                              <w:rPr>
                                <w:rFonts w:cs="Arial"/>
                                <w:color w:val="15272F" w:themeColor="dark1"/>
                                <w:sz w:val="18"/>
                                <w:szCs w:val="18"/>
                              </w:rPr>
                            </w:pPr>
                            <w:r w:rsidRPr="004215F1">
                              <w:rPr>
                                <w:rFonts w:cs="Arial"/>
                                <w:color w:val="15272F" w:themeColor="dark1"/>
                                <w:sz w:val="18"/>
                                <w:szCs w:val="18"/>
                              </w:rPr>
                              <w:t>Revenue from the sale of goods and rendering of services is recognised when control has been transferred to the buyer.</w:t>
                            </w:r>
                          </w:p>
                          <w:p w14:paraId="0E3F948E" w14:textId="77777777" w:rsidR="007478E1" w:rsidRPr="004215F1" w:rsidRDefault="007478E1" w:rsidP="007478E1">
                            <w:pPr>
                              <w:rPr>
                                <w:rFonts w:cs="Arial"/>
                                <w:color w:val="15272F" w:themeColor="dark1"/>
                                <w:sz w:val="18"/>
                                <w:szCs w:val="18"/>
                              </w:rPr>
                            </w:pPr>
                            <w:r w:rsidRPr="004215F1">
                              <w:rPr>
                                <w:rFonts w:cs="Arial"/>
                                <w:color w:val="15272F" w:themeColor="dark1"/>
                                <w:sz w:val="18"/>
                                <w:szCs w:val="18"/>
                              </w:rPr>
                              <w:t xml:space="preserve">In relation to AASB 15, IHACPA has considered each revenue stream to identify the existence of an enforceable contract that requires the completion of sufficiently specific performance obligations in exchange for relevant consideration. Revenue is recognised either over time or at a point in time as performance obligations are completed and IHACPA has an enforceable right to payment for the performance completed to date. </w:t>
                            </w:r>
                          </w:p>
                          <w:p w14:paraId="3832D3AB" w14:textId="77777777" w:rsidR="007478E1" w:rsidRPr="004215F1" w:rsidRDefault="007478E1" w:rsidP="007478E1">
                            <w:pPr>
                              <w:rPr>
                                <w:rFonts w:cs="Arial"/>
                                <w:color w:val="15272F" w:themeColor="dark1"/>
                                <w:sz w:val="18"/>
                                <w:szCs w:val="18"/>
                              </w:rPr>
                            </w:pPr>
                            <w:r w:rsidRPr="004215F1">
                              <w:rPr>
                                <w:rFonts w:cs="Arial"/>
                                <w:color w:val="15272F" w:themeColor="dark1"/>
                                <w:sz w:val="18"/>
                                <w:szCs w:val="18"/>
                              </w:rPr>
                              <w:t xml:space="preserve">Receivables for goods and services, which have 30 day terms, are recognised at the nominal amounts due less any impairment allowance account. Collectability of debts is reviewed at the end of the reporting period. Allowances are made when collectability of the debt is no longer considered probable. </w:t>
                            </w:r>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6320"/>
            </w:tblGrid>
            <w:tr w:rsidR="007478E1" w:rsidRPr="00535CCB" w14:paraId="2942513E" w14:textId="77777777" w:rsidTr="00856101">
              <w:trPr>
                <w:trHeight w:val="255"/>
                <w:tblCellSpacing w:w="0" w:type="dxa"/>
              </w:trPr>
              <w:tc>
                <w:tcPr>
                  <w:tcW w:w="6320" w:type="dxa"/>
                  <w:tcBorders>
                    <w:top w:val="nil"/>
                    <w:left w:val="nil"/>
                    <w:bottom w:val="nil"/>
                    <w:right w:val="nil"/>
                  </w:tcBorders>
                  <w:tcMar>
                    <w:top w:w="0" w:type="dxa"/>
                    <w:left w:w="360" w:type="dxa"/>
                    <w:bottom w:w="0" w:type="dxa"/>
                    <w:right w:w="0" w:type="dxa"/>
                  </w:tcMar>
                  <w:hideMark/>
                </w:tcPr>
                <w:p w14:paraId="697E319D" w14:textId="77777777" w:rsidR="007478E1" w:rsidRPr="00535CCB" w:rsidRDefault="007478E1" w:rsidP="00856101">
                  <w:pPr>
                    <w:spacing w:after="0" w:line="240" w:lineRule="auto"/>
                    <w:rPr>
                      <w:rFonts w:ascii="Calibri" w:eastAsia="Times New Roman" w:hAnsi="Calibri" w:cs="Calibri"/>
                      <w:color w:val="000000"/>
                      <w:lang w:eastAsia="en-AU"/>
                    </w:rPr>
                  </w:pPr>
                </w:p>
              </w:tc>
            </w:tr>
          </w:tbl>
          <w:p w14:paraId="70337F01" w14:textId="77777777" w:rsidR="007478E1" w:rsidRPr="00535CCB" w:rsidRDefault="007478E1" w:rsidP="00856101">
            <w:pPr>
              <w:spacing w:after="0" w:line="240" w:lineRule="auto"/>
              <w:rPr>
                <w:rFonts w:ascii="Calibri" w:eastAsia="Times New Roman" w:hAnsi="Calibri" w:cs="Calibri"/>
                <w:color w:val="000000"/>
                <w:lang w:eastAsia="en-AU"/>
              </w:rPr>
            </w:pPr>
          </w:p>
        </w:tc>
        <w:tc>
          <w:tcPr>
            <w:tcW w:w="1176" w:type="dxa"/>
            <w:gridSpan w:val="2"/>
            <w:tcBorders>
              <w:top w:val="nil"/>
              <w:left w:val="nil"/>
              <w:bottom w:val="nil"/>
              <w:right w:val="nil"/>
            </w:tcBorders>
            <w:hideMark/>
          </w:tcPr>
          <w:p w14:paraId="029C2E25" w14:textId="7777777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hideMark/>
          </w:tcPr>
          <w:p w14:paraId="3CA300C2"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r>
      <w:tr w:rsidR="007478E1" w:rsidRPr="00535CCB" w14:paraId="7270C007" w14:textId="77777777" w:rsidTr="007478E1">
        <w:trPr>
          <w:gridAfter w:val="1"/>
          <w:wAfter w:w="179" w:type="dxa"/>
          <w:trHeight w:val="255"/>
        </w:trPr>
        <w:tc>
          <w:tcPr>
            <w:tcW w:w="6536" w:type="dxa"/>
            <w:tcBorders>
              <w:top w:val="nil"/>
              <w:left w:val="nil"/>
              <w:bottom w:val="nil"/>
              <w:right w:val="nil"/>
            </w:tcBorders>
            <w:hideMark/>
          </w:tcPr>
          <w:p w14:paraId="2262CA1E"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gridSpan w:val="2"/>
            <w:tcBorders>
              <w:top w:val="nil"/>
              <w:left w:val="nil"/>
              <w:bottom w:val="nil"/>
              <w:right w:val="nil"/>
            </w:tcBorders>
            <w:hideMark/>
          </w:tcPr>
          <w:p w14:paraId="42F09486"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hideMark/>
          </w:tcPr>
          <w:p w14:paraId="227EB84A"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r>
      <w:tr w:rsidR="007478E1" w:rsidRPr="00535CCB" w14:paraId="1675D9B7" w14:textId="77777777" w:rsidTr="007478E1">
        <w:trPr>
          <w:gridAfter w:val="1"/>
          <w:wAfter w:w="179" w:type="dxa"/>
          <w:trHeight w:val="255"/>
        </w:trPr>
        <w:tc>
          <w:tcPr>
            <w:tcW w:w="6536" w:type="dxa"/>
            <w:tcBorders>
              <w:top w:val="nil"/>
              <w:left w:val="nil"/>
              <w:bottom w:val="nil"/>
              <w:right w:val="nil"/>
            </w:tcBorders>
            <w:hideMark/>
          </w:tcPr>
          <w:p w14:paraId="6A83C1E1"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gridSpan w:val="2"/>
            <w:tcBorders>
              <w:top w:val="nil"/>
              <w:left w:val="nil"/>
              <w:bottom w:val="nil"/>
              <w:right w:val="nil"/>
            </w:tcBorders>
            <w:hideMark/>
          </w:tcPr>
          <w:p w14:paraId="5BB1BFF6"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hideMark/>
          </w:tcPr>
          <w:p w14:paraId="4D1E176F"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r>
      <w:tr w:rsidR="007478E1" w:rsidRPr="00535CCB" w14:paraId="2BB778AF" w14:textId="77777777" w:rsidTr="007478E1">
        <w:trPr>
          <w:gridAfter w:val="1"/>
          <w:wAfter w:w="179" w:type="dxa"/>
          <w:trHeight w:val="255"/>
        </w:trPr>
        <w:tc>
          <w:tcPr>
            <w:tcW w:w="6536" w:type="dxa"/>
            <w:tcBorders>
              <w:top w:val="nil"/>
              <w:left w:val="nil"/>
              <w:bottom w:val="nil"/>
              <w:right w:val="nil"/>
            </w:tcBorders>
            <w:hideMark/>
          </w:tcPr>
          <w:p w14:paraId="422DF388"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gridSpan w:val="2"/>
            <w:tcBorders>
              <w:top w:val="nil"/>
              <w:left w:val="nil"/>
              <w:bottom w:val="nil"/>
              <w:right w:val="nil"/>
            </w:tcBorders>
            <w:hideMark/>
          </w:tcPr>
          <w:p w14:paraId="77E48F21"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hideMark/>
          </w:tcPr>
          <w:p w14:paraId="1653E651"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r>
      <w:tr w:rsidR="007478E1" w:rsidRPr="00535CCB" w14:paraId="28E4B9B4" w14:textId="77777777" w:rsidTr="007478E1">
        <w:trPr>
          <w:gridAfter w:val="1"/>
          <w:wAfter w:w="179" w:type="dxa"/>
          <w:trHeight w:val="255"/>
        </w:trPr>
        <w:tc>
          <w:tcPr>
            <w:tcW w:w="6536" w:type="dxa"/>
            <w:tcBorders>
              <w:top w:val="nil"/>
              <w:left w:val="nil"/>
              <w:bottom w:val="nil"/>
              <w:right w:val="nil"/>
            </w:tcBorders>
            <w:hideMark/>
          </w:tcPr>
          <w:p w14:paraId="389DA173"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gridSpan w:val="2"/>
            <w:tcBorders>
              <w:top w:val="nil"/>
              <w:left w:val="nil"/>
              <w:bottom w:val="nil"/>
              <w:right w:val="nil"/>
            </w:tcBorders>
            <w:hideMark/>
          </w:tcPr>
          <w:p w14:paraId="12478462"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hideMark/>
          </w:tcPr>
          <w:p w14:paraId="5CAE61A4"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r>
      <w:tr w:rsidR="007478E1" w:rsidRPr="00535CCB" w14:paraId="56A01C54" w14:textId="77777777" w:rsidTr="007478E1">
        <w:trPr>
          <w:gridAfter w:val="1"/>
          <w:wAfter w:w="179" w:type="dxa"/>
          <w:trHeight w:val="2460"/>
        </w:trPr>
        <w:tc>
          <w:tcPr>
            <w:tcW w:w="6536" w:type="dxa"/>
            <w:tcBorders>
              <w:top w:val="nil"/>
              <w:left w:val="nil"/>
              <w:bottom w:val="nil"/>
              <w:right w:val="nil"/>
            </w:tcBorders>
            <w:hideMark/>
          </w:tcPr>
          <w:p w14:paraId="69B50229"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gridSpan w:val="2"/>
            <w:tcBorders>
              <w:top w:val="nil"/>
              <w:left w:val="nil"/>
              <w:bottom w:val="nil"/>
              <w:right w:val="nil"/>
            </w:tcBorders>
            <w:hideMark/>
          </w:tcPr>
          <w:p w14:paraId="6020BB94"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hideMark/>
          </w:tcPr>
          <w:p w14:paraId="62C9110D"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r>
      <w:tr w:rsidR="007478E1" w:rsidRPr="00535CCB" w14:paraId="33DE587A" w14:textId="77777777" w:rsidTr="007478E1">
        <w:trPr>
          <w:gridAfter w:val="1"/>
          <w:wAfter w:w="179" w:type="dxa"/>
          <w:trHeight w:val="120"/>
        </w:trPr>
        <w:tc>
          <w:tcPr>
            <w:tcW w:w="6536" w:type="dxa"/>
            <w:tcBorders>
              <w:top w:val="nil"/>
              <w:left w:val="nil"/>
              <w:bottom w:val="nil"/>
              <w:right w:val="nil"/>
            </w:tcBorders>
            <w:vAlign w:val="bottom"/>
            <w:hideMark/>
          </w:tcPr>
          <w:p w14:paraId="576B9EFA" w14:textId="77777777" w:rsidR="007478E1" w:rsidRPr="00535CCB" w:rsidRDefault="007478E1"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gridSpan w:val="2"/>
            <w:tcBorders>
              <w:top w:val="nil"/>
              <w:left w:val="nil"/>
              <w:bottom w:val="nil"/>
              <w:right w:val="nil"/>
            </w:tcBorders>
            <w:vAlign w:val="bottom"/>
            <w:hideMark/>
          </w:tcPr>
          <w:p w14:paraId="56BEBC34" w14:textId="7777777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vAlign w:val="bottom"/>
            <w:hideMark/>
          </w:tcPr>
          <w:p w14:paraId="6E46F97E" w14:textId="7777777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r>
      <w:tr w:rsidR="007478E1" w:rsidRPr="00535CCB" w14:paraId="37B48D10" w14:textId="77777777" w:rsidTr="007478E1">
        <w:trPr>
          <w:gridAfter w:val="1"/>
          <w:wAfter w:w="179" w:type="dxa"/>
          <w:trHeight w:val="240"/>
        </w:trPr>
        <w:tc>
          <w:tcPr>
            <w:tcW w:w="6536" w:type="dxa"/>
            <w:tcBorders>
              <w:top w:val="nil"/>
              <w:left w:val="nil"/>
              <w:bottom w:val="nil"/>
              <w:right w:val="nil"/>
            </w:tcBorders>
            <w:shd w:val="clear" w:color="000000" w:fill="FFFFFF"/>
            <w:hideMark/>
          </w:tcPr>
          <w:p w14:paraId="73F503FA"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19A68ED9"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25C2EC95" w14:textId="77777777" w:rsidR="007478E1" w:rsidRPr="00535CCB" w:rsidRDefault="007478E1" w:rsidP="00856101">
            <w:pPr>
              <w:spacing w:after="0" w:line="240" w:lineRule="auto"/>
              <w:rPr>
                <w:rFonts w:ascii="Cambria" w:eastAsia="Times New Roman" w:hAnsi="Cambria" w:cs="Calibri"/>
                <w:b/>
                <w:bCs/>
                <w:color w:val="auto"/>
                <w:sz w:val="18"/>
                <w:szCs w:val="18"/>
                <w:u w:val="single"/>
                <w:lang w:eastAsia="en-AU"/>
              </w:rPr>
            </w:pPr>
            <w:r w:rsidRPr="00535CCB">
              <w:rPr>
                <w:rFonts w:ascii="Cambria" w:eastAsia="Times New Roman" w:hAnsi="Cambria" w:cs="Calibri"/>
                <w:b/>
                <w:bCs/>
                <w:color w:val="auto"/>
                <w:sz w:val="18"/>
                <w:szCs w:val="18"/>
                <w:u w:val="single"/>
                <w:lang w:eastAsia="en-AU"/>
              </w:rPr>
              <w:t>Note 1.2B: Resources received free of charge</w:t>
            </w:r>
          </w:p>
        </w:tc>
        <w:tc>
          <w:tcPr>
            <w:tcW w:w="1176" w:type="dxa"/>
            <w:gridSpan w:val="2"/>
            <w:tcBorders>
              <w:top w:val="nil"/>
              <w:left w:val="nil"/>
              <w:bottom w:val="nil"/>
              <w:right w:val="nil"/>
            </w:tcBorders>
            <w:shd w:val="clear" w:color="000000" w:fill="FFFFFF"/>
            <w:noWrap/>
            <w:vAlign w:val="bottom"/>
            <w:hideMark/>
          </w:tcPr>
          <w:p w14:paraId="41FACA20"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w:t>
            </w:r>
          </w:p>
        </w:tc>
        <w:tc>
          <w:tcPr>
            <w:tcW w:w="1077" w:type="dxa"/>
            <w:gridSpan w:val="2"/>
            <w:tcBorders>
              <w:top w:val="nil"/>
              <w:left w:val="nil"/>
              <w:bottom w:val="nil"/>
              <w:right w:val="nil"/>
            </w:tcBorders>
            <w:shd w:val="clear" w:color="000000" w:fill="FFFFFF"/>
            <w:noWrap/>
            <w:vAlign w:val="bottom"/>
            <w:hideMark/>
          </w:tcPr>
          <w:p w14:paraId="4D28F7BB"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w:t>
            </w:r>
          </w:p>
        </w:tc>
      </w:tr>
      <w:tr w:rsidR="007478E1" w:rsidRPr="00535CCB" w14:paraId="53D25FE5" w14:textId="77777777" w:rsidTr="007478E1">
        <w:trPr>
          <w:gridAfter w:val="1"/>
          <w:wAfter w:w="179" w:type="dxa"/>
          <w:trHeight w:val="20"/>
        </w:trPr>
        <w:tc>
          <w:tcPr>
            <w:tcW w:w="6536" w:type="dxa"/>
            <w:tcBorders>
              <w:top w:val="nil"/>
              <w:left w:val="nil"/>
              <w:bottom w:val="nil"/>
              <w:right w:val="nil"/>
            </w:tcBorders>
            <w:shd w:val="clear" w:color="000000" w:fill="FFFFFF"/>
            <w:vAlign w:val="bottom"/>
            <w:hideMark/>
          </w:tcPr>
          <w:p w14:paraId="24946745" w14:textId="77777777" w:rsidR="007478E1" w:rsidRPr="00535CCB" w:rsidRDefault="007478E1" w:rsidP="00856101">
            <w:pPr>
              <w:spacing w:after="0" w:line="240" w:lineRule="auto"/>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Resources received free of charge - Departmental contribution</w:t>
            </w:r>
          </w:p>
        </w:tc>
        <w:tc>
          <w:tcPr>
            <w:tcW w:w="1176" w:type="dxa"/>
            <w:gridSpan w:val="2"/>
            <w:tcBorders>
              <w:top w:val="nil"/>
              <w:left w:val="nil"/>
              <w:bottom w:val="nil"/>
              <w:right w:val="nil"/>
            </w:tcBorders>
            <w:shd w:val="clear" w:color="000000" w:fill="FFFFFF"/>
            <w:noWrap/>
            <w:vAlign w:val="bottom"/>
            <w:hideMark/>
          </w:tcPr>
          <w:p w14:paraId="6C4A8E57"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xml:space="preserve">23,472 </w:t>
            </w:r>
          </w:p>
        </w:tc>
        <w:tc>
          <w:tcPr>
            <w:tcW w:w="1077" w:type="dxa"/>
            <w:gridSpan w:val="2"/>
            <w:tcBorders>
              <w:top w:val="nil"/>
              <w:left w:val="nil"/>
              <w:bottom w:val="nil"/>
              <w:right w:val="nil"/>
            </w:tcBorders>
            <w:shd w:val="clear" w:color="000000" w:fill="FFFFFF"/>
            <w:noWrap/>
            <w:vAlign w:val="bottom"/>
            <w:hideMark/>
          </w:tcPr>
          <w:p w14:paraId="03439C5D"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xml:space="preserve">22,758 </w:t>
            </w:r>
          </w:p>
        </w:tc>
      </w:tr>
      <w:tr w:rsidR="007478E1" w:rsidRPr="00535CCB" w14:paraId="7CB6B9D2" w14:textId="77777777" w:rsidTr="007478E1">
        <w:trPr>
          <w:gridAfter w:val="1"/>
          <w:wAfter w:w="179" w:type="dxa"/>
          <w:trHeight w:val="20"/>
        </w:trPr>
        <w:tc>
          <w:tcPr>
            <w:tcW w:w="6536" w:type="dxa"/>
            <w:tcBorders>
              <w:top w:val="nil"/>
              <w:left w:val="nil"/>
              <w:bottom w:val="nil"/>
              <w:right w:val="nil"/>
            </w:tcBorders>
            <w:shd w:val="clear" w:color="000000" w:fill="FFFFFF"/>
            <w:vAlign w:val="bottom"/>
          </w:tcPr>
          <w:p w14:paraId="48B5B24E" w14:textId="77777777" w:rsidR="007478E1" w:rsidRPr="00535CCB" w:rsidRDefault="007478E1" w:rsidP="00856101">
            <w:pPr>
              <w:spacing w:after="0" w:line="240" w:lineRule="auto"/>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Resources received free of charge - Remuneration of auditors</w:t>
            </w:r>
          </w:p>
        </w:tc>
        <w:tc>
          <w:tcPr>
            <w:tcW w:w="1176" w:type="dxa"/>
            <w:gridSpan w:val="2"/>
            <w:tcBorders>
              <w:top w:val="nil"/>
              <w:left w:val="nil"/>
              <w:bottom w:val="single" w:sz="4" w:space="0" w:color="auto"/>
              <w:right w:val="nil"/>
            </w:tcBorders>
            <w:shd w:val="clear" w:color="000000" w:fill="FFFFFF"/>
            <w:noWrap/>
            <w:vAlign w:val="bottom"/>
          </w:tcPr>
          <w:p w14:paraId="7D862A35"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68</w:t>
            </w:r>
          </w:p>
        </w:tc>
        <w:tc>
          <w:tcPr>
            <w:tcW w:w="1077" w:type="dxa"/>
            <w:gridSpan w:val="2"/>
            <w:tcBorders>
              <w:top w:val="nil"/>
              <w:left w:val="nil"/>
              <w:bottom w:val="single" w:sz="4" w:space="0" w:color="auto"/>
              <w:right w:val="nil"/>
            </w:tcBorders>
            <w:shd w:val="clear" w:color="000000" w:fill="FFFFFF"/>
            <w:noWrap/>
            <w:vAlign w:val="bottom"/>
          </w:tcPr>
          <w:p w14:paraId="1F0E2539"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65</w:t>
            </w:r>
          </w:p>
        </w:tc>
      </w:tr>
      <w:tr w:rsidR="007478E1" w:rsidRPr="00535CCB" w14:paraId="24CDC43C" w14:textId="77777777" w:rsidTr="007478E1">
        <w:trPr>
          <w:gridAfter w:val="1"/>
          <w:wAfter w:w="179" w:type="dxa"/>
          <w:trHeight w:val="277"/>
        </w:trPr>
        <w:tc>
          <w:tcPr>
            <w:tcW w:w="6536" w:type="dxa"/>
            <w:tcBorders>
              <w:top w:val="nil"/>
              <w:left w:val="nil"/>
              <w:bottom w:val="nil"/>
              <w:right w:val="nil"/>
            </w:tcBorders>
            <w:shd w:val="clear" w:color="000000" w:fill="FFFFFF"/>
            <w:hideMark/>
          </w:tcPr>
          <w:p w14:paraId="09039D63" w14:textId="77777777" w:rsidR="007478E1" w:rsidRDefault="007478E1" w:rsidP="00856101">
            <w:pPr>
              <w:spacing w:after="0" w:line="240" w:lineRule="auto"/>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Total resources received free of charge</w:t>
            </w:r>
          </w:p>
          <w:p w14:paraId="6AB98840" w14:textId="77777777" w:rsidR="007478E1" w:rsidRPr="00535CCB" w:rsidRDefault="007478E1" w:rsidP="00856101">
            <w:pPr>
              <w:spacing w:after="0" w:line="240" w:lineRule="auto"/>
              <w:rPr>
                <w:rFonts w:ascii="Cambria" w:eastAsia="Times New Roman" w:hAnsi="Cambria" w:cs="Calibri"/>
                <w:color w:val="auto"/>
                <w:sz w:val="18"/>
                <w:szCs w:val="18"/>
                <w:lang w:eastAsia="en-AU"/>
              </w:rPr>
            </w:pPr>
          </w:p>
        </w:tc>
        <w:tc>
          <w:tcPr>
            <w:tcW w:w="1176" w:type="dxa"/>
            <w:gridSpan w:val="2"/>
            <w:tcBorders>
              <w:top w:val="single" w:sz="4" w:space="0" w:color="auto"/>
              <w:left w:val="nil"/>
              <w:right w:val="nil"/>
            </w:tcBorders>
            <w:shd w:val="clear" w:color="000000" w:fill="FFFFFF"/>
            <w:noWrap/>
            <w:hideMark/>
          </w:tcPr>
          <w:p w14:paraId="6AACDC4F"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23,540</w:t>
            </w:r>
          </w:p>
        </w:tc>
        <w:tc>
          <w:tcPr>
            <w:tcW w:w="1077" w:type="dxa"/>
            <w:gridSpan w:val="2"/>
            <w:tcBorders>
              <w:top w:val="single" w:sz="4" w:space="0" w:color="auto"/>
              <w:left w:val="nil"/>
              <w:right w:val="nil"/>
            </w:tcBorders>
            <w:shd w:val="clear" w:color="000000" w:fill="FFFFFF"/>
            <w:noWrap/>
            <w:hideMark/>
          </w:tcPr>
          <w:p w14:paraId="048CB378"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22,823</w:t>
            </w:r>
          </w:p>
        </w:tc>
      </w:tr>
      <w:tr w:rsidR="007478E1" w:rsidRPr="00535CCB" w14:paraId="2F92555A" w14:textId="77777777" w:rsidTr="007478E1">
        <w:trPr>
          <w:gridAfter w:val="1"/>
          <w:wAfter w:w="179" w:type="dxa"/>
          <w:trHeight w:val="1500"/>
        </w:trPr>
        <w:tc>
          <w:tcPr>
            <w:tcW w:w="6536" w:type="dxa"/>
            <w:tcBorders>
              <w:top w:val="nil"/>
              <w:left w:val="nil"/>
              <w:bottom w:val="nil"/>
              <w:right w:val="nil"/>
            </w:tcBorders>
            <w:noWrap/>
            <w:vAlign w:val="bottom"/>
            <w:hideMark/>
          </w:tcPr>
          <w:p w14:paraId="04EDE9C6" w14:textId="4BDA48D5" w:rsidR="007478E1" w:rsidRPr="00535CCB" w:rsidRDefault="00465912" w:rsidP="00856101">
            <w:pPr>
              <w:spacing w:after="0" w:line="240" w:lineRule="auto"/>
              <w:rPr>
                <w:rFonts w:ascii="Calibri" w:eastAsia="Times New Roman" w:hAnsi="Calibri" w:cs="Calibri"/>
                <w:color w:val="000000"/>
                <w:lang w:eastAsia="en-AU"/>
              </w:rPr>
            </w:pPr>
            <w:r w:rsidRPr="00535CCB">
              <w:rPr>
                <w:rFonts w:ascii="Calibri" w:eastAsia="Times New Roman" w:hAnsi="Calibri" w:cs="Calibri"/>
                <w:noProof/>
                <w:color w:val="000000"/>
                <w:lang w:eastAsia="en-AU"/>
              </w:rPr>
              <mc:AlternateContent>
                <mc:Choice Requires="wps">
                  <w:drawing>
                    <wp:anchor distT="0" distB="0" distL="114300" distR="114300" simplePos="0" relativeHeight="251693056" behindDoc="0" locked="0" layoutInCell="1" allowOverlap="1" wp14:anchorId="30A6EE94" wp14:editId="19CB728C">
                      <wp:simplePos x="0" y="0"/>
                      <wp:positionH relativeFrom="column">
                        <wp:posOffset>-18415</wp:posOffset>
                      </wp:positionH>
                      <wp:positionV relativeFrom="paragraph">
                        <wp:posOffset>559435</wp:posOffset>
                      </wp:positionV>
                      <wp:extent cx="5707380" cy="1206500"/>
                      <wp:effectExtent l="0" t="0" r="26670" b="12700"/>
                      <wp:wrapNone/>
                      <wp:docPr id="4" name="Text Box 59">
                        <a:extLst xmlns:a="http://schemas.openxmlformats.org/drawingml/2006/main">
                          <a:ext uri="{FF2B5EF4-FFF2-40B4-BE49-F238E27FC236}">
                            <a16:creationId xmlns:a16="http://schemas.microsoft.com/office/drawing/2014/main" id="{00000000-0008-0000-0B00-000004000000}"/>
                          </a:ext>
                        </a:extLst>
                      </wp:docPr>
                      <wp:cNvGraphicFramePr/>
                      <a:graphic xmlns:a="http://schemas.openxmlformats.org/drawingml/2006/main">
                        <a:graphicData uri="http://schemas.microsoft.com/office/word/2010/wordprocessingShape">
                          <wps:wsp>
                            <wps:cNvSpPr txBox="1"/>
                            <wps:spPr>
                              <a:xfrm>
                                <a:off x="0" y="0"/>
                                <a:ext cx="5707380" cy="1206500"/>
                              </a:xfrm>
                              <a:prstGeom prst="rect">
                                <a:avLst/>
                              </a:prstGeom>
                              <a:noFill/>
                              <a:ln w="12700" cap="flat" cmpd="sng" algn="ctr">
                                <a:solidFill>
                                  <a:srgbClr val="009560"/>
                                </a:solidFill>
                                <a:prstDash val="solid"/>
                                <a:round/>
                                <a:headEnd type="none" w="med" len="med"/>
                                <a:tailEnd type="none" w="med" len="med"/>
                              </a:ln>
                              <a:effectLst/>
                            </wps:spPr>
                            <wps:txbx>
                              <w:txbxContent>
                                <w:p w14:paraId="10EF16EC" w14:textId="77777777" w:rsidR="007478E1" w:rsidRPr="00FB5935" w:rsidRDefault="007478E1" w:rsidP="007478E1">
                                  <w:pPr>
                                    <w:spacing w:after="0"/>
                                    <w:rPr>
                                      <w:rFonts w:cs="Arial"/>
                                      <w:b/>
                                      <w:bCs/>
                                      <w:sz w:val="18"/>
                                      <w:szCs w:val="18"/>
                                    </w:rPr>
                                  </w:pPr>
                                  <w:r w:rsidRPr="00FB5935">
                                    <w:rPr>
                                      <w:rFonts w:cs="Arial"/>
                                      <w:b/>
                                      <w:bCs/>
                                      <w:sz w:val="18"/>
                                      <w:szCs w:val="18"/>
                                    </w:rPr>
                                    <w:t>Accounting Policy</w:t>
                                  </w:r>
                                </w:p>
                                <w:p w14:paraId="3F4F205E" w14:textId="77777777" w:rsidR="007478E1" w:rsidRPr="00FB5935" w:rsidRDefault="007478E1" w:rsidP="007478E1">
                                  <w:pPr>
                                    <w:spacing w:after="0"/>
                                    <w:rPr>
                                      <w:rFonts w:cs="Arial"/>
                                      <w:b/>
                                      <w:bCs/>
                                      <w:sz w:val="18"/>
                                      <w:szCs w:val="18"/>
                                    </w:rPr>
                                  </w:pPr>
                                  <w:r w:rsidRPr="00FB5935">
                                    <w:rPr>
                                      <w:rFonts w:cs="Arial"/>
                                      <w:b/>
                                      <w:bCs/>
                                      <w:sz w:val="18"/>
                                      <w:szCs w:val="18"/>
                                    </w:rPr>
                                    <w:t>Resources received free of charge</w:t>
                                  </w:r>
                                </w:p>
                                <w:p w14:paraId="59999EAC" w14:textId="77777777" w:rsidR="007478E1" w:rsidRPr="00FB5935" w:rsidRDefault="007478E1" w:rsidP="007478E1">
                                  <w:pPr>
                                    <w:rPr>
                                      <w:rFonts w:cs="Arial"/>
                                      <w:sz w:val="18"/>
                                      <w:szCs w:val="18"/>
                                    </w:rPr>
                                  </w:pPr>
                                  <w:r w:rsidRPr="00FB5935">
                                    <w:rPr>
                                      <w:rFonts w:cs="Arial"/>
                                      <w:sz w:val="18"/>
                                      <w:szCs w:val="18"/>
                                    </w:rPr>
                                    <w:t>Resources received free of charge are recognised as revenue when, and only when, a fair value can be reliably determined</w:t>
                                  </w:r>
                                  <w:r>
                                    <w:rPr>
                                      <w:rFonts w:cs="Arial"/>
                                      <w:sz w:val="18"/>
                                      <w:szCs w:val="18"/>
                                    </w:rPr>
                                    <w:t xml:space="preserve"> </w:t>
                                  </w:r>
                                  <w:r w:rsidRPr="00FB5935">
                                    <w:rPr>
                                      <w:rFonts w:cs="Arial"/>
                                      <w:sz w:val="18"/>
                                      <w:szCs w:val="18"/>
                                    </w:rPr>
                                    <w:t>and the services would have been purchased if they had not been donated. Use of those resources is recognised as an expense. Resources received free of charge are recorded as revenue.</w:t>
                                  </w:r>
                                  <w:r w:rsidRPr="00FB5935">
                                    <w:rPr>
                                      <w:rFonts w:cs="Arial"/>
                                      <w:sz w:val="18"/>
                                      <w:szCs w:val="18"/>
                                    </w:rPr>
                                    <w:tab/>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30A6EE94" id="Text Box 59" o:spid="_x0000_s1033" type="#_x0000_t202" style="position:absolute;margin-left:-1.45pt;margin-top:44.05pt;width:449.4pt;height: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" filled="f" strokecolor="#009560" strokeweight="1pt">
                      <v:stroke joinstyle="round"/>
                      <v:textbox>
                        <w:txbxContent>
                          <w:p w14:paraId="10EF16EC" w14:textId="77777777" w:rsidR="007478E1" w:rsidRPr="00FB5935" w:rsidRDefault="007478E1" w:rsidP="007478E1">
                            <w:pPr>
                              <w:spacing w:after="0"/>
                              <w:rPr>
                                <w:rFonts w:cs="Arial"/>
                                <w:b/>
                                <w:bCs/>
                                <w:sz w:val="18"/>
                                <w:szCs w:val="18"/>
                              </w:rPr>
                            </w:pPr>
                            <w:r w:rsidRPr="00FB5935">
                              <w:rPr>
                                <w:rFonts w:cs="Arial"/>
                                <w:b/>
                                <w:bCs/>
                                <w:sz w:val="18"/>
                                <w:szCs w:val="18"/>
                              </w:rPr>
                              <w:t>Accounting Policy</w:t>
                            </w:r>
                          </w:p>
                          <w:p w14:paraId="3F4F205E" w14:textId="77777777" w:rsidR="007478E1" w:rsidRPr="00FB5935" w:rsidRDefault="007478E1" w:rsidP="007478E1">
                            <w:pPr>
                              <w:spacing w:after="0"/>
                              <w:rPr>
                                <w:rFonts w:cs="Arial"/>
                                <w:b/>
                                <w:bCs/>
                                <w:sz w:val="18"/>
                                <w:szCs w:val="18"/>
                              </w:rPr>
                            </w:pPr>
                            <w:r w:rsidRPr="00FB5935">
                              <w:rPr>
                                <w:rFonts w:cs="Arial"/>
                                <w:b/>
                                <w:bCs/>
                                <w:sz w:val="18"/>
                                <w:szCs w:val="18"/>
                              </w:rPr>
                              <w:t>Resources received free of charge</w:t>
                            </w:r>
                          </w:p>
                          <w:p w14:paraId="59999EAC" w14:textId="77777777" w:rsidR="007478E1" w:rsidRPr="00FB5935" w:rsidRDefault="007478E1" w:rsidP="007478E1">
                            <w:pPr>
                              <w:rPr>
                                <w:rFonts w:cs="Arial"/>
                                <w:sz w:val="18"/>
                                <w:szCs w:val="18"/>
                              </w:rPr>
                            </w:pPr>
                            <w:r w:rsidRPr="00FB5935">
                              <w:rPr>
                                <w:rFonts w:cs="Arial"/>
                                <w:sz w:val="18"/>
                                <w:szCs w:val="18"/>
                              </w:rPr>
                              <w:t>Resources received free of charge are recognised as revenue when, and only when, a fair value can be reliably determined</w:t>
                            </w:r>
                            <w:r>
                              <w:rPr>
                                <w:rFonts w:cs="Arial"/>
                                <w:sz w:val="18"/>
                                <w:szCs w:val="18"/>
                              </w:rPr>
                              <w:t xml:space="preserve"> </w:t>
                            </w:r>
                            <w:r w:rsidRPr="00FB5935">
                              <w:rPr>
                                <w:rFonts w:cs="Arial"/>
                                <w:sz w:val="18"/>
                                <w:szCs w:val="18"/>
                              </w:rPr>
                              <w:t>and the services would have been purchased if they had not been donated. Use of those resources is recognised as an expense. Resources received free of charge are recorded as revenue.</w:t>
                            </w:r>
                            <w:r w:rsidRPr="00FB5935">
                              <w:rPr>
                                <w:rFonts w:cs="Arial"/>
                                <w:sz w:val="18"/>
                                <w:szCs w:val="18"/>
                              </w:rPr>
                              <w:tab/>
                            </w:r>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6320"/>
            </w:tblGrid>
            <w:tr w:rsidR="007478E1" w:rsidRPr="00535CCB" w14:paraId="1C9D1047" w14:textId="77777777" w:rsidTr="00856101">
              <w:trPr>
                <w:trHeight w:val="1500"/>
                <w:tblCellSpacing w:w="0" w:type="dxa"/>
              </w:trPr>
              <w:tc>
                <w:tcPr>
                  <w:tcW w:w="6320" w:type="dxa"/>
                  <w:tcBorders>
                    <w:top w:val="nil"/>
                    <w:left w:val="nil"/>
                    <w:bottom w:val="nil"/>
                    <w:right w:val="nil"/>
                  </w:tcBorders>
                  <w:hideMark/>
                </w:tcPr>
                <w:p w14:paraId="362DF858" w14:textId="2B5A8CDA" w:rsidR="007478E1" w:rsidRPr="00535CCB" w:rsidRDefault="007478E1" w:rsidP="00856101">
                  <w:pPr>
                    <w:spacing w:after="0" w:line="240" w:lineRule="auto"/>
                    <w:rPr>
                      <w:rFonts w:ascii="Calibri" w:eastAsia="Times New Roman" w:hAnsi="Calibri" w:cs="Calibri"/>
                      <w:color w:val="000000"/>
                      <w:lang w:eastAsia="en-AU"/>
                    </w:rPr>
                  </w:pPr>
                </w:p>
              </w:tc>
            </w:tr>
          </w:tbl>
          <w:p w14:paraId="50863222" w14:textId="77777777" w:rsidR="007478E1" w:rsidRPr="00535CCB" w:rsidRDefault="007478E1" w:rsidP="00856101">
            <w:pPr>
              <w:spacing w:after="0" w:line="240" w:lineRule="auto"/>
              <w:rPr>
                <w:rFonts w:ascii="Calibri" w:eastAsia="Times New Roman" w:hAnsi="Calibri" w:cs="Calibri"/>
                <w:color w:val="000000"/>
                <w:lang w:eastAsia="en-AU"/>
              </w:rPr>
            </w:pPr>
          </w:p>
        </w:tc>
        <w:tc>
          <w:tcPr>
            <w:tcW w:w="1176" w:type="dxa"/>
            <w:gridSpan w:val="2"/>
            <w:tcBorders>
              <w:top w:val="nil"/>
              <w:left w:val="nil"/>
              <w:bottom w:val="nil"/>
              <w:right w:val="nil"/>
            </w:tcBorders>
            <w:noWrap/>
            <w:vAlign w:val="bottom"/>
            <w:hideMark/>
          </w:tcPr>
          <w:p w14:paraId="473E20FC" w14:textId="0D5A4AD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noWrap/>
            <w:vAlign w:val="bottom"/>
            <w:hideMark/>
          </w:tcPr>
          <w:p w14:paraId="35844D32" w14:textId="77777777" w:rsidR="007478E1" w:rsidRPr="00535CCB" w:rsidRDefault="007478E1" w:rsidP="00856101">
            <w:pPr>
              <w:spacing w:after="0" w:line="240" w:lineRule="auto"/>
              <w:jc w:val="right"/>
              <w:rPr>
                <w:rFonts w:ascii="Times New Roman" w:eastAsia="Times New Roman" w:hAnsi="Times New Roman" w:cs="Times New Roman"/>
                <w:color w:val="auto"/>
                <w:sz w:val="20"/>
                <w:szCs w:val="20"/>
                <w:lang w:eastAsia="en-AU"/>
              </w:rPr>
            </w:pPr>
          </w:p>
        </w:tc>
      </w:tr>
      <w:tr w:rsidR="007478E1" w:rsidRPr="00535CCB" w14:paraId="0E70A2EB" w14:textId="77777777" w:rsidTr="007478E1">
        <w:trPr>
          <w:gridAfter w:val="1"/>
          <w:wAfter w:w="179" w:type="dxa"/>
          <w:trHeight w:val="240"/>
        </w:trPr>
        <w:tc>
          <w:tcPr>
            <w:tcW w:w="6536" w:type="dxa"/>
            <w:tcBorders>
              <w:top w:val="nil"/>
              <w:left w:val="nil"/>
              <w:bottom w:val="nil"/>
              <w:right w:val="nil"/>
            </w:tcBorders>
            <w:shd w:val="clear" w:color="000000" w:fill="FFFFFF"/>
            <w:hideMark/>
          </w:tcPr>
          <w:p w14:paraId="1BE11D89" w14:textId="77777777" w:rsidR="007478E1" w:rsidRPr="00535CCB" w:rsidRDefault="007478E1" w:rsidP="00856101">
            <w:pPr>
              <w:spacing w:after="0" w:line="240" w:lineRule="auto"/>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w:t>
            </w:r>
          </w:p>
        </w:tc>
        <w:tc>
          <w:tcPr>
            <w:tcW w:w="1176" w:type="dxa"/>
            <w:gridSpan w:val="2"/>
            <w:tcBorders>
              <w:top w:val="nil"/>
              <w:left w:val="nil"/>
              <w:bottom w:val="nil"/>
              <w:right w:val="nil"/>
            </w:tcBorders>
            <w:shd w:val="clear" w:color="000000" w:fill="FFFFFF"/>
            <w:noWrap/>
            <w:vAlign w:val="bottom"/>
            <w:hideMark/>
          </w:tcPr>
          <w:p w14:paraId="2636E152"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w:t>
            </w:r>
          </w:p>
        </w:tc>
        <w:tc>
          <w:tcPr>
            <w:tcW w:w="1077" w:type="dxa"/>
            <w:gridSpan w:val="2"/>
            <w:tcBorders>
              <w:top w:val="nil"/>
              <w:left w:val="nil"/>
              <w:bottom w:val="nil"/>
              <w:right w:val="nil"/>
            </w:tcBorders>
            <w:shd w:val="clear" w:color="000000" w:fill="FFFFFF"/>
            <w:noWrap/>
            <w:vAlign w:val="bottom"/>
            <w:hideMark/>
          </w:tcPr>
          <w:p w14:paraId="226EC462"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w:t>
            </w:r>
          </w:p>
        </w:tc>
      </w:tr>
      <w:tr w:rsidR="007478E1" w:rsidRPr="00535CCB" w14:paraId="25027DD5" w14:textId="77777777" w:rsidTr="007478E1">
        <w:trPr>
          <w:gridAfter w:val="1"/>
          <w:wAfter w:w="179" w:type="dxa"/>
          <w:trHeight w:val="240"/>
        </w:trPr>
        <w:tc>
          <w:tcPr>
            <w:tcW w:w="6536" w:type="dxa"/>
            <w:tcBorders>
              <w:top w:val="nil"/>
              <w:left w:val="nil"/>
              <w:bottom w:val="nil"/>
              <w:right w:val="nil"/>
            </w:tcBorders>
            <w:shd w:val="clear" w:color="000000" w:fill="FFFFFF"/>
            <w:vAlign w:val="bottom"/>
            <w:hideMark/>
          </w:tcPr>
          <w:p w14:paraId="1226D782"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77264A4C"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12FD4F08"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1ACD9E7B"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5D458D7A"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50517562"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6011184D"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0ADE2ACD"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3FA2E97F"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428B93FB"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081CB25F"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4FF3AD51"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524CEF37" w14:textId="77777777" w:rsidR="007478E1" w:rsidRDefault="007478E1" w:rsidP="00856101">
            <w:pPr>
              <w:spacing w:after="0" w:line="240" w:lineRule="auto"/>
              <w:rPr>
                <w:rFonts w:ascii="Cambria" w:eastAsia="Times New Roman" w:hAnsi="Cambria" w:cs="Calibri"/>
                <w:b/>
                <w:bCs/>
                <w:color w:val="auto"/>
                <w:sz w:val="18"/>
                <w:szCs w:val="18"/>
                <w:u w:val="single"/>
                <w:lang w:eastAsia="en-AU"/>
              </w:rPr>
            </w:pPr>
          </w:p>
          <w:p w14:paraId="6C81F54F" w14:textId="77777777" w:rsidR="007478E1" w:rsidRPr="00535CCB" w:rsidRDefault="007478E1" w:rsidP="00856101">
            <w:pPr>
              <w:spacing w:after="0" w:line="240" w:lineRule="auto"/>
              <w:rPr>
                <w:rFonts w:ascii="Cambria" w:eastAsia="Times New Roman" w:hAnsi="Cambria" w:cs="Calibri"/>
                <w:b/>
                <w:bCs/>
                <w:color w:val="auto"/>
                <w:sz w:val="18"/>
                <w:szCs w:val="18"/>
                <w:u w:val="single"/>
                <w:lang w:eastAsia="en-AU"/>
              </w:rPr>
            </w:pPr>
            <w:r w:rsidRPr="00535CCB">
              <w:rPr>
                <w:rFonts w:ascii="Cambria" w:eastAsia="Times New Roman" w:hAnsi="Cambria" w:cs="Calibri"/>
                <w:b/>
                <w:bCs/>
                <w:color w:val="auto"/>
                <w:sz w:val="18"/>
                <w:szCs w:val="18"/>
                <w:u w:val="single"/>
                <w:lang w:eastAsia="en-AU"/>
              </w:rPr>
              <w:lastRenderedPageBreak/>
              <w:t>Note 1.2C: Other revenue</w:t>
            </w:r>
          </w:p>
        </w:tc>
        <w:tc>
          <w:tcPr>
            <w:tcW w:w="1176" w:type="dxa"/>
            <w:gridSpan w:val="2"/>
            <w:tcBorders>
              <w:top w:val="nil"/>
              <w:left w:val="nil"/>
              <w:bottom w:val="nil"/>
              <w:right w:val="nil"/>
            </w:tcBorders>
            <w:shd w:val="clear" w:color="000000" w:fill="FFFFFF"/>
            <w:hideMark/>
          </w:tcPr>
          <w:p w14:paraId="50ACB9DB" w14:textId="77777777" w:rsidR="007478E1" w:rsidRPr="00535CCB" w:rsidRDefault="007478E1" w:rsidP="00856101">
            <w:pPr>
              <w:spacing w:after="0" w:line="240" w:lineRule="auto"/>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lastRenderedPageBreak/>
              <w:t> </w:t>
            </w:r>
          </w:p>
        </w:tc>
        <w:tc>
          <w:tcPr>
            <w:tcW w:w="1077" w:type="dxa"/>
            <w:gridSpan w:val="2"/>
            <w:tcBorders>
              <w:top w:val="nil"/>
              <w:left w:val="nil"/>
              <w:bottom w:val="nil"/>
              <w:right w:val="nil"/>
            </w:tcBorders>
            <w:shd w:val="clear" w:color="000000" w:fill="FFFFFF"/>
            <w:hideMark/>
          </w:tcPr>
          <w:p w14:paraId="0D62DE9A"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w:t>
            </w:r>
          </w:p>
        </w:tc>
      </w:tr>
      <w:tr w:rsidR="007478E1" w:rsidRPr="00535CCB" w14:paraId="006E55AF" w14:textId="77777777" w:rsidTr="007478E1">
        <w:trPr>
          <w:gridAfter w:val="1"/>
          <w:wAfter w:w="179" w:type="dxa"/>
          <w:trHeight w:val="240"/>
        </w:trPr>
        <w:tc>
          <w:tcPr>
            <w:tcW w:w="6536" w:type="dxa"/>
            <w:tcBorders>
              <w:top w:val="nil"/>
              <w:left w:val="nil"/>
              <w:bottom w:val="nil"/>
              <w:right w:val="nil"/>
            </w:tcBorders>
            <w:hideMark/>
          </w:tcPr>
          <w:p w14:paraId="6BA21D95" w14:textId="77777777" w:rsidR="007478E1" w:rsidRPr="00535CCB" w:rsidRDefault="007478E1" w:rsidP="00856101">
            <w:pPr>
              <w:spacing w:after="0" w:line="240" w:lineRule="auto"/>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Industry research subsidy</w:t>
            </w:r>
          </w:p>
        </w:tc>
        <w:tc>
          <w:tcPr>
            <w:tcW w:w="1176" w:type="dxa"/>
            <w:gridSpan w:val="2"/>
            <w:tcBorders>
              <w:top w:val="nil"/>
              <w:left w:val="nil"/>
              <w:bottom w:val="nil"/>
              <w:right w:val="nil"/>
            </w:tcBorders>
            <w:noWrap/>
            <w:vAlign w:val="bottom"/>
            <w:hideMark/>
          </w:tcPr>
          <w:p w14:paraId="4555C8BA"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xml:space="preserve">14 </w:t>
            </w:r>
          </w:p>
        </w:tc>
        <w:tc>
          <w:tcPr>
            <w:tcW w:w="1077" w:type="dxa"/>
            <w:gridSpan w:val="2"/>
            <w:tcBorders>
              <w:top w:val="nil"/>
              <w:left w:val="nil"/>
              <w:bottom w:val="nil"/>
              <w:right w:val="nil"/>
            </w:tcBorders>
            <w:noWrap/>
            <w:vAlign w:val="bottom"/>
            <w:hideMark/>
          </w:tcPr>
          <w:p w14:paraId="07025B1F"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xml:space="preserve"> -</w:t>
            </w:r>
          </w:p>
        </w:tc>
      </w:tr>
      <w:tr w:rsidR="007478E1" w:rsidRPr="00535CCB" w14:paraId="38A28755" w14:textId="77777777" w:rsidTr="007478E1">
        <w:trPr>
          <w:gridAfter w:val="1"/>
          <w:wAfter w:w="179" w:type="dxa"/>
          <w:trHeight w:val="240"/>
        </w:trPr>
        <w:tc>
          <w:tcPr>
            <w:tcW w:w="6536" w:type="dxa"/>
            <w:tcBorders>
              <w:top w:val="nil"/>
              <w:left w:val="nil"/>
              <w:bottom w:val="nil"/>
              <w:right w:val="nil"/>
            </w:tcBorders>
            <w:shd w:val="clear" w:color="000000" w:fill="FFFFFF"/>
            <w:hideMark/>
          </w:tcPr>
          <w:p w14:paraId="23D9CE80" w14:textId="77777777" w:rsidR="007478E1" w:rsidRPr="00535CCB" w:rsidRDefault="007478E1" w:rsidP="00856101">
            <w:pPr>
              <w:spacing w:after="0" w:line="240" w:lineRule="auto"/>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Total other revenue</w:t>
            </w:r>
          </w:p>
        </w:tc>
        <w:tc>
          <w:tcPr>
            <w:tcW w:w="1176" w:type="dxa"/>
            <w:gridSpan w:val="2"/>
            <w:tcBorders>
              <w:top w:val="single" w:sz="4" w:space="0" w:color="auto"/>
              <w:left w:val="nil"/>
              <w:bottom w:val="single" w:sz="4" w:space="0" w:color="auto"/>
              <w:right w:val="nil"/>
            </w:tcBorders>
            <w:shd w:val="clear" w:color="000000" w:fill="FFFFFF"/>
            <w:noWrap/>
            <w:vAlign w:val="bottom"/>
            <w:hideMark/>
          </w:tcPr>
          <w:p w14:paraId="75D3D99E"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xml:space="preserve">14 </w:t>
            </w:r>
          </w:p>
        </w:tc>
        <w:tc>
          <w:tcPr>
            <w:tcW w:w="1077" w:type="dxa"/>
            <w:gridSpan w:val="2"/>
            <w:tcBorders>
              <w:top w:val="single" w:sz="4" w:space="0" w:color="auto"/>
              <w:left w:val="nil"/>
              <w:bottom w:val="single" w:sz="4" w:space="0" w:color="auto"/>
              <w:right w:val="nil"/>
            </w:tcBorders>
            <w:shd w:val="clear" w:color="000000" w:fill="FFFFFF"/>
            <w:noWrap/>
            <w:vAlign w:val="bottom"/>
            <w:hideMark/>
          </w:tcPr>
          <w:p w14:paraId="5B5074ED"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xml:space="preserve"> - </w:t>
            </w:r>
          </w:p>
        </w:tc>
      </w:tr>
      <w:tr w:rsidR="007478E1" w:rsidRPr="00535CCB" w14:paraId="52848634" w14:textId="77777777" w:rsidTr="007478E1">
        <w:trPr>
          <w:gridAfter w:val="1"/>
          <w:wAfter w:w="179" w:type="dxa"/>
          <w:trHeight w:val="150"/>
        </w:trPr>
        <w:tc>
          <w:tcPr>
            <w:tcW w:w="6536" w:type="dxa"/>
            <w:tcBorders>
              <w:top w:val="nil"/>
              <w:left w:val="nil"/>
              <w:bottom w:val="nil"/>
              <w:right w:val="nil"/>
            </w:tcBorders>
            <w:noWrap/>
            <w:vAlign w:val="bottom"/>
            <w:hideMark/>
          </w:tcPr>
          <w:p w14:paraId="4E2E9C8C"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p>
        </w:tc>
        <w:tc>
          <w:tcPr>
            <w:tcW w:w="1176" w:type="dxa"/>
            <w:gridSpan w:val="2"/>
            <w:tcBorders>
              <w:top w:val="nil"/>
              <w:left w:val="nil"/>
              <w:bottom w:val="nil"/>
              <w:right w:val="nil"/>
            </w:tcBorders>
            <w:noWrap/>
            <w:vAlign w:val="bottom"/>
            <w:hideMark/>
          </w:tcPr>
          <w:p w14:paraId="6D388A70" w14:textId="7777777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noWrap/>
            <w:vAlign w:val="bottom"/>
            <w:hideMark/>
          </w:tcPr>
          <w:p w14:paraId="2D23D3E3" w14:textId="7777777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r>
      <w:tr w:rsidR="007478E1" w:rsidRPr="00535CCB" w14:paraId="1CCAC3CE" w14:textId="77777777" w:rsidTr="007478E1">
        <w:trPr>
          <w:gridAfter w:val="1"/>
          <w:wAfter w:w="179" w:type="dxa"/>
          <w:trHeight w:val="375"/>
        </w:trPr>
        <w:tc>
          <w:tcPr>
            <w:tcW w:w="8789" w:type="dxa"/>
            <w:gridSpan w:val="5"/>
            <w:tcBorders>
              <w:top w:val="nil"/>
              <w:left w:val="nil"/>
              <w:bottom w:val="nil"/>
              <w:right w:val="nil"/>
            </w:tcBorders>
            <w:shd w:val="clear" w:color="000000" w:fill="FFFFFF"/>
            <w:hideMark/>
          </w:tcPr>
          <w:p w14:paraId="411D5175" w14:textId="77777777" w:rsidR="007478E1" w:rsidRPr="00535CCB" w:rsidRDefault="007478E1" w:rsidP="00856101">
            <w:pPr>
              <w:spacing w:after="0" w:line="240" w:lineRule="auto"/>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Other revenue relates to research subsidy revenue received under the National Industry PhD Program.</w:t>
            </w:r>
          </w:p>
        </w:tc>
      </w:tr>
      <w:tr w:rsidR="007478E1" w:rsidRPr="00535CCB" w14:paraId="15926EB8" w14:textId="77777777" w:rsidTr="007478E1">
        <w:trPr>
          <w:gridAfter w:val="1"/>
          <w:wAfter w:w="179" w:type="dxa"/>
          <w:trHeight w:val="165"/>
        </w:trPr>
        <w:tc>
          <w:tcPr>
            <w:tcW w:w="6536" w:type="dxa"/>
            <w:tcBorders>
              <w:top w:val="nil"/>
              <w:left w:val="nil"/>
              <w:bottom w:val="nil"/>
              <w:right w:val="nil"/>
            </w:tcBorders>
            <w:shd w:val="clear" w:color="000000" w:fill="FFFFFF"/>
            <w:hideMark/>
          </w:tcPr>
          <w:p w14:paraId="29C6888F" w14:textId="77777777" w:rsidR="007478E1" w:rsidRPr="00535CCB" w:rsidRDefault="007478E1" w:rsidP="00856101">
            <w:pPr>
              <w:spacing w:after="0" w:line="240" w:lineRule="auto"/>
              <w:rPr>
                <w:rFonts w:ascii="Cambria" w:eastAsia="Times New Roman" w:hAnsi="Cambria" w:cs="Calibri"/>
                <w:b/>
                <w:bCs/>
                <w:i/>
                <w:iCs/>
                <w:color w:val="auto"/>
                <w:sz w:val="18"/>
                <w:szCs w:val="18"/>
                <w:lang w:eastAsia="en-AU"/>
              </w:rPr>
            </w:pPr>
            <w:r w:rsidRPr="00535CCB">
              <w:rPr>
                <w:rFonts w:ascii="Cambria" w:eastAsia="Times New Roman" w:hAnsi="Cambria" w:cs="Calibri"/>
                <w:b/>
                <w:bCs/>
                <w:i/>
                <w:iCs/>
                <w:color w:val="auto"/>
                <w:sz w:val="18"/>
                <w:szCs w:val="18"/>
                <w:lang w:eastAsia="en-AU"/>
              </w:rPr>
              <w:t> </w:t>
            </w:r>
          </w:p>
        </w:tc>
        <w:tc>
          <w:tcPr>
            <w:tcW w:w="1176" w:type="dxa"/>
            <w:gridSpan w:val="2"/>
            <w:tcBorders>
              <w:top w:val="nil"/>
              <w:left w:val="nil"/>
              <w:bottom w:val="nil"/>
              <w:right w:val="nil"/>
            </w:tcBorders>
            <w:shd w:val="clear" w:color="000000" w:fill="FFFFFF"/>
            <w:noWrap/>
            <w:vAlign w:val="bottom"/>
            <w:hideMark/>
          </w:tcPr>
          <w:p w14:paraId="40719DCE"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w:t>
            </w:r>
          </w:p>
        </w:tc>
        <w:tc>
          <w:tcPr>
            <w:tcW w:w="1077" w:type="dxa"/>
            <w:gridSpan w:val="2"/>
            <w:tcBorders>
              <w:top w:val="nil"/>
              <w:left w:val="nil"/>
              <w:bottom w:val="nil"/>
              <w:right w:val="nil"/>
            </w:tcBorders>
            <w:shd w:val="clear" w:color="000000" w:fill="FFFFFF"/>
            <w:noWrap/>
            <w:vAlign w:val="bottom"/>
            <w:hideMark/>
          </w:tcPr>
          <w:p w14:paraId="61BFC917"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w:t>
            </w:r>
          </w:p>
        </w:tc>
      </w:tr>
      <w:tr w:rsidR="007478E1" w:rsidRPr="00535CCB" w14:paraId="3E3F2DE7" w14:textId="77777777" w:rsidTr="007478E1">
        <w:trPr>
          <w:gridAfter w:val="1"/>
          <w:wAfter w:w="179" w:type="dxa"/>
          <w:trHeight w:val="330"/>
        </w:trPr>
        <w:tc>
          <w:tcPr>
            <w:tcW w:w="6536" w:type="dxa"/>
            <w:tcBorders>
              <w:top w:val="nil"/>
              <w:left w:val="nil"/>
              <w:bottom w:val="nil"/>
              <w:right w:val="nil"/>
            </w:tcBorders>
            <w:shd w:val="clear" w:color="000000" w:fill="FFFFFF"/>
            <w:vAlign w:val="bottom"/>
            <w:hideMark/>
          </w:tcPr>
          <w:p w14:paraId="2DAE49E2" w14:textId="77777777" w:rsidR="007478E1" w:rsidRPr="00535CCB" w:rsidRDefault="007478E1" w:rsidP="00856101">
            <w:pPr>
              <w:spacing w:after="0" w:line="240" w:lineRule="auto"/>
              <w:rPr>
                <w:rFonts w:ascii="Cambria" w:eastAsia="Times New Roman" w:hAnsi="Cambria" w:cs="Calibri"/>
                <w:b/>
                <w:bCs/>
                <w:color w:val="auto"/>
                <w:sz w:val="18"/>
                <w:szCs w:val="18"/>
                <w:u w:val="single"/>
                <w:lang w:eastAsia="en-AU"/>
              </w:rPr>
            </w:pPr>
            <w:r w:rsidRPr="00535CCB">
              <w:rPr>
                <w:rFonts w:ascii="Cambria" w:eastAsia="Times New Roman" w:hAnsi="Cambria" w:cs="Calibri"/>
                <w:b/>
                <w:bCs/>
                <w:color w:val="auto"/>
                <w:sz w:val="18"/>
                <w:szCs w:val="18"/>
                <w:u w:val="single"/>
                <w:lang w:eastAsia="en-AU"/>
              </w:rPr>
              <w:t>Note 1.2D: Revenue from Government</w:t>
            </w:r>
          </w:p>
        </w:tc>
        <w:tc>
          <w:tcPr>
            <w:tcW w:w="1176" w:type="dxa"/>
            <w:gridSpan w:val="2"/>
            <w:tcBorders>
              <w:top w:val="nil"/>
              <w:left w:val="nil"/>
              <w:bottom w:val="nil"/>
              <w:right w:val="nil"/>
            </w:tcBorders>
            <w:shd w:val="clear" w:color="000000" w:fill="FFFFFF"/>
            <w:hideMark/>
          </w:tcPr>
          <w:p w14:paraId="1255300E" w14:textId="77777777" w:rsidR="007478E1" w:rsidRPr="00535CCB" w:rsidRDefault="007478E1" w:rsidP="00856101">
            <w:pPr>
              <w:spacing w:after="0" w:line="240" w:lineRule="auto"/>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w:t>
            </w:r>
          </w:p>
        </w:tc>
        <w:tc>
          <w:tcPr>
            <w:tcW w:w="1077" w:type="dxa"/>
            <w:gridSpan w:val="2"/>
            <w:tcBorders>
              <w:top w:val="nil"/>
              <w:left w:val="nil"/>
              <w:bottom w:val="nil"/>
              <w:right w:val="nil"/>
            </w:tcBorders>
            <w:shd w:val="clear" w:color="000000" w:fill="FFFFFF"/>
            <w:hideMark/>
          </w:tcPr>
          <w:p w14:paraId="69215177"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w:t>
            </w:r>
          </w:p>
        </w:tc>
      </w:tr>
      <w:tr w:rsidR="007478E1" w:rsidRPr="00535CCB" w14:paraId="3AEDB137" w14:textId="77777777" w:rsidTr="007478E1">
        <w:trPr>
          <w:gridAfter w:val="1"/>
          <w:wAfter w:w="179" w:type="dxa"/>
          <w:trHeight w:val="240"/>
        </w:trPr>
        <w:tc>
          <w:tcPr>
            <w:tcW w:w="6536" w:type="dxa"/>
            <w:tcBorders>
              <w:top w:val="nil"/>
              <w:left w:val="nil"/>
              <w:bottom w:val="nil"/>
              <w:right w:val="nil"/>
            </w:tcBorders>
            <w:shd w:val="clear" w:color="000000" w:fill="FFFFFF"/>
            <w:vAlign w:val="bottom"/>
            <w:hideMark/>
          </w:tcPr>
          <w:p w14:paraId="18D0D16F" w14:textId="77777777" w:rsidR="007478E1" w:rsidRPr="00535CCB" w:rsidRDefault="007478E1" w:rsidP="00856101">
            <w:pPr>
              <w:spacing w:after="0" w:line="240" w:lineRule="auto"/>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Amounts from Department of Health, Disability and Ageing</w:t>
            </w:r>
          </w:p>
        </w:tc>
        <w:tc>
          <w:tcPr>
            <w:tcW w:w="1176" w:type="dxa"/>
            <w:gridSpan w:val="2"/>
            <w:tcBorders>
              <w:top w:val="nil"/>
              <w:left w:val="nil"/>
              <w:bottom w:val="nil"/>
              <w:right w:val="nil"/>
            </w:tcBorders>
            <w:shd w:val="clear" w:color="000000" w:fill="FFFFFF"/>
            <w:noWrap/>
            <w:vAlign w:val="bottom"/>
            <w:hideMark/>
          </w:tcPr>
          <w:p w14:paraId="1DFF52FD"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xml:space="preserve">52,208 </w:t>
            </w:r>
          </w:p>
        </w:tc>
        <w:tc>
          <w:tcPr>
            <w:tcW w:w="1077" w:type="dxa"/>
            <w:gridSpan w:val="2"/>
            <w:tcBorders>
              <w:top w:val="nil"/>
              <w:left w:val="nil"/>
              <w:bottom w:val="nil"/>
              <w:right w:val="nil"/>
            </w:tcBorders>
            <w:shd w:val="clear" w:color="000000" w:fill="FFFFFF"/>
            <w:noWrap/>
            <w:vAlign w:val="bottom"/>
            <w:hideMark/>
          </w:tcPr>
          <w:p w14:paraId="671F6835"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xml:space="preserve">57,414 </w:t>
            </w:r>
          </w:p>
        </w:tc>
      </w:tr>
      <w:tr w:rsidR="007478E1" w:rsidRPr="00535CCB" w14:paraId="6A0A3FA0" w14:textId="77777777" w:rsidTr="007478E1">
        <w:trPr>
          <w:gridAfter w:val="1"/>
          <w:wAfter w:w="179" w:type="dxa"/>
          <w:trHeight w:val="240"/>
        </w:trPr>
        <w:tc>
          <w:tcPr>
            <w:tcW w:w="6536" w:type="dxa"/>
            <w:tcBorders>
              <w:top w:val="nil"/>
              <w:left w:val="nil"/>
              <w:bottom w:val="nil"/>
              <w:right w:val="nil"/>
            </w:tcBorders>
            <w:shd w:val="clear" w:color="000000" w:fill="FFFFFF"/>
            <w:hideMark/>
          </w:tcPr>
          <w:p w14:paraId="4BB45D67" w14:textId="77777777" w:rsidR="007478E1" w:rsidRPr="00535CCB" w:rsidRDefault="007478E1" w:rsidP="00856101">
            <w:pPr>
              <w:spacing w:after="0" w:line="240" w:lineRule="auto"/>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Total revenue from Government</w:t>
            </w:r>
          </w:p>
        </w:tc>
        <w:tc>
          <w:tcPr>
            <w:tcW w:w="1176" w:type="dxa"/>
            <w:gridSpan w:val="2"/>
            <w:tcBorders>
              <w:top w:val="single" w:sz="4" w:space="0" w:color="auto"/>
              <w:left w:val="nil"/>
              <w:bottom w:val="single" w:sz="4" w:space="0" w:color="auto"/>
              <w:right w:val="nil"/>
            </w:tcBorders>
            <w:shd w:val="clear" w:color="000000" w:fill="FFFFFF"/>
            <w:noWrap/>
            <w:vAlign w:val="bottom"/>
            <w:hideMark/>
          </w:tcPr>
          <w:p w14:paraId="61700AC3" w14:textId="77777777" w:rsidR="007478E1" w:rsidRPr="00535CCB" w:rsidRDefault="007478E1" w:rsidP="00856101">
            <w:pPr>
              <w:spacing w:after="0" w:line="240" w:lineRule="auto"/>
              <w:jc w:val="right"/>
              <w:rPr>
                <w:rFonts w:ascii="Cambria" w:eastAsia="Times New Roman" w:hAnsi="Cambria" w:cs="Calibri"/>
                <w:b/>
                <w:bCs/>
                <w:color w:val="auto"/>
                <w:sz w:val="18"/>
                <w:szCs w:val="18"/>
                <w:lang w:eastAsia="en-AU"/>
              </w:rPr>
            </w:pPr>
            <w:r w:rsidRPr="00535CCB">
              <w:rPr>
                <w:rFonts w:ascii="Cambria" w:eastAsia="Times New Roman" w:hAnsi="Cambria" w:cs="Calibri"/>
                <w:b/>
                <w:bCs/>
                <w:color w:val="auto"/>
                <w:sz w:val="18"/>
                <w:szCs w:val="18"/>
                <w:lang w:eastAsia="en-AU"/>
              </w:rPr>
              <w:t xml:space="preserve">52,208 </w:t>
            </w:r>
          </w:p>
        </w:tc>
        <w:tc>
          <w:tcPr>
            <w:tcW w:w="1077" w:type="dxa"/>
            <w:gridSpan w:val="2"/>
            <w:tcBorders>
              <w:top w:val="single" w:sz="4" w:space="0" w:color="auto"/>
              <w:left w:val="nil"/>
              <w:bottom w:val="single" w:sz="4" w:space="0" w:color="auto"/>
              <w:right w:val="nil"/>
            </w:tcBorders>
            <w:shd w:val="clear" w:color="000000" w:fill="FFFFFF"/>
            <w:noWrap/>
            <w:vAlign w:val="bottom"/>
            <w:hideMark/>
          </w:tcPr>
          <w:p w14:paraId="2259CC95" w14:textId="77777777" w:rsidR="007478E1" w:rsidRPr="00535CCB" w:rsidRDefault="007478E1" w:rsidP="00856101">
            <w:pPr>
              <w:spacing w:after="0" w:line="240" w:lineRule="auto"/>
              <w:jc w:val="right"/>
              <w:rPr>
                <w:rFonts w:ascii="Cambria" w:eastAsia="Times New Roman" w:hAnsi="Cambria" w:cs="Calibri"/>
                <w:color w:val="auto"/>
                <w:sz w:val="18"/>
                <w:szCs w:val="18"/>
                <w:lang w:eastAsia="en-AU"/>
              </w:rPr>
            </w:pPr>
            <w:r w:rsidRPr="00535CCB">
              <w:rPr>
                <w:rFonts w:ascii="Cambria" w:eastAsia="Times New Roman" w:hAnsi="Cambria" w:cs="Calibri"/>
                <w:color w:val="auto"/>
                <w:sz w:val="18"/>
                <w:szCs w:val="18"/>
                <w:lang w:eastAsia="en-AU"/>
              </w:rPr>
              <w:t xml:space="preserve">57,414 </w:t>
            </w:r>
          </w:p>
        </w:tc>
      </w:tr>
      <w:tr w:rsidR="007478E1" w:rsidRPr="00535CCB" w14:paraId="77288F5C" w14:textId="77777777" w:rsidTr="007478E1">
        <w:trPr>
          <w:gridAfter w:val="1"/>
          <w:wAfter w:w="179" w:type="dxa"/>
          <w:trHeight w:val="1848"/>
        </w:trPr>
        <w:tc>
          <w:tcPr>
            <w:tcW w:w="6536" w:type="dxa"/>
            <w:tcBorders>
              <w:top w:val="nil"/>
              <w:left w:val="nil"/>
              <w:bottom w:val="nil"/>
              <w:right w:val="nil"/>
            </w:tcBorders>
            <w:noWrap/>
            <w:vAlign w:val="bottom"/>
            <w:hideMark/>
          </w:tcPr>
          <w:p w14:paraId="2637D29D" w14:textId="76B52D81" w:rsidR="007478E1" w:rsidRPr="00535CCB" w:rsidRDefault="00700E6B" w:rsidP="00856101">
            <w:pPr>
              <w:spacing w:after="0" w:line="240" w:lineRule="auto"/>
              <w:rPr>
                <w:rFonts w:ascii="Calibri" w:eastAsia="Times New Roman" w:hAnsi="Calibri" w:cs="Calibri"/>
                <w:color w:val="000000"/>
                <w:lang w:eastAsia="en-AU"/>
              </w:rPr>
            </w:pPr>
            <w:r w:rsidRPr="00535CCB">
              <w:rPr>
                <w:rFonts w:ascii="Calibri" w:eastAsia="Times New Roman" w:hAnsi="Calibri" w:cs="Calibri"/>
                <w:noProof/>
                <w:color w:val="000000"/>
                <w:lang w:eastAsia="en-AU"/>
              </w:rPr>
              <mc:AlternateContent>
                <mc:Choice Requires="wps">
                  <w:drawing>
                    <wp:anchor distT="0" distB="0" distL="114300" distR="114300" simplePos="0" relativeHeight="251694080" behindDoc="0" locked="0" layoutInCell="1" allowOverlap="1" wp14:anchorId="2D15F054" wp14:editId="44609344">
                      <wp:simplePos x="0" y="0"/>
                      <wp:positionH relativeFrom="column">
                        <wp:posOffset>-11430</wp:posOffset>
                      </wp:positionH>
                      <wp:positionV relativeFrom="paragraph">
                        <wp:posOffset>691515</wp:posOffset>
                      </wp:positionV>
                      <wp:extent cx="5554980" cy="908050"/>
                      <wp:effectExtent l="0" t="0" r="26670" b="25400"/>
                      <wp:wrapNone/>
                      <wp:docPr id="6" name="Text Box 58">
                        <a:extLst xmlns:a="http://schemas.openxmlformats.org/drawingml/2006/main">
                          <a:ext uri="{FF2B5EF4-FFF2-40B4-BE49-F238E27FC236}">
                            <a16:creationId xmlns:a16="http://schemas.microsoft.com/office/drawing/2014/main" id="{00000000-0008-0000-0B00-000006000000}"/>
                          </a:ext>
                        </a:extLst>
                      </wp:docPr>
                      <wp:cNvGraphicFramePr/>
                      <a:graphic xmlns:a="http://schemas.openxmlformats.org/drawingml/2006/main">
                        <a:graphicData uri="http://schemas.microsoft.com/office/word/2010/wordprocessingShape">
                          <wps:wsp>
                            <wps:cNvSpPr txBox="1"/>
                            <wps:spPr>
                              <a:xfrm>
                                <a:off x="0" y="0"/>
                                <a:ext cx="5554980" cy="908050"/>
                              </a:xfrm>
                              <a:prstGeom prst="rect">
                                <a:avLst/>
                              </a:prstGeom>
                              <a:noFill/>
                              <a:ln w="12700" cap="flat" cmpd="sng" algn="ctr">
                                <a:solidFill>
                                  <a:srgbClr val="009560"/>
                                </a:solidFill>
                                <a:prstDash val="solid"/>
                                <a:round/>
                                <a:headEnd type="none" w="med" len="med"/>
                                <a:tailEnd type="none" w="med" len="med"/>
                              </a:ln>
                              <a:effectLst/>
                            </wps:spPr>
                            <wps:txbx>
                              <w:txbxContent>
                                <w:p w14:paraId="7569153B" w14:textId="77777777" w:rsidR="007478E1" w:rsidRPr="00FB5935" w:rsidRDefault="007478E1" w:rsidP="007478E1">
                                  <w:pPr>
                                    <w:spacing w:after="0"/>
                                    <w:rPr>
                                      <w:rFonts w:cs="Arial"/>
                                      <w:b/>
                                      <w:bCs/>
                                      <w:sz w:val="18"/>
                                      <w:szCs w:val="18"/>
                                    </w:rPr>
                                  </w:pPr>
                                  <w:r w:rsidRPr="00FB5935">
                                    <w:rPr>
                                      <w:rFonts w:cs="Arial"/>
                                      <w:b/>
                                      <w:bCs/>
                                      <w:sz w:val="18"/>
                                      <w:szCs w:val="18"/>
                                    </w:rPr>
                                    <w:t>Accounting Policy</w:t>
                                  </w:r>
                                </w:p>
                                <w:p w14:paraId="5B607616" w14:textId="77777777" w:rsidR="007478E1" w:rsidRPr="00FB5935" w:rsidRDefault="007478E1" w:rsidP="007478E1">
                                  <w:pPr>
                                    <w:spacing w:after="0"/>
                                    <w:rPr>
                                      <w:rFonts w:cs="Arial"/>
                                      <w:b/>
                                      <w:bCs/>
                                      <w:sz w:val="18"/>
                                      <w:szCs w:val="18"/>
                                    </w:rPr>
                                  </w:pPr>
                                  <w:r w:rsidRPr="00FB5935">
                                    <w:rPr>
                                      <w:rFonts w:cs="Arial"/>
                                      <w:b/>
                                      <w:bCs/>
                                      <w:sz w:val="18"/>
                                      <w:szCs w:val="18"/>
                                    </w:rPr>
                                    <w:t xml:space="preserve">Revenue from government </w:t>
                                  </w:r>
                                </w:p>
                                <w:p w14:paraId="1E9F1B5C" w14:textId="77777777" w:rsidR="007478E1" w:rsidRPr="00FB5935" w:rsidRDefault="007478E1" w:rsidP="007478E1">
                                  <w:pPr>
                                    <w:rPr>
                                      <w:rFonts w:cs="Arial"/>
                                      <w:sz w:val="18"/>
                                      <w:szCs w:val="18"/>
                                    </w:rPr>
                                  </w:pPr>
                                  <w:r w:rsidRPr="00FB5935">
                                    <w:rPr>
                                      <w:rFonts w:cs="Arial"/>
                                      <w:sz w:val="18"/>
                                      <w:szCs w:val="18"/>
                                    </w:rPr>
                                    <w:t>Funding received or receivable from non-corporate Commonwealth entities is recognised as Revenue from Government by IHACPA unless the funding is in the nature of an equity injection or a loan.</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2D15F054" id="Text Box 58" o:spid="_x0000_s1034" type="#_x0000_t202" style="position:absolute;margin-left:-.9pt;margin-top:54.45pt;width:437.4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" filled="f" strokecolor="#009560" strokeweight="1pt">
                      <v:stroke joinstyle="round"/>
                      <v:textbox>
                        <w:txbxContent>
                          <w:p w14:paraId="7569153B" w14:textId="77777777" w:rsidR="007478E1" w:rsidRPr="00FB5935" w:rsidRDefault="007478E1" w:rsidP="007478E1">
                            <w:pPr>
                              <w:spacing w:after="0"/>
                              <w:rPr>
                                <w:rFonts w:cs="Arial"/>
                                <w:b/>
                                <w:bCs/>
                                <w:sz w:val="18"/>
                                <w:szCs w:val="18"/>
                              </w:rPr>
                            </w:pPr>
                            <w:r w:rsidRPr="00FB5935">
                              <w:rPr>
                                <w:rFonts w:cs="Arial"/>
                                <w:b/>
                                <w:bCs/>
                                <w:sz w:val="18"/>
                                <w:szCs w:val="18"/>
                              </w:rPr>
                              <w:t>Accounting Policy</w:t>
                            </w:r>
                          </w:p>
                          <w:p w14:paraId="5B607616" w14:textId="77777777" w:rsidR="007478E1" w:rsidRPr="00FB5935" w:rsidRDefault="007478E1" w:rsidP="007478E1">
                            <w:pPr>
                              <w:spacing w:after="0"/>
                              <w:rPr>
                                <w:rFonts w:cs="Arial"/>
                                <w:b/>
                                <w:bCs/>
                                <w:sz w:val="18"/>
                                <w:szCs w:val="18"/>
                              </w:rPr>
                            </w:pPr>
                            <w:r w:rsidRPr="00FB5935">
                              <w:rPr>
                                <w:rFonts w:cs="Arial"/>
                                <w:b/>
                                <w:bCs/>
                                <w:sz w:val="18"/>
                                <w:szCs w:val="18"/>
                              </w:rPr>
                              <w:t xml:space="preserve">Revenue from government </w:t>
                            </w:r>
                          </w:p>
                          <w:p w14:paraId="1E9F1B5C" w14:textId="77777777" w:rsidR="007478E1" w:rsidRPr="00FB5935" w:rsidRDefault="007478E1" w:rsidP="007478E1">
                            <w:pPr>
                              <w:rPr>
                                <w:rFonts w:cs="Arial"/>
                                <w:sz w:val="18"/>
                                <w:szCs w:val="18"/>
                              </w:rPr>
                            </w:pPr>
                            <w:r w:rsidRPr="00FB5935">
                              <w:rPr>
                                <w:rFonts w:cs="Arial"/>
                                <w:sz w:val="18"/>
                                <w:szCs w:val="18"/>
                              </w:rPr>
                              <w:t>Funding received or receivable from non-corporate Commonwealth entities is recognised as Revenue from Government by IHACPA unless the funding is in the nature of an equity injection or a loan.</w:t>
                            </w:r>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6320"/>
            </w:tblGrid>
            <w:tr w:rsidR="007478E1" w:rsidRPr="00535CCB" w14:paraId="426F3176" w14:textId="77777777" w:rsidTr="00856101">
              <w:trPr>
                <w:trHeight w:val="1848"/>
                <w:tblCellSpacing w:w="0" w:type="dxa"/>
              </w:trPr>
              <w:tc>
                <w:tcPr>
                  <w:tcW w:w="6320" w:type="dxa"/>
                  <w:tcBorders>
                    <w:top w:val="nil"/>
                    <w:left w:val="nil"/>
                    <w:bottom w:val="nil"/>
                    <w:right w:val="nil"/>
                  </w:tcBorders>
                  <w:noWrap/>
                  <w:vAlign w:val="bottom"/>
                  <w:hideMark/>
                </w:tcPr>
                <w:p w14:paraId="4697A3AE" w14:textId="57230CF6" w:rsidR="007478E1" w:rsidRPr="00535CCB" w:rsidRDefault="007478E1" w:rsidP="00856101">
                  <w:pPr>
                    <w:spacing w:after="0" w:line="240" w:lineRule="auto"/>
                    <w:rPr>
                      <w:rFonts w:ascii="Calibri" w:eastAsia="Times New Roman" w:hAnsi="Calibri" w:cs="Calibri"/>
                      <w:color w:val="000000"/>
                      <w:lang w:eastAsia="en-AU"/>
                    </w:rPr>
                  </w:pPr>
                </w:p>
              </w:tc>
            </w:tr>
          </w:tbl>
          <w:p w14:paraId="3EC9613F" w14:textId="77777777" w:rsidR="007478E1" w:rsidRPr="00535CCB" w:rsidRDefault="007478E1" w:rsidP="00856101">
            <w:pPr>
              <w:spacing w:after="0" w:line="240" w:lineRule="auto"/>
              <w:rPr>
                <w:rFonts w:ascii="Calibri" w:eastAsia="Times New Roman" w:hAnsi="Calibri" w:cs="Calibri"/>
                <w:color w:val="000000"/>
                <w:lang w:eastAsia="en-AU"/>
              </w:rPr>
            </w:pPr>
          </w:p>
        </w:tc>
        <w:tc>
          <w:tcPr>
            <w:tcW w:w="1176" w:type="dxa"/>
            <w:gridSpan w:val="2"/>
            <w:tcBorders>
              <w:top w:val="nil"/>
              <w:left w:val="nil"/>
              <w:bottom w:val="nil"/>
              <w:right w:val="nil"/>
            </w:tcBorders>
            <w:noWrap/>
            <w:vAlign w:val="bottom"/>
            <w:hideMark/>
          </w:tcPr>
          <w:p w14:paraId="4EA47E82" w14:textId="7777777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c>
          <w:tcPr>
            <w:tcW w:w="1077" w:type="dxa"/>
            <w:gridSpan w:val="2"/>
            <w:tcBorders>
              <w:top w:val="nil"/>
              <w:left w:val="nil"/>
              <w:bottom w:val="nil"/>
              <w:right w:val="nil"/>
            </w:tcBorders>
            <w:noWrap/>
            <w:vAlign w:val="bottom"/>
            <w:hideMark/>
          </w:tcPr>
          <w:p w14:paraId="17962C27" w14:textId="77777777" w:rsidR="007478E1" w:rsidRPr="00535CCB" w:rsidRDefault="007478E1" w:rsidP="00856101">
            <w:pPr>
              <w:spacing w:after="0" w:line="240" w:lineRule="auto"/>
              <w:rPr>
                <w:rFonts w:ascii="Times New Roman" w:eastAsia="Times New Roman" w:hAnsi="Times New Roman" w:cs="Times New Roman"/>
                <w:color w:val="auto"/>
                <w:sz w:val="20"/>
                <w:szCs w:val="20"/>
                <w:lang w:eastAsia="en-AU"/>
              </w:rPr>
            </w:pPr>
          </w:p>
        </w:tc>
      </w:tr>
    </w:tbl>
    <w:p w14:paraId="43B5FBB6" w14:textId="77777777" w:rsidR="00377CCF" w:rsidRDefault="00377CCF" w:rsidP="00EB0D85">
      <w:pPr>
        <w:pStyle w:val="Sectionnumber"/>
        <w:jc w:val="left"/>
        <w:rPr>
          <w:rFonts w:ascii="Arial" w:hAnsi="Arial" w:cs="Arial"/>
          <w:color w:val="15272F" w:themeColor="text1"/>
        </w:rPr>
      </w:pPr>
    </w:p>
    <w:p w14:paraId="3B4FCBEC" w14:textId="77777777" w:rsidR="00EE5F25" w:rsidRDefault="00EE5F25" w:rsidP="00EE5F25">
      <w:pPr>
        <w:pStyle w:val="Heading1"/>
      </w:pPr>
      <w:bookmarkStart w:id="1015" w:name="_Toc235786180"/>
      <w:bookmarkStart w:id="1016" w:name="_Toc235787511"/>
      <w:bookmarkStart w:id="1017" w:name="_Toc235791649"/>
      <w:r>
        <w:lastRenderedPageBreak/>
        <w:t>Financial position</w:t>
      </w:r>
      <w:bookmarkEnd w:id="1015"/>
      <w:bookmarkEnd w:id="1016"/>
      <w:bookmarkEnd w:id="1017"/>
      <w:r>
        <w:t xml:space="preserve"> </w:t>
      </w:r>
    </w:p>
    <w:p w14:paraId="7F4EEF74" w14:textId="77777777" w:rsidR="00EE5F25" w:rsidRDefault="00EE5F25" w:rsidP="00EE5F25">
      <w:r>
        <w:t xml:space="preserve">This section analyses the IHACPA’s assets used to conduct its operations and the operating liabilities incurred as a result. Employee-related information is disclosed in the people and relationships section. </w:t>
      </w:r>
    </w:p>
    <w:tbl>
      <w:tblPr>
        <w:tblW w:w="8784" w:type="dxa"/>
        <w:tblLook w:val="04A0" w:firstRow="1" w:lastRow="0" w:firstColumn="1" w:lastColumn="0" w:noHBand="0" w:noVBand="1"/>
      </w:tblPr>
      <w:tblGrid>
        <w:gridCol w:w="5256"/>
        <w:gridCol w:w="1176"/>
        <w:gridCol w:w="1176"/>
        <w:gridCol w:w="1176"/>
      </w:tblGrid>
      <w:tr w:rsidR="00EE5F25" w:rsidRPr="001F7081" w14:paraId="46CDB6A6" w14:textId="77777777" w:rsidTr="00856101">
        <w:trPr>
          <w:trHeight w:val="300"/>
        </w:trPr>
        <w:tc>
          <w:tcPr>
            <w:tcW w:w="5256" w:type="dxa"/>
            <w:tcBorders>
              <w:top w:val="single" w:sz="4" w:space="0" w:color="FFFFFF"/>
              <w:left w:val="nil"/>
              <w:bottom w:val="single" w:sz="4" w:space="0" w:color="FFFFFF"/>
              <w:right w:val="nil"/>
            </w:tcBorders>
            <w:shd w:val="clear" w:color="000000" w:fill="37424A"/>
            <w:noWrap/>
            <w:vAlign w:val="center"/>
            <w:hideMark/>
          </w:tcPr>
          <w:p w14:paraId="1245235D" w14:textId="77777777" w:rsidR="00EE5F25" w:rsidRPr="001F7081" w:rsidRDefault="00EE5F25" w:rsidP="00856101">
            <w:pPr>
              <w:spacing w:after="0" w:line="240" w:lineRule="auto"/>
              <w:rPr>
                <w:rFonts w:ascii="Cambria" w:eastAsia="Times New Roman" w:hAnsi="Cambria" w:cs="Calibri"/>
                <w:b/>
                <w:bCs/>
                <w:color w:val="FFFFFF"/>
                <w:sz w:val="18"/>
                <w:szCs w:val="18"/>
                <w:lang w:eastAsia="en-AU"/>
              </w:rPr>
            </w:pPr>
            <w:r w:rsidRPr="001F7081">
              <w:rPr>
                <w:rFonts w:ascii="Cambria" w:eastAsia="Times New Roman" w:hAnsi="Cambria" w:cs="Calibri"/>
                <w:b/>
                <w:bCs/>
                <w:color w:val="FFFFFF"/>
                <w:sz w:val="18"/>
                <w:szCs w:val="18"/>
                <w:lang w:eastAsia="en-AU"/>
              </w:rPr>
              <w:t>Note 2.1 Financial assets</w:t>
            </w:r>
          </w:p>
        </w:tc>
        <w:tc>
          <w:tcPr>
            <w:tcW w:w="1176" w:type="dxa"/>
            <w:tcBorders>
              <w:top w:val="single" w:sz="4" w:space="0" w:color="FFFFFF"/>
              <w:left w:val="nil"/>
              <w:bottom w:val="single" w:sz="4" w:space="0" w:color="FFFFFF"/>
              <w:right w:val="nil"/>
            </w:tcBorders>
            <w:shd w:val="clear" w:color="000000" w:fill="37424A"/>
            <w:noWrap/>
            <w:vAlign w:val="center"/>
            <w:hideMark/>
          </w:tcPr>
          <w:p w14:paraId="016A61C2" w14:textId="77777777" w:rsidR="00EE5F25" w:rsidRPr="001F7081" w:rsidRDefault="00EE5F25" w:rsidP="00856101">
            <w:pPr>
              <w:spacing w:after="0" w:line="240" w:lineRule="auto"/>
              <w:rPr>
                <w:rFonts w:ascii="Cambria" w:eastAsia="Times New Roman" w:hAnsi="Cambria" w:cs="Calibri"/>
                <w:b/>
                <w:bCs/>
                <w:color w:val="FFFFFF"/>
                <w:sz w:val="18"/>
                <w:szCs w:val="18"/>
                <w:lang w:eastAsia="en-AU"/>
              </w:rPr>
            </w:pPr>
            <w:r w:rsidRPr="001F7081">
              <w:rPr>
                <w:rFonts w:ascii="Cambria" w:eastAsia="Times New Roman" w:hAnsi="Cambria" w:cs="Calibri"/>
                <w:b/>
                <w:bCs/>
                <w:color w:val="FFFFFF"/>
                <w:sz w:val="18"/>
                <w:szCs w:val="18"/>
                <w:lang w:eastAsia="en-AU"/>
              </w:rPr>
              <w:t> </w:t>
            </w:r>
          </w:p>
        </w:tc>
        <w:tc>
          <w:tcPr>
            <w:tcW w:w="1176" w:type="dxa"/>
            <w:tcBorders>
              <w:top w:val="single" w:sz="4" w:space="0" w:color="FFFFFF"/>
              <w:left w:val="nil"/>
              <w:bottom w:val="single" w:sz="4" w:space="0" w:color="FFFFFF"/>
              <w:right w:val="nil"/>
            </w:tcBorders>
            <w:shd w:val="clear" w:color="000000" w:fill="37424A"/>
            <w:noWrap/>
            <w:vAlign w:val="center"/>
            <w:hideMark/>
          </w:tcPr>
          <w:p w14:paraId="69350114" w14:textId="77777777" w:rsidR="00EE5F25" w:rsidRPr="001F7081" w:rsidRDefault="00EE5F25" w:rsidP="00856101">
            <w:pPr>
              <w:spacing w:after="0" w:line="240" w:lineRule="auto"/>
              <w:rPr>
                <w:rFonts w:ascii="Cambria" w:eastAsia="Times New Roman" w:hAnsi="Cambria" w:cs="Calibri"/>
                <w:b/>
                <w:bCs/>
                <w:color w:val="FFFFFF"/>
                <w:sz w:val="18"/>
                <w:szCs w:val="18"/>
                <w:lang w:eastAsia="en-AU"/>
              </w:rPr>
            </w:pPr>
            <w:r w:rsidRPr="001F7081">
              <w:rPr>
                <w:rFonts w:ascii="Cambria" w:eastAsia="Times New Roman" w:hAnsi="Cambria" w:cs="Calibri"/>
                <w:b/>
                <w:bCs/>
                <w:color w:val="FFFFFF"/>
                <w:sz w:val="18"/>
                <w:szCs w:val="18"/>
                <w:lang w:eastAsia="en-AU"/>
              </w:rPr>
              <w:t> </w:t>
            </w:r>
          </w:p>
        </w:tc>
        <w:tc>
          <w:tcPr>
            <w:tcW w:w="1176" w:type="dxa"/>
            <w:tcBorders>
              <w:top w:val="single" w:sz="4" w:space="0" w:color="FFFFFF"/>
              <w:left w:val="nil"/>
              <w:bottom w:val="single" w:sz="4" w:space="0" w:color="FFFFFF"/>
              <w:right w:val="nil"/>
            </w:tcBorders>
            <w:shd w:val="clear" w:color="000000" w:fill="37424A"/>
            <w:noWrap/>
            <w:vAlign w:val="center"/>
            <w:hideMark/>
          </w:tcPr>
          <w:p w14:paraId="31773F8C" w14:textId="77777777" w:rsidR="00EE5F25" w:rsidRPr="001F7081" w:rsidRDefault="00EE5F25" w:rsidP="00856101">
            <w:pPr>
              <w:spacing w:after="0" w:line="240" w:lineRule="auto"/>
              <w:rPr>
                <w:rFonts w:ascii="Cambria" w:eastAsia="Times New Roman" w:hAnsi="Cambria" w:cs="Calibri"/>
                <w:b/>
                <w:bCs/>
                <w:color w:val="FFFFFF"/>
                <w:sz w:val="18"/>
                <w:szCs w:val="18"/>
                <w:lang w:eastAsia="en-AU"/>
              </w:rPr>
            </w:pPr>
            <w:r w:rsidRPr="001F7081">
              <w:rPr>
                <w:rFonts w:ascii="Cambria" w:eastAsia="Times New Roman" w:hAnsi="Cambria" w:cs="Calibri"/>
                <w:b/>
                <w:bCs/>
                <w:color w:val="FFFFFF"/>
                <w:sz w:val="18"/>
                <w:szCs w:val="18"/>
                <w:lang w:eastAsia="en-AU"/>
              </w:rPr>
              <w:t> </w:t>
            </w:r>
          </w:p>
        </w:tc>
      </w:tr>
      <w:tr w:rsidR="00EE5F25" w:rsidRPr="001F7081" w14:paraId="55C8D107" w14:textId="77777777" w:rsidTr="00856101">
        <w:trPr>
          <w:trHeight w:val="132"/>
        </w:trPr>
        <w:tc>
          <w:tcPr>
            <w:tcW w:w="5256" w:type="dxa"/>
            <w:tcBorders>
              <w:top w:val="nil"/>
              <w:left w:val="nil"/>
              <w:bottom w:val="nil"/>
              <w:right w:val="nil"/>
            </w:tcBorders>
            <w:hideMark/>
          </w:tcPr>
          <w:p w14:paraId="5CE4E182" w14:textId="77777777" w:rsidR="00EE5F25" w:rsidRPr="001F7081" w:rsidRDefault="00EE5F25" w:rsidP="00856101">
            <w:pPr>
              <w:spacing w:after="0" w:line="240" w:lineRule="auto"/>
              <w:rPr>
                <w:rFonts w:ascii="Cambria" w:eastAsia="Times New Roman" w:hAnsi="Cambria" w:cs="Calibri"/>
                <w:b/>
                <w:bCs/>
                <w:color w:val="FFFFFF"/>
                <w:sz w:val="18"/>
                <w:szCs w:val="18"/>
                <w:lang w:eastAsia="en-AU"/>
              </w:rPr>
            </w:pPr>
          </w:p>
        </w:tc>
        <w:tc>
          <w:tcPr>
            <w:tcW w:w="1176" w:type="dxa"/>
            <w:tcBorders>
              <w:top w:val="nil"/>
              <w:left w:val="nil"/>
              <w:bottom w:val="nil"/>
              <w:right w:val="nil"/>
            </w:tcBorders>
            <w:hideMark/>
          </w:tcPr>
          <w:p w14:paraId="53AC24F2"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E124743"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E4485AB"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1F7081" w14:paraId="0EDBAE2C" w14:textId="77777777" w:rsidTr="00856101">
        <w:trPr>
          <w:trHeight w:val="255"/>
        </w:trPr>
        <w:tc>
          <w:tcPr>
            <w:tcW w:w="5256" w:type="dxa"/>
            <w:tcBorders>
              <w:top w:val="nil"/>
              <w:left w:val="nil"/>
              <w:bottom w:val="nil"/>
              <w:right w:val="nil"/>
            </w:tcBorders>
            <w:hideMark/>
          </w:tcPr>
          <w:p w14:paraId="1407E691"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hideMark/>
          </w:tcPr>
          <w:p w14:paraId="0E25072B"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vAlign w:val="bottom"/>
            <w:hideMark/>
          </w:tcPr>
          <w:p w14:paraId="3D90C2D4"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2026</w:t>
            </w:r>
          </w:p>
        </w:tc>
        <w:tc>
          <w:tcPr>
            <w:tcW w:w="1176" w:type="dxa"/>
            <w:tcBorders>
              <w:top w:val="nil"/>
              <w:left w:val="nil"/>
              <w:bottom w:val="nil"/>
              <w:right w:val="nil"/>
            </w:tcBorders>
            <w:vAlign w:val="bottom"/>
            <w:hideMark/>
          </w:tcPr>
          <w:p w14:paraId="758F206B"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2025</w:t>
            </w:r>
          </w:p>
        </w:tc>
      </w:tr>
      <w:tr w:rsidR="00EE5F25" w:rsidRPr="001F7081" w14:paraId="6E98EC78" w14:textId="77777777" w:rsidTr="00856101">
        <w:trPr>
          <w:trHeight w:val="255"/>
        </w:trPr>
        <w:tc>
          <w:tcPr>
            <w:tcW w:w="5256" w:type="dxa"/>
            <w:tcBorders>
              <w:top w:val="nil"/>
              <w:left w:val="nil"/>
              <w:bottom w:val="single" w:sz="8" w:space="0" w:color="009560"/>
              <w:right w:val="nil"/>
            </w:tcBorders>
            <w:hideMark/>
          </w:tcPr>
          <w:p w14:paraId="1CB586DC"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w:t>
            </w:r>
          </w:p>
        </w:tc>
        <w:tc>
          <w:tcPr>
            <w:tcW w:w="1176" w:type="dxa"/>
            <w:tcBorders>
              <w:top w:val="nil"/>
              <w:left w:val="nil"/>
              <w:bottom w:val="single" w:sz="8" w:space="0" w:color="009560"/>
              <w:right w:val="nil"/>
            </w:tcBorders>
            <w:hideMark/>
          </w:tcPr>
          <w:p w14:paraId="7B035439"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w:t>
            </w:r>
          </w:p>
        </w:tc>
        <w:tc>
          <w:tcPr>
            <w:tcW w:w="1176" w:type="dxa"/>
            <w:tcBorders>
              <w:top w:val="nil"/>
              <w:left w:val="nil"/>
              <w:bottom w:val="single" w:sz="8" w:space="0" w:color="009560"/>
              <w:right w:val="nil"/>
            </w:tcBorders>
            <w:hideMark/>
          </w:tcPr>
          <w:p w14:paraId="49C318A6"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$’000</w:t>
            </w:r>
          </w:p>
        </w:tc>
        <w:tc>
          <w:tcPr>
            <w:tcW w:w="1176" w:type="dxa"/>
            <w:tcBorders>
              <w:top w:val="nil"/>
              <w:left w:val="nil"/>
              <w:bottom w:val="single" w:sz="8" w:space="0" w:color="009560"/>
              <w:right w:val="nil"/>
            </w:tcBorders>
            <w:hideMark/>
          </w:tcPr>
          <w:p w14:paraId="5C958194"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$’000</w:t>
            </w:r>
          </w:p>
        </w:tc>
      </w:tr>
      <w:tr w:rsidR="00EE5F25" w:rsidRPr="001F7081" w14:paraId="68A797EB" w14:textId="77777777" w:rsidTr="00856101">
        <w:trPr>
          <w:trHeight w:val="180"/>
        </w:trPr>
        <w:tc>
          <w:tcPr>
            <w:tcW w:w="5256" w:type="dxa"/>
            <w:tcBorders>
              <w:top w:val="nil"/>
              <w:left w:val="nil"/>
              <w:bottom w:val="nil"/>
              <w:right w:val="nil"/>
            </w:tcBorders>
            <w:hideMark/>
          </w:tcPr>
          <w:p w14:paraId="7BB4B266"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p>
        </w:tc>
        <w:tc>
          <w:tcPr>
            <w:tcW w:w="1176" w:type="dxa"/>
            <w:tcBorders>
              <w:top w:val="nil"/>
              <w:left w:val="nil"/>
              <w:bottom w:val="nil"/>
              <w:right w:val="nil"/>
            </w:tcBorders>
            <w:hideMark/>
          </w:tcPr>
          <w:p w14:paraId="5E2CE82B"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hideMark/>
          </w:tcPr>
          <w:p w14:paraId="7BD38FDC"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hideMark/>
          </w:tcPr>
          <w:p w14:paraId="7E42EDBE" w14:textId="77777777" w:rsidR="00EE5F25" w:rsidRPr="001F7081"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1F7081" w14:paraId="7402DD24" w14:textId="77777777" w:rsidTr="00856101">
        <w:trPr>
          <w:trHeight w:val="240"/>
        </w:trPr>
        <w:tc>
          <w:tcPr>
            <w:tcW w:w="5256" w:type="dxa"/>
            <w:tcBorders>
              <w:top w:val="nil"/>
              <w:left w:val="nil"/>
              <w:bottom w:val="nil"/>
              <w:right w:val="nil"/>
            </w:tcBorders>
            <w:hideMark/>
          </w:tcPr>
          <w:p w14:paraId="007C02FE" w14:textId="77777777" w:rsidR="00EE5F25" w:rsidRPr="001F7081" w:rsidRDefault="00EE5F25" w:rsidP="00856101">
            <w:pPr>
              <w:spacing w:after="0" w:line="240" w:lineRule="auto"/>
              <w:rPr>
                <w:rFonts w:ascii="Cambria" w:eastAsia="Times New Roman" w:hAnsi="Cambria" w:cs="Calibri"/>
                <w:b/>
                <w:bCs/>
                <w:color w:val="auto"/>
                <w:sz w:val="18"/>
                <w:szCs w:val="18"/>
                <w:u w:val="single"/>
                <w:lang w:eastAsia="en-AU"/>
              </w:rPr>
            </w:pPr>
            <w:r w:rsidRPr="001F7081">
              <w:rPr>
                <w:rFonts w:ascii="Cambria" w:eastAsia="Times New Roman" w:hAnsi="Cambria" w:cs="Calibri"/>
                <w:b/>
                <w:bCs/>
                <w:color w:val="auto"/>
                <w:sz w:val="18"/>
                <w:szCs w:val="18"/>
                <w:u w:val="single"/>
                <w:lang w:eastAsia="en-AU"/>
              </w:rPr>
              <w:t>Note 2.1A: Cash and cash equivalents</w:t>
            </w:r>
          </w:p>
        </w:tc>
        <w:tc>
          <w:tcPr>
            <w:tcW w:w="1176" w:type="dxa"/>
            <w:tcBorders>
              <w:top w:val="nil"/>
              <w:left w:val="nil"/>
              <w:bottom w:val="nil"/>
              <w:right w:val="nil"/>
            </w:tcBorders>
            <w:hideMark/>
          </w:tcPr>
          <w:p w14:paraId="308B7DFA" w14:textId="77777777" w:rsidR="00EE5F25" w:rsidRPr="001F7081" w:rsidRDefault="00EE5F25" w:rsidP="00856101">
            <w:pPr>
              <w:spacing w:after="0" w:line="240" w:lineRule="auto"/>
              <w:rPr>
                <w:rFonts w:ascii="Cambria" w:eastAsia="Times New Roman" w:hAnsi="Cambria" w:cs="Calibri"/>
                <w:b/>
                <w:bCs/>
                <w:color w:val="auto"/>
                <w:sz w:val="18"/>
                <w:szCs w:val="18"/>
                <w:u w:val="single"/>
                <w:lang w:eastAsia="en-AU"/>
              </w:rPr>
            </w:pPr>
          </w:p>
        </w:tc>
        <w:tc>
          <w:tcPr>
            <w:tcW w:w="1176" w:type="dxa"/>
            <w:tcBorders>
              <w:top w:val="nil"/>
              <w:left w:val="nil"/>
              <w:bottom w:val="nil"/>
              <w:right w:val="nil"/>
            </w:tcBorders>
            <w:hideMark/>
          </w:tcPr>
          <w:p w14:paraId="726CA008"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hideMark/>
          </w:tcPr>
          <w:p w14:paraId="4C4451CC" w14:textId="77777777" w:rsidR="00EE5F25" w:rsidRPr="001F7081"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1F7081" w14:paraId="60728522" w14:textId="77777777" w:rsidTr="00856101">
        <w:trPr>
          <w:trHeight w:val="240"/>
        </w:trPr>
        <w:tc>
          <w:tcPr>
            <w:tcW w:w="5256" w:type="dxa"/>
            <w:tcBorders>
              <w:top w:val="nil"/>
              <w:left w:val="nil"/>
              <w:bottom w:val="nil"/>
              <w:right w:val="nil"/>
            </w:tcBorders>
            <w:shd w:val="clear" w:color="000000" w:fill="FFFFFF"/>
            <w:hideMark/>
          </w:tcPr>
          <w:p w14:paraId="2CEAACB5"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Cash on deposit</w:t>
            </w:r>
          </w:p>
        </w:tc>
        <w:tc>
          <w:tcPr>
            <w:tcW w:w="1176" w:type="dxa"/>
            <w:tcBorders>
              <w:top w:val="nil"/>
              <w:left w:val="nil"/>
              <w:bottom w:val="nil"/>
              <w:right w:val="nil"/>
            </w:tcBorders>
            <w:shd w:val="clear" w:color="000000" w:fill="FFFFFF"/>
            <w:hideMark/>
          </w:tcPr>
          <w:p w14:paraId="41F074B2"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40B99B71"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xml:space="preserve">94,415 </w:t>
            </w:r>
          </w:p>
        </w:tc>
        <w:tc>
          <w:tcPr>
            <w:tcW w:w="1176" w:type="dxa"/>
            <w:tcBorders>
              <w:top w:val="nil"/>
              <w:left w:val="nil"/>
              <w:bottom w:val="nil"/>
              <w:right w:val="nil"/>
            </w:tcBorders>
            <w:shd w:val="clear" w:color="000000" w:fill="FFFFFF"/>
            <w:noWrap/>
            <w:vAlign w:val="bottom"/>
            <w:hideMark/>
          </w:tcPr>
          <w:p w14:paraId="2B8D2288"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xml:space="preserve">74,160 </w:t>
            </w:r>
          </w:p>
        </w:tc>
      </w:tr>
      <w:tr w:rsidR="00EE5F25" w:rsidRPr="001F7081" w14:paraId="6EFA3371" w14:textId="77777777" w:rsidTr="00856101">
        <w:trPr>
          <w:trHeight w:val="240"/>
        </w:trPr>
        <w:tc>
          <w:tcPr>
            <w:tcW w:w="5256" w:type="dxa"/>
            <w:tcBorders>
              <w:top w:val="nil"/>
              <w:left w:val="nil"/>
              <w:bottom w:val="nil"/>
              <w:right w:val="nil"/>
            </w:tcBorders>
            <w:shd w:val="clear" w:color="000000" w:fill="FFFFFF"/>
            <w:hideMark/>
          </w:tcPr>
          <w:p w14:paraId="246A5F5E" w14:textId="77777777" w:rsidR="00EE5F25" w:rsidRPr="001F7081" w:rsidRDefault="00EE5F25" w:rsidP="00856101">
            <w:pPr>
              <w:spacing w:after="0" w:line="240" w:lineRule="auto"/>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Total cash and cash equivalents</w:t>
            </w:r>
          </w:p>
        </w:tc>
        <w:tc>
          <w:tcPr>
            <w:tcW w:w="1176" w:type="dxa"/>
            <w:tcBorders>
              <w:top w:val="nil"/>
              <w:left w:val="nil"/>
              <w:bottom w:val="nil"/>
              <w:right w:val="nil"/>
            </w:tcBorders>
            <w:shd w:val="clear" w:color="000000" w:fill="FFFFFF"/>
            <w:hideMark/>
          </w:tcPr>
          <w:p w14:paraId="1FD94FD9" w14:textId="77777777" w:rsidR="00EE5F25" w:rsidRPr="001F7081" w:rsidRDefault="00EE5F25" w:rsidP="00856101">
            <w:pPr>
              <w:spacing w:after="0" w:line="240" w:lineRule="auto"/>
              <w:rPr>
                <w:rFonts w:ascii="Cambria" w:eastAsia="Times New Roman" w:hAnsi="Cambria" w:cs="Calibri"/>
                <w:b/>
                <w:bCs/>
                <w:i/>
                <w:iCs/>
                <w:color w:val="auto"/>
                <w:sz w:val="18"/>
                <w:szCs w:val="18"/>
                <w:lang w:eastAsia="en-AU"/>
              </w:rPr>
            </w:pPr>
            <w:r w:rsidRPr="001F7081">
              <w:rPr>
                <w:rFonts w:ascii="Cambria" w:eastAsia="Times New Roman" w:hAnsi="Cambria" w:cs="Calibri"/>
                <w:b/>
                <w:bCs/>
                <w:i/>
                <w:iCs/>
                <w:color w:val="auto"/>
                <w:sz w:val="18"/>
                <w:szCs w:val="18"/>
                <w:lang w:eastAsia="en-AU"/>
              </w:rPr>
              <w:t> </w:t>
            </w:r>
          </w:p>
        </w:tc>
        <w:tc>
          <w:tcPr>
            <w:tcW w:w="1176" w:type="dxa"/>
            <w:tcBorders>
              <w:top w:val="single" w:sz="4" w:space="0" w:color="auto"/>
              <w:left w:val="nil"/>
              <w:bottom w:val="single" w:sz="4" w:space="0" w:color="auto"/>
              <w:right w:val="nil"/>
            </w:tcBorders>
            <w:shd w:val="clear" w:color="000000" w:fill="FFFFFF"/>
            <w:noWrap/>
            <w:vAlign w:val="bottom"/>
            <w:hideMark/>
          </w:tcPr>
          <w:p w14:paraId="6ED9023C"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xml:space="preserve">94,415 </w:t>
            </w:r>
          </w:p>
        </w:tc>
        <w:tc>
          <w:tcPr>
            <w:tcW w:w="1176" w:type="dxa"/>
            <w:tcBorders>
              <w:top w:val="single" w:sz="4" w:space="0" w:color="auto"/>
              <w:left w:val="nil"/>
              <w:bottom w:val="single" w:sz="4" w:space="0" w:color="auto"/>
              <w:right w:val="nil"/>
            </w:tcBorders>
            <w:shd w:val="clear" w:color="000000" w:fill="FFFFFF"/>
            <w:noWrap/>
            <w:vAlign w:val="bottom"/>
            <w:hideMark/>
          </w:tcPr>
          <w:p w14:paraId="16379FCD"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xml:space="preserve">74,160 </w:t>
            </w:r>
          </w:p>
        </w:tc>
      </w:tr>
      <w:tr w:rsidR="00EE5F25" w:rsidRPr="001F7081" w14:paraId="3C6C8F4C" w14:textId="77777777" w:rsidTr="00856101">
        <w:trPr>
          <w:trHeight w:val="255"/>
        </w:trPr>
        <w:tc>
          <w:tcPr>
            <w:tcW w:w="5256" w:type="dxa"/>
            <w:tcBorders>
              <w:top w:val="nil"/>
              <w:left w:val="nil"/>
              <w:bottom w:val="nil"/>
              <w:right w:val="nil"/>
            </w:tcBorders>
            <w:noWrap/>
            <w:vAlign w:val="bottom"/>
            <w:hideMark/>
          </w:tcPr>
          <w:p w14:paraId="0F946A31" w14:textId="77777777" w:rsidR="00EE5F25" w:rsidRPr="001F7081" w:rsidRDefault="00EE5F25" w:rsidP="00856101">
            <w:pPr>
              <w:spacing w:after="0" w:line="240" w:lineRule="auto"/>
              <w:rPr>
                <w:rFonts w:ascii="Calibri" w:eastAsia="Times New Roman" w:hAnsi="Calibri" w:cs="Calibri"/>
                <w:color w:val="000000"/>
                <w:lang w:eastAsia="en-AU"/>
              </w:rPr>
            </w:pPr>
            <w:r w:rsidRPr="001F7081">
              <w:rPr>
                <w:rFonts w:ascii="Calibri" w:eastAsia="Times New Roman" w:hAnsi="Calibri" w:cs="Calibri"/>
                <w:noProof/>
                <w:color w:val="000000"/>
                <w:lang w:eastAsia="en-AU"/>
              </w:rPr>
              <mc:AlternateContent>
                <mc:Choice Requires="wps">
                  <w:drawing>
                    <wp:anchor distT="0" distB="0" distL="114300" distR="114300" simplePos="0" relativeHeight="251696128" behindDoc="0" locked="0" layoutInCell="1" allowOverlap="1" wp14:anchorId="10E0A789" wp14:editId="755D1106">
                      <wp:simplePos x="0" y="0"/>
                      <wp:positionH relativeFrom="column">
                        <wp:posOffset>14605</wp:posOffset>
                      </wp:positionH>
                      <wp:positionV relativeFrom="paragraph">
                        <wp:posOffset>50800</wp:posOffset>
                      </wp:positionV>
                      <wp:extent cx="5463540" cy="1151890"/>
                      <wp:effectExtent l="0" t="0" r="22860" b="10160"/>
                      <wp:wrapNone/>
                      <wp:docPr id="109102316" name="Text Box 62">
                        <a:extLst xmlns:a="http://schemas.openxmlformats.org/drawingml/2006/main">
                          <a:ext uri="{FF2B5EF4-FFF2-40B4-BE49-F238E27FC236}">
                            <a16:creationId xmlns:a16="http://schemas.microsoft.com/office/drawing/2014/main" id="{00000000-0008-0000-0C00-000002000000}"/>
                          </a:ext>
                        </a:extLst>
                      </wp:docPr>
                      <wp:cNvGraphicFramePr/>
                      <a:graphic xmlns:a="http://schemas.openxmlformats.org/drawingml/2006/main">
                        <a:graphicData uri="http://schemas.microsoft.com/office/word/2010/wordprocessingShape">
                          <wps:wsp>
                            <wps:cNvSpPr txBox="1"/>
                            <wps:spPr>
                              <a:xfrm>
                                <a:off x="0" y="0"/>
                                <a:ext cx="5463540" cy="1151890"/>
                              </a:xfrm>
                              <a:prstGeom prst="rect">
                                <a:avLst/>
                              </a:prstGeom>
                              <a:noFill/>
                              <a:ln w="12700" cap="flat" cmpd="sng" algn="ctr">
                                <a:solidFill>
                                  <a:srgbClr val="009560"/>
                                </a:solidFill>
                                <a:prstDash val="solid"/>
                                <a:round/>
                                <a:headEnd type="none" w="med" len="med"/>
                                <a:tailEnd type="none" w="med" len="med"/>
                              </a:ln>
                              <a:effectLst/>
                            </wps:spPr>
                            <wps:txbx>
                              <w:txbxContent>
                                <w:p w14:paraId="7013DCD6" w14:textId="77777777" w:rsidR="00EE5F25" w:rsidRPr="001F7081" w:rsidRDefault="00EE5F25" w:rsidP="00EE5F25">
                                  <w:pPr>
                                    <w:spacing w:after="0"/>
                                    <w:rPr>
                                      <w:rFonts w:cs="Arial"/>
                                      <w:b/>
                                      <w:bCs/>
                                      <w:color w:val="15272F" w:themeColor="dark1"/>
                                      <w:sz w:val="18"/>
                                      <w:szCs w:val="18"/>
                                    </w:rPr>
                                  </w:pPr>
                                  <w:r w:rsidRPr="001F7081">
                                    <w:rPr>
                                      <w:rFonts w:cs="Arial"/>
                                      <w:b/>
                                      <w:bCs/>
                                      <w:color w:val="15272F" w:themeColor="dark1"/>
                                      <w:sz w:val="18"/>
                                      <w:szCs w:val="18"/>
                                    </w:rPr>
                                    <w:t>Accounting Policy</w:t>
                                  </w:r>
                                </w:p>
                                <w:p w14:paraId="450BE6A4" w14:textId="77777777" w:rsidR="00EE5F25" w:rsidRPr="001F7081" w:rsidRDefault="00EE5F25" w:rsidP="00EE5F25">
                                  <w:pPr>
                                    <w:spacing w:after="0"/>
                                    <w:rPr>
                                      <w:rFonts w:cs="Arial"/>
                                      <w:b/>
                                      <w:bCs/>
                                      <w:color w:val="15272F" w:themeColor="dark1"/>
                                      <w:sz w:val="18"/>
                                      <w:szCs w:val="18"/>
                                    </w:rPr>
                                  </w:pPr>
                                  <w:r w:rsidRPr="001F7081">
                                    <w:rPr>
                                      <w:rFonts w:cs="Arial"/>
                                      <w:b/>
                                      <w:bCs/>
                                      <w:color w:val="15272F" w:themeColor="dark1"/>
                                      <w:sz w:val="18"/>
                                      <w:szCs w:val="18"/>
                                    </w:rPr>
                                    <w:t>Cash and cash equivalents</w:t>
                                  </w:r>
                                </w:p>
                                <w:p w14:paraId="749C06CE" w14:textId="77777777" w:rsidR="00EE5F25" w:rsidRPr="001F7081" w:rsidRDefault="00EE5F25" w:rsidP="00EE5F25">
                                  <w:pPr>
                                    <w:spacing w:after="0"/>
                                    <w:rPr>
                                      <w:rFonts w:cs="Arial"/>
                                      <w:color w:val="15272F" w:themeColor="dark1"/>
                                      <w:sz w:val="18"/>
                                      <w:szCs w:val="18"/>
                                    </w:rPr>
                                  </w:pPr>
                                  <w:r w:rsidRPr="001F7081">
                                    <w:rPr>
                                      <w:rFonts w:cs="Arial"/>
                                      <w:color w:val="15272F" w:themeColor="dark1"/>
                                      <w:sz w:val="18"/>
                                      <w:szCs w:val="18"/>
                                    </w:rPr>
                                    <w:t xml:space="preserve">Cash is recognised at its nominal amount. Cash and cash equivalents includes:  </w:t>
                                  </w:r>
                                </w:p>
                                <w:p w14:paraId="20BDF5E3" w14:textId="77777777" w:rsidR="00EE5F25" w:rsidRPr="001F7081" w:rsidRDefault="00EE5F25" w:rsidP="00EE5F25">
                                  <w:pPr>
                                    <w:spacing w:after="0"/>
                                    <w:rPr>
                                      <w:rFonts w:cs="Arial"/>
                                      <w:color w:val="15272F" w:themeColor="dark1"/>
                                      <w:sz w:val="18"/>
                                      <w:szCs w:val="18"/>
                                    </w:rPr>
                                  </w:pPr>
                                  <w:r w:rsidRPr="001F7081">
                                    <w:rPr>
                                      <w:rFonts w:cs="Arial"/>
                                      <w:color w:val="15272F" w:themeColor="dark1"/>
                                      <w:sz w:val="18"/>
                                      <w:szCs w:val="18"/>
                                    </w:rPr>
                                    <w:t>a) cash on hand, and</w:t>
                                  </w:r>
                                </w:p>
                                <w:p w14:paraId="328ED26B" w14:textId="77777777" w:rsidR="00EE5F25" w:rsidRPr="001F7081" w:rsidRDefault="00EE5F25" w:rsidP="00EE5F25">
                                  <w:pPr>
                                    <w:spacing w:after="0"/>
                                    <w:rPr>
                                      <w:rFonts w:cs="Arial"/>
                                      <w:color w:val="15272F" w:themeColor="dark1"/>
                                      <w:sz w:val="18"/>
                                      <w:szCs w:val="18"/>
                                    </w:rPr>
                                  </w:pPr>
                                  <w:r w:rsidRPr="001F7081">
                                    <w:rPr>
                                      <w:rFonts w:cs="Arial"/>
                                      <w:color w:val="15272F" w:themeColor="dark1"/>
                                      <w:sz w:val="18"/>
                                      <w:szCs w:val="18"/>
                                    </w:rPr>
                                    <w:t>b) demand deposits in bank accounts with an original maturity of three months or less that are readily convertible to known amounts of cash and subject to insignificant risk of changes in value.</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10E0A789" id="Text Box 62" o:spid="_x0000_s1035" type="#_x0000_t202" style="position:absolute;margin-left:1.15pt;margin-top:4pt;width:430.2pt;height:90.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" filled="f" strokecolor="#009560" strokeweight="1pt">
                      <v:stroke joinstyle="round"/>
                      <v:textbox>
                        <w:txbxContent>
                          <w:p w14:paraId="7013DCD6" w14:textId="77777777" w:rsidR="00EE5F25" w:rsidRPr="001F7081" w:rsidRDefault="00EE5F25" w:rsidP="00EE5F25">
                            <w:pPr>
                              <w:spacing w:after="0"/>
                              <w:rPr>
                                <w:rFonts w:cs="Arial"/>
                                <w:b/>
                                <w:bCs/>
                                <w:color w:val="15272F" w:themeColor="dark1"/>
                                <w:sz w:val="18"/>
                                <w:szCs w:val="18"/>
                              </w:rPr>
                            </w:pPr>
                            <w:r w:rsidRPr="001F7081">
                              <w:rPr>
                                <w:rFonts w:cs="Arial"/>
                                <w:b/>
                                <w:bCs/>
                                <w:color w:val="15272F" w:themeColor="dark1"/>
                                <w:sz w:val="18"/>
                                <w:szCs w:val="18"/>
                              </w:rPr>
                              <w:t>Accounting Policy</w:t>
                            </w:r>
                          </w:p>
                          <w:p w14:paraId="450BE6A4" w14:textId="77777777" w:rsidR="00EE5F25" w:rsidRPr="001F7081" w:rsidRDefault="00EE5F25" w:rsidP="00EE5F25">
                            <w:pPr>
                              <w:spacing w:after="0"/>
                              <w:rPr>
                                <w:rFonts w:cs="Arial"/>
                                <w:b/>
                                <w:bCs/>
                                <w:color w:val="15272F" w:themeColor="dark1"/>
                                <w:sz w:val="18"/>
                                <w:szCs w:val="18"/>
                              </w:rPr>
                            </w:pPr>
                            <w:r w:rsidRPr="001F7081">
                              <w:rPr>
                                <w:rFonts w:cs="Arial"/>
                                <w:b/>
                                <w:bCs/>
                                <w:color w:val="15272F" w:themeColor="dark1"/>
                                <w:sz w:val="18"/>
                                <w:szCs w:val="18"/>
                              </w:rPr>
                              <w:t>Cash and cash equivalents</w:t>
                            </w:r>
                          </w:p>
                          <w:p w14:paraId="749C06CE" w14:textId="77777777" w:rsidR="00EE5F25" w:rsidRPr="001F7081" w:rsidRDefault="00EE5F25" w:rsidP="00EE5F25">
                            <w:pPr>
                              <w:spacing w:after="0"/>
                              <w:rPr>
                                <w:rFonts w:cs="Arial"/>
                                <w:color w:val="15272F" w:themeColor="dark1"/>
                                <w:sz w:val="18"/>
                                <w:szCs w:val="18"/>
                              </w:rPr>
                            </w:pPr>
                            <w:r w:rsidRPr="001F7081">
                              <w:rPr>
                                <w:rFonts w:cs="Arial"/>
                                <w:color w:val="15272F" w:themeColor="dark1"/>
                                <w:sz w:val="18"/>
                                <w:szCs w:val="18"/>
                              </w:rPr>
                              <w:t xml:space="preserve">Cash is recognised at its nominal amount. Cash and cash equivalents includes:  </w:t>
                            </w:r>
                          </w:p>
                          <w:p w14:paraId="20BDF5E3" w14:textId="77777777" w:rsidR="00EE5F25" w:rsidRPr="001F7081" w:rsidRDefault="00EE5F25" w:rsidP="00EE5F25">
                            <w:pPr>
                              <w:spacing w:after="0"/>
                              <w:rPr>
                                <w:rFonts w:cs="Arial"/>
                                <w:color w:val="15272F" w:themeColor="dark1"/>
                                <w:sz w:val="18"/>
                                <w:szCs w:val="18"/>
                              </w:rPr>
                            </w:pPr>
                            <w:r w:rsidRPr="001F7081">
                              <w:rPr>
                                <w:rFonts w:cs="Arial"/>
                                <w:color w:val="15272F" w:themeColor="dark1"/>
                                <w:sz w:val="18"/>
                                <w:szCs w:val="18"/>
                              </w:rPr>
                              <w:t>a) cash on hand, and</w:t>
                            </w:r>
                          </w:p>
                          <w:p w14:paraId="328ED26B" w14:textId="77777777" w:rsidR="00EE5F25" w:rsidRPr="001F7081" w:rsidRDefault="00EE5F25" w:rsidP="00EE5F25">
                            <w:pPr>
                              <w:spacing w:after="0"/>
                              <w:rPr>
                                <w:rFonts w:cs="Arial"/>
                                <w:color w:val="15272F" w:themeColor="dark1"/>
                                <w:sz w:val="18"/>
                                <w:szCs w:val="18"/>
                              </w:rPr>
                            </w:pPr>
                            <w:r w:rsidRPr="001F7081">
                              <w:rPr>
                                <w:rFonts w:cs="Arial"/>
                                <w:color w:val="15272F" w:themeColor="dark1"/>
                                <w:sz w:val="18"/>
                                <w:szCs w:val="18"/>
                              </w:rPr>
                              <w:t>b) demand deposits in bank accounts with an original maturity of three months or less that are readily convertible to known amounts of cash and subject to insignificant risk of changes in value.</w:t>
                            </w:r>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5040"/>
            </w:tblGrid>
            <w:tr w:rsidR="00EE5F25" w:rsidRPr="001F7081" w14:paraId="51EF8A41" w14:textId="77777777" w:rsidTr="00856101">
              <w:trPr>
                <w:trHeight w:val="255"/>
                <w:tblCellSpacing w:w="0" w:type="dxa"/>
              </w:trPr>
              <w:tc>
                <w:tcPr>
                  <w:tcW w:w="5240" w:type="dxa"/>
                  <w:tcBorders>
                    <w:top w:val="nil"/>
                    <w:left w:val="nil"/>
                    <w:bottom w:val="nil"/>
                    <w:right w:val="nil"/>
                  </w:tcBorders>
                  <w:shd w:val="clear" w:color="000000" w:fill="FFFFFF"/>
                  <w:hideMark/>
                </w:tcPr>
                <w:p w14:paraId="4BBAA242" w14:textId="77777777" w:rsidR="00EE5F25" w:rsidRPr="001F7081" w:rsidRDefault="00EE5F25" w:rsidP="00856101">
                  <w:pPr>
                    <w:spacing w:after="0" w:line="240" w:lineRule="auto"/>
                    <w:rPr>
                      <w:rFonts w:ascii="Cambria" w:eastAsia="Times New Roman" w:hAnsi="Cambria" w:cs="Calibri"/>
                      <w:b/>
                      <w:bCs/>
                      <w:i/>
                      <w:iCs/>
                      <w:color w:val="auto"/>
                      <w:sz w:val="18"/>
                      <w:szCs w:val="18"/>
                      <w:lang w:eastAsia="en-AU"/>
                    </w:rPr>
                  </w:pPr>
                  <w:r w:rsidRPr="001F7081">
                    <w:rPr>
                      <w:rFonts w:ascii="Cambria" w:eastAsia="Times New Roman" w:hAnsi="Cambria" w:cs="Calibri"/>
                      <w:b/>
                      <w:bCs/>
                      <w:i/>
                      <w:iCs/>
                      <w:color w:val="auto"/>
                      <w:sz w:val="18"/>
                      <w:szCs w:val="18"/>
                      <w:lang w:eastAsia="en-AU"/>
                    </w:rPr>
                    <w:t> </w:t>
                  </w:r>
                </w:p>
              </w:tc>
            </w:tr>
          </w:tbl>
          <w:p w14:paraId="6D97B601" w14:textId="77777777" w:rsidR="00EE5F25" w:rsidRPr="001F7081" w:rsidRDefault="00EE5F25" w:rsidP="00856101">
            <w:pPr>
              <w:spacing w:after="0" w:line="240" w:lineRule="auto"/>
              <w:rPr>
                <w:rFonts w:ascii="Calibri" w:eastAsia="Times New Roman" w:hAnsi="Calibri" w:cs="Calibri"/>
                <w:color w:val="000000"/>
                <w:lang w:eastAsia="en-AU"/>
              </w:rPr>
            </w:pPr>
          </w:p>
        </w:tc>
        <w:tc>
          <w:tcPr>
            <w:tcW w:w="1176" w:type="dxa"/>
            <w:tcBorders>
              <w:top w:val="nil"/>
              <w:left w:val="nil"/>
              <w:bottom w:val="nil"/>
              <w:right w:val="nil"/>
            </w:tcBorders>
            <w:shd w:val="clear" w:color="000000" w:fill="FFFFFF"/>
            <w:hideMark/>
          </w:tcPr>
          <w:p w14:paraId="702E2EC2" w14:textId="77777777" w:rsidR="00EE5F25" w:rsidRPr="001F7081" w:rsidRDefault="00EE5F25" w:rsidP="00856101">
            <w:pPr>
              <w:spacing w:after="0" w:line="240" w:lineRule="auto"/>
              <w:rPr>
                <w:rFonts w:ascii="Cambria" w:eastAsia="Times New Roman" w:hAnsi="Cambria" w:cs="Calibri"/>
                <w:b/>
                <w:bCs/>
                <w:i/>
                <w:iCs/>
                <w:color w:val="auto"/>
                <w:sz w:val="18"/>
                <w:szCs w:val="18"/>
                <w:lang w:eastAsia="en-AU"/>
              </w:rPr>
            </w:pPr>
            <w:r w:rsidRPr="001F7081">
              <w:rPr>
                <w:rFonts w:ascii="Cambria" w:eastAsia="Times New Roman" w:hAnsi="Cambria" w:cs="Calibri"/>
                <w:b/>
                <w:bCs/>
                <w:i/>
                <w:iCs/>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36C4C5FB"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35EC119D"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w:t>
            </w:r>
          </w:p>
        </w:tc>
      </w:tr>
      <w:tr w:rsidR="00EE5F25" w:rsidRPr="001F7081" w14:paraId="33E2C49B" w14:textId="77777777" w:rsidTr="00856101">
        <w:trPr>
          <w:trHeight w:val="1260"/>
        </w:trPr>
        <w:tc>
          <w:tcPr>
            <w:tcW w:w="5256" w:type="dxa"/>
            <w:tcBorders>
              <w:top w:val="nil"/>
              <w:left w:val="nil"/>
              <w:bottom w:val="nil"/>
              <w:right w:val="nil"/>
            </w:tcBorders>
            <w:shd w:val="clear" w:color="000000" w:fill="FFFFFF"/>
            <w:hideMark/>
          </w:tcPr>
          <w:p w14:paraId="2BC23997" w14:textId="77777777" w:rsidR="00EE5F25" w:rsidRPr="001F7081" w:rsidRDefault="00EE5F25" w:rsidP="00856101">
            <w:pPr>
              <w:spacing w:after="0" w:line="240" w:lineRule="auto"/>
              <w:rPr>
                <w:rFonts w:ascii="Cambria" w:eastAsia="Times New Roman" w:hAnsi="Cambria" w:cs="Calibri"/>
                <w:b/>
                <w:bCs/>
                <w:i/>
                <w:iCs/>
                <w:color w:val="auto"/>
                <w:sz w:val="18"/>
                <w:szCs w:val="18"/>
                <w:lang w:eastAsia="en-AU"/>
              </w:rPr>
            </w:pPr>
            <w:r w:rsidRPr="001F7081">
              <w:rPr>
                <w:rFonts w:ascii="Cambria" w:eastAsia="Times New Roman" w:hAnsi="Cambria" w:cs="Calibri"/>
                <w:b/>
                <w:bCs/>
                <w:i/>
                <w:iCs/>
                <w:color w:val="auto"/>
                <w:sz w:val="18"/>
                <w:szCs w:val="18"/>
                <w:lang w:eastAsia="en-AU"/>
              </w:rPr>
              <w:t> </w:t>
            </w:r>
          </w:p>
        </w:tc>
        <w:tc>
          <w:tcPr>
            <w:tcW w:w="1176" w:type="dxa"/>
            <w:tcBorders>
              <w:top w:val="nil"/>
              <w:left w:val="nil"/>
              <w:bottom w:val="nil"/>
              <w:right w:val="nil"/>
            </w:tcBorders>
            <w:shd w:val="clear" w:color="000000" w:fill="FFFFFF"/>
            <w:hideMark/>
          </w:tcPr>
          <w:p w14:paraId="55282DAC" w14:textId="77777777" w:rsidR="00EE5F25" w:rsidRPr="001F7081" w:rsidRDefault="00EE5F25" w:rsidP="00856101">
            <w:pPr>
              <w:spacing w:after="0" w:line="240" w:lineRule="auto"/>
              <w:rPr>
                <w:rFonts w:ascii="Cambria" w:eastAsia="Times New Roman" w:hAnsi="Cambria" w:cs="Calibri"/>
                <w:b/>
                <w:bCs/>
                <w:i/>
                <w:iCs/>
                <w:color w:val="auto"/>
                <w:sz w:val="18"/>
                <w:szCs w:val="18"/>
                <w:lang w:eastAsia="en-AU"/>
              </w:rPr>
            </w:pPr>
            <w:r w:rsidRPr="001F7081">
              <w:rPr>
                <w:rFonts w:ascii="Cambria" w:eastAsia="Times New Roman" w:hAnsi="Cambria" w:cs="Calibri"/>
                <w:b/>
                <w:bCs/>
                <w:i/>
                <w:iCs/>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016CF4D5"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4BF93E95"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w:t>
            </w:r>
          </w:p>
        </w:tc>
      </w:tr>
      <w:tr w:rsidR="00EE5F25" w:rsidRPr="001F7081" w14:paraId="6BC56E48" w14:textId="77777777" w:rsidTr="00856101">
        <w:trPr>
          <w:trHeight w:val="285"/>
        </w:trPr>
        <w:tc>
          <w:tcPr>
            <w:tcW w:w="5256" w:type="dxa"/>
            <w:tcBorders>
              <w:top w:val="nil"/>
              <w:left w:val="nil"/>
              <w:bottom w:val="nil"/>
              <w:right w:val="nil"/>
            </w:tcBorders>
            <w:shd w:val="clear" w:color="000000" w:fill="FFFFFF"/>
            <w:hideMark/>
          </w:tcPr>
          <w:p w14:paraId="1D9D3186" w14:textId="77777777" w:rsidR="00EE5F25" w:rsidRPr="001F7081" w:rsidRDefault="00EE5F25" w:rsidP="00856101">
            <w:pPr>
              <w:spacing w:after="0" w:line="240" w:lineRule="auto"/>
              <w:rPr>
                <w:rFonts w:ascii="Cambria" w:eastAsia="Times New Roman" w:hAnsi="Cambria" w:cs="Calibri"/>
                <w:b/>
                <w:bCs/>
                <w:i/>
                <w:iCs/>
                <w:color w:val="auto"/>
                <w:sz w:val="18"/>
                <w:szCs w:val="18"/>
                <w:lang w:eastAsia="en-AU"/>
              </w:rPr>
            </w:pPr>
            <w:r w:rsidRPr="001F7081">
              <w:rPr>
                <w:rFonts w:ascii="Cambria" w:eastAsia="Times New Roman" w:hAnsi="Cambria" w:cs="Calibri"/>
                <w:b/>
                <w:bCs/>
                <w:i/>
                <w:iCs/>
                <w:color w:val="auto"/>
                <w:sz w:val="18"/>
                <w:szCs w:val="18"/>
                <w:lang w:eastAsia="en-AU"/>
              </w:rPr>
              <w:t> </w:t>
            </w:r>
          </w:p>
        </w:tc>
        <w:tc>
          <w:tcPr>
            <w:tcW w:w="1176" w:type="dxa"/>
            <w:tcBorders>
              <w:top w:val="nil"/>
              <w:left w:val="nil"/>
              <w:bottom w:val="nil"/>
              <w:right w:val="nil"/>
            </w:tcBorders>
            <w:shd w:val="clear" w:color="000000" w:fill="FFFFFF"/>
            <w:hideMark/>
          </w:tcPr>
          <w:p w14:paraId="32819289" w14:textId="77777777" w:rsidR="00EE5F25" w:rsidRPr="001F7081" w:rsidRDefault="00EE5F25" w:rsidP="00856101">
            <w:pPr>
              <w:spacing w:after="0" w:line="240" w:lineRule="auto"/>
              <w:rPr>
                <w:rFonts w:ascii="Cambria" w:eastAsia="Times New Roman" w:hAnsi="Cambria" w:cs="Calibri"/>
                <w:b/>
                <w:bCs/>
                <w:i/>
                <w:iCs/>
                <w:color w:val="auto"/>
                <w:sz w:val="18"/>
                <w:szCs w:val="18"/>
                <w:lang w:eastAsia="en-AU"/>
              </w:rPr>
            </w:pPr>
            <w:r w:rsidRPr="001F7081">
              <w:rPr>
                <w:rFonts w:ascii="Cambria" w:eastAsia="Times New Roman" w:hAnsi="Cambria" w:cs="Calibri"/>
                <w:b/>
                <w:bCs/>
                <w:i/>
                <w:iCs/>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2FDF55BB"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25E8B71C"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w:t>
            </w:r>
          </w:p>
        </w:tc>
      </w:tr>
      <w:tr w:rsidR="00EE5F25" w:rsidRPr="001F7081" w14:paraId="5507FB0B" w14:textId="77777777" w:rsidTr="00856101">
        <w:trPr>
          <w:trHeight w:val="240"/>
        </w:trPr>
        <w:tc>
          <w:tcPr>
            <w:tcW w:w="5256" w:type="dxa"/>
            <w:tcBorders>
              <w:top w:val="nil"/>
              <w:left w:val="nil"/>
              <w:bottom w:val="nil"/>
              <w:right w:val="nil"/>
            </w:tcBorders>
            <w:shd w:val="clear" w:color="000000" w:fill="FFFFFF"/>
            <w:hideMark/>
          </w:tcPr>
          <w:p w14:paraId="1024BA71" w14:textId="77777777" w:rsidR="00EE5F25" w:rsidRDefault="00EE5F25" w:rsidP="00856101">
            <w:pPr>
              <w:spacing w:after="0" w:line="240" w:lineRule="auto"/>
              <w:rPr>
                <w:rFonts w:ascii="Cambria" w:eastAsia="Times New Roman" w:hAnsi="Cambria" w:cs="Calibri"/>
                <w:b/>
                <w:bCs/>
                <w:color w:val="auto"/>
                <w:sz w:val="18"/>
                <w:szCs w:val="18"/>
                <w:u w:val="single"/>
                <w:lang w:eastAsia="en-AU"/>
              </w:rPr>
            </w:pPr>
          </w:p>
          <w:p w14:paraId="6C11454F" w14:textId="77777777" w:rsidR="00EE5F25" w:rsidRDefault="00EE5F25" w:rsidP="00856101">
            <w:pPr>
              <w:spacing w:after="0" w:line="240" w:lineRule="auto"/>
              <w:rPr>
                <w:rFonts w:ascii="Cambria" w:eastAsia="Times New Roman" w:hAnsi="Cambria" w:cs="Calibri"/>
                <w:b/>
                <w:bCs/>
                <w:color w:val="auto"/>
                <w:sz w:val="18"/>
                <w:szCs w:val="18"/>
                <w:u w:val="single"/>
                <w:lang w:eastAsia="en-AU"/>
              </w:rPr>
            </w:pPr>
          </w:p>
          <w:p w14:paraId="6D9CD3BE" w14:textId="77777777" w:rsidR="00EE5F25" w:rsidRDefault="00EE5F25" w:rsidP="00856101">
            <w:pPr>
              <w:spacing w:after="0" w:line="240" w:lineRule="auto"/>
              <w:rPr>
                <w:rFonts w:ascii="Cambria" w:eastAsia="Times New Roman" w:hAnsi="Cambria" w:cs="Calibri"/>
                <w:b/>
                <w:bCs/>
                <w:color w:val="auto"/>
                <w:sz w:val="18"/>
                <w:szCs w:val="18"/>
                <w:u w:val="single"/>
                <w:lang w:eastAsia="en-AU"/>
              </w:rPr>
            </w:pPr>
          </w:p>
          <w:p w14:paraId="34741D88" w14:textId="77777777" w:rsidR="00EE5F25" w:rsidRPr="001F7081" w:rsidRDefault="00EE5F25" w:rsidP="00856101">
            <w:pPr>
              <w:spacing w:after="0" w:line="240" w:lineRule="auto"/>
              <w:rPr>
                <w:rFonts w:ascii="Cambria" w:eastAsia="Times New Roman" w:hAnsi="Cambria" w:cs="Calibri"/>
                <w:b/>
                <w:bCs/>
                <w:color w:val="auto"/>
                <w:sz w:val="18"/>
                <w:szCs w:val="18"/>
                <w:u w:val="single"/>
                <w:lang w:eastAsia="en-AU"/>
              </w:rPr>
            </w:pPr>
            <w:r w:rsidRPr="001F7081">
              <w:rPr>
                <w:rFonts w:ascii="Cambria" w:eastAsia="Times New Roman" w:hAnsi="Cambria" w:cs="Calibri"/>
                <w:b/>
                <w:bCs/>
                <w:color w:val="auto"/>
                <w:sz w:val="18"/>
                <w:szCs w:val="18"/>
                <w:u w:val="single"/>
                <w:lang w:eastAsia="en-AU"/>
              </w:rPr>
              <w:t>Note 2.1B: Trade and other receivables</w:t>
            </w:r>
          </w:p>
        </w:tc>
        <w:tc>
          <w:tcPr>
            <w:tcW w:w="1176" w:type="dxa"/>
            <w:tcBorders>
              <w:top w:val="nil"/>
              <w:left w:val="nil"/>
              <w:bottom w:val="nil"/>
              <w:right w:val="nil"/>
            </w:tcBorders>
            <w:shd w:val="clear" w:color="000000" w:fill="FFFFFF"/>
            <w:vAlign w:val="center"/>
            <w:hideMark/>
          </w:tcPr>
          <w:p w14:paraId="659DA779"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6C2EA838"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54F84F53"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w:t>
            </w:r>
          </w:p>
        </w:tc>
      </w:tr>
      <w:tr w:rsidR="00EE5F25" w:rsidRPr="001F7081" w14:paraId="0BCCFF98" w14:textId="77777777" w:rsidTr="00856101">
        <w:trPr>
          <w:trHeight w:val="240"/>
        </w:trPr>
        <w:tc>
          <w:tcPr>
            <w:tcW w:w="5256" w:type="dxa"/>
            <w:tcBorders>
              <w:top w:val="nil"/>
              <w:left w:val="nil"/>
              <w:bottom w:val="nil"/>
              <w:right w:val="nil"/>
            </w:tcBorders>
            <w:hideMark/>
          </w:tcPr>
          <w:p w14:paraId="2E36B14F" w14:textId="77777777" w:rsidR="00EE5F25" w:rsidRPr="001F7081" w:rsidRDefault="00EE5F25" w:rsidP="00856101">
            <w:pPr>
              <w:spacing w:after="0" w:line="240" w:lineRule="auto"/>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Other receivables</w:t>
            </w:r>
          </w:p>
        </w:tc>
        <w:tc>
          <w:tcPr>
            <w:tcW w:w="1176" w:type="dxa"/>
            <w:tcBorders>
              <w:top w:val="nil"/>
              <w:left w:val="nil"/>
              <w:bottom w:val="nil"/>
              <w:right w:val="nil"/>
            </w:tcBorders>
            <w:vAlign w:val="center"/>
            <w:hideMark/>
          </w:tcPr>
          <w:p w14:paraId="033CF526" w14:textId="77777777" w:rsidR="00EE5F25" w:rsidRPr="001F7081" w:rsidRDefault="00EE5F25" w:rsidP="00856101">
            <w:pPr>
              <w:spacing w:after="0" w:line="240" w:lineRule="auto"/>
              <w:rPr>
                <w:rFonts w:ascii="Cambria" w:eastAsia="Times New Roman" w:hAnsi="Cambria" w:cs="Calibri"/>
                <w:b/>
                <w:bCs/>
                <w:color w:val="auto"/>
                <w:sz w:val="18"/>
                <w:szCs w:val="18"/>
                <w:lang w:eastAsia="en-AU"/>
              </w:rPr>
            </w:pPr>
          </w:p>
        </w:tc>
        <w:tc>
          <w:tcPr>
            <w:tcW w:w="1176" w:type="dxa"/>
            <w:tcBorders>
              <w:top w:val="nil"/>
              <w:left w:val="nil"/>
              <w:bottom w:val="nil"/>
              <w:right w:val="nil"/>
            </w:tcBorders>
            <w:noWrap/>
            <w:vAlign w:val="bottom"/>
            <w:hideMark/>
          </w:tcPr>
          <w:p w14:paraId="5495774A"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50E2C7A" w14:textId="77777777" w:rsidR="00EE5F25" w:rsidRPr="001F7081"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1F7081" w14:paraId="724A5B22" w14:textId="77777777" w:rsidTr="00856101">
        <w:trPr>
          <w:trHeight w:val="240"/>
        </w:trPr>
        <w:tc>
          <w:tcPr>
            <w:tcW w:w="5256" w:type="dxa"/>
            <w:tcBorders>
              <w:top w:val="nil"/>
              <w:left w:val="nil"/>
              <w:bottom w:val="nil"/>
              <w:right w:val="nil"/>
            </w:tcBorders>
            <w:shd w:val="clear" w:color="000000" w:fill="FFFFFF"/>
            <w:hideMark/>
          </w:tcPr>
          <w:p w14:paraId="52761155"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GST receivable from the Australian Taxation Office</w:t>
            </w:r>
          </w:p>
        </w:tc>
        <w:tc>
          <w:tcPr>
            <w:tcW w:w="1176" w:type="dxa"/>
            <w:tcBorders>
              <w:top w:val="nil"/>
              <w:left w:val="nil"/>
              <w:bottom w:val="nil"/>
              <w:right w:val="nil"/>
            </w:tcBorders>
            <w:shd w:val="clear" w:color="000000" w:fill="FFFFFF"/>
            <w:vAlign w:val="center"/>
            <w:hideMark/>
          </w:tcPr>
          <w:p w14:paraId="1683BCAD"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56EA07AC"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xml:space="preserve">701 </w:t>
            </w:r>
          </w:p>
        </w:tc>
        <w:tc>
          <w:tcPr>
            <w:tcW w:w="1176" w:type="dxa"/>
            <w:tcBorders>
              <w:top w:val="nil"/>
              <w:left w:val="nil"/>
              <w:bottom w:val="nil"/>
              <w:right w:val="nil"/>
            </w:tcBorders>
            <w:shd w:val="clear" w:color="000000" w:fill="FFFFFF"/>
            <w:noWrap/>
            <w:vAlign w:val="bottom"/>
            <w:hideMark/>
          </w:tcPr>
          <w:p w14:paraId="6B352E9E"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xml:space="preserve">704 </w:t>
            </w:r>
          </w:p>
        </w:tc>
      </w:tr>
      <w:tr w:rsidR="00EE5F25" w:rsidRPr="001F7081" w14:paraId="3575B917" w14:textId="77777777" w:rsidTr="00856101">
        <w:trPr>
          <w:trHeight w:val="240"/>
        </w:trPr>
        <w:tc>
          <w:tcPr>
            <w:tcW w:w="5256" w:type="dxa"/>
            <w:tcBorders>
              <w:top w:val="nil"/>
              <w:left w:val="nil"/>
              <w:bottom w:val="nil"/>
              <w:right w:val="nil"/>
            </w:tcBorders>
            <w:shd w:val="clear" w:color="000000" w:fill="FFFFFF"/>
            <w:hideMark/>
          </w:tcPr>
          <w:p w14:paraId="29970B62"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Other amounts receivable</w:t>
            </w:r>
          </w:p>
        </w:tc>
        <w:tc>
          <w:tcPr>
            <w:tcW w:w="1176" w:type="dxa"/>
            <w:tcBorders>
              <w:top w:val="nil"/>
              <w:left w:val="nil"/>
              <w:bottom w:val="nil"/>
              <w:right w:val="nil"/>
            </w:tcBorders>
            <w:shd w:val="clear" w:color="000000" w:fill="FFFFFF"/>
            <w:hideMark/>
          </w:tcPr>
          <w:p w14:paraId="229C74F6" w14:textId="77777777" w:rsidR="00EE5F25" w:rsidRPr="001F7081" w:rsidRDefault="00EE5F25" w:rsidP="00856101">
            <w:pPr>
              <w:spacing w:after="0" w:line="240" w:lineRule="auto"/>
              <w:ind w:firstLineChars="200" w:firstLine="360"/>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673FCA58"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xml:space="preserve">345 </w:t>
            </w:r>
          </w:p>
        </w:tc>
        <w:tc>
          <w:tcPr>
            <w:tcW w:w="1176" w:type="dxa"/>
            <w:tcBorders>
              <w:top w:val="nil"/>
              <w:left w:val="nil"/>
              <w:bottom w:val="nil"/>
              <w:right w:val="nil"/>
            </w:tcBorders>
            <w:shd w:val="clear" w:color="000000" w:fill="FFFFFF"/>
            <w:noWrap/>
            <w:vAlign w:val="bottom"/>
            <w:hideMark/>
          </w:tcPr>
          <w:p w14:paraId="15428F07"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xml:space="preserve">374 </w:t>
            </w:r>
          </w:p>
        </w:tc>
      </w:tr>
      <w:tr w:rsidR="00EE5F25" w:rsidRPr="001F7081" w14:paraId="27B36F3A" w14:textId="77777777" w:rsidTr="00856101">
        <w:trPr>
          <w:trHeight w:val="240"/>
        </w:trPr>
        <w:tc>
          <w:tcPr>
            <w:tcW w:w="5256" w:type="dxa"/>
            <w:tcBorders>
              <w:top w:val="nil"/>
              <w:left w:val="nil"/>
              <w:bottom w:val="nil"/>
              <w:right w:val="nil"/>
            </w:tcBorders>
            <w:shd w:val="clear" w:color="000000" w:fill="FFFFFF"/>
            <w:hideMark/>
          </w:tcPr>
          <w:p w14:paraId="004A6E04" w14:textId="77777777" w:rsidR="00EE5F25" w:rsidRPr="001F7081" w:rsidRDefault="00EE5F25" w:rsidP="00856101">
            <w:pPr>
              <w:spacing w:after="0" w:line="240" w:lineRule="auto"/>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Total other receivables</w:t>
            </w:r>
          </w:p>
        </w:tc>
        <w:tc>
          <w:tcPr>
            <w:tcW w:w="1176" w:type="dxa"/>
            <w:tcBorders>
              <w:top w:val="nil"/>
              <w:left w:val="nil"/>
              <w:bottom w:val="nil"/>
              <w:right w:val="nil"/>
            </w:tcBorders>
            <w:shd w:val="clear" w:color="000000" w:fill="FFFFFF"/>
            <w:hideMark/>
          </w:tcPr>
          <w:p w14:paraId="426B4DF2" w14:textId="77777777" w:rsidR="00EE5F25" w:rsidRPr="001F7081" w:rsidRDefault="00EE5F25" w:rsidP="00856101">
            <w:pPr>
              <w:spacing w:after="0" w:line="240" w:lineRule="auto"/>
              <w:rPr>
                <w:rFonts w:ascii="Cambria" w:eastAsia="Times New Roman" w:hAnsi="Cambria" w:cs="Calibri"/>
                <w:b/>
                <w:bCs/>
                <w:i/>
                <w:iCs/>
                <w:color w:val="auto"/>
                <w:sz w:val="18"/>
                <w:szCs w:val="18"/>
                <w:lang w:eastAsia="en-AU"/>
              </w:rPr>
            </w:pPr>
            <w:r w:rsidRPr="001F7081">
              <w:rPr>
                <w:rFonts w:ascii="Cambria" w:eastAsia="Times New Roman" w:hAnsi="Cambria" w:cs="Calibri"/>
                <w:b/>
                <w:bCs/>
                <w:i/>
                <w:iCs/>
                <w:color w:val="auto"/>
                <w:sz w:val="18"/>
                <w:szCs w:val="18"/>
                <w:lang w:eastAsia="en-AU"/>
              </w:rPr>
              <w:t> </w:t>
            </w:r>
          </w:p>
        </w:tc>
        <w:tc>
          <w:tcPr>
            <w:tcW w:w="1176" w:type="dxa"/>
            <w:tcBorders>
              <w:top w:val="single" w:sz="4" w:space="0" w:color="auto"/>
              <w:left w:val="nil"/>
              <w:bottom w:val="single" w:sz="4" w:space="0" w:color="auto"/>
              <w:right w:val="nil"/>
            </w:tcBorders>
            <w:shd w:val="clear" w:color="000000" w:fill="FFFFFF"/>
            <w:noWrap/>
            <w:vAlign w:val="bottom"/>
            <w:hideMark/>
          </w:tcPr>
          <w:p w14:paraId="299A0320"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xml:space="preserve">1,046 </w:t>
            </w:r>
          </w:p>
        </w:tc>
        <w:tc>
          <w:tcPr>
            <w:tcW w:w="1176" w:type="dxa"/>
            <w:tcBorders>
              <w:top w:val="single" w:sz="4" w:space="0" w:color="auto"/>
              <w:left w:val="nil"/>
              <w:bottom w:val="single" w:sz="4" w:space="0" w:color="auto"/>
              <w:right w:val="nil"/>
            </w:tcBorders>
            <w:shd w:val="clear" w:color="000000" w:fill="FFFFFF"/>
            <w:noWrap/>
            <w:vAlign w:val="bottom"/>
            <w:hideMark/>
          </w:tcPr>
          <w:p w14:paraId="1476AC0F"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xml:space="preserve">1,078 </w:t>
            </w:r>
          </w:p>
        </w:tc>
      </w:tr>
      <w:tr w:rsidR="00EE5F25" w:rsidRPr="001F7081" w14:paraId="179EBE0B" w14:textId="77777777" w:rsidTr="00856101">
        <w:trPr>
          <w:trHeight w:val="240"/>
        </w:trPr>
        <w:tc>
          <w:tcPr>
            <w:tcW w:w="5256" w:type="dxa"/>
            <w:tcBorders>
              <w:top w:val="nil"/>
              <w:left w:val="nil"/>
              <w:bottom w:val="nil"/>
              <w:right w:val="nil"/>
            </w:tcBorders>
            <w:shd w:val="clear" w:color="000000" w:fill="FFFFFF"/>
            <w:hideMark/>
          </w:tcPr>
          <w:p w14:paraId="29BECB41" w14:textId="77777777" w:rsidR="00EE5F25" w:rsidRPr="001F7081" w:rsidRDefault="00EE5F25" w:rsidP="00856101">
            <w:pPr>
              <w:spacing w:after="0" w:line="240" w:lineRule="auto"/>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Total trade and other receivables (gross)</w:t>
            </w:r>
          </w:p>
        </w:tc>
        <w:tc>
          <w:tcPr>
            <w:tcW w:w="1176" w:type="dxa"/>
            <w:tcBorders>
              <w:top w:val="nil"/>
              <w:left w:val="nil"/>
              <w:bottom w:val="nil"/>
              <w:right w:val="nil"/>
            </w:tcBorders>
            <w:shd w:val="clear" w:color="000000" w:fill="FFFFFF"/>
            <w:hideMark/>
          </w:tcPr>
          <w:p w14:paraId="17884585" w14:textId="77777777" w:rsidR="00EE5F25" w:rsidRPr="001F7081" w:rsidRDefault="00EE5F25" w:rsidP="00856101">
            <w:pPr>
              <w:spacing w:after="0" w:line="240" w:lineRule="auto"/>
              <w:rPr>
                <w:rFonts w:ascii="Cambria" w:eastAsia="Times New Roman" w:hAnsi="Cambria" w:cs="Calibri"/>
                <w:b/>
                <w:bCs/>
                <w:i/>
                <w:iCs/>
                <w:color w:val="auto"/>
                <w:sz w:val="18"/>
                <w:szCs w:val="18"/>
                <w:lang w:eastAsia="en-AU"/>
              </w:rPr>
            </w:pPr>
            <w:r w:rsidRPr="001F7081">
              <w:rPr>
                <w:rFonts w:ascii="Cambria" w:eastAsia="Times New Roman" w:hAnsi="Cambria" w:cs="Calibri"/>
                <w:b/>
                <w:bCs/>
                <w:i/>
                <w:iCs/>
                <w:color w:val="auto"/>
                <w:sz w:val="18"/>
                <w:szCs w:val="18"/>
                <w:lang w:eastAsia="en-AU"/>
              </w:rPr>
              <w:t> </w:t>
            </w:r>
          </w:p>
        </w:tc>
        <w:tc>
          <w:tcPr>
            <w:tcW w:w="1176" w:type="dxa"/>
            <w:tcBorders>
              <w:top w:val="nil"/>
              <w:left w:val="nil"/>
              <w:bottom w:val="single" w:sz="4" w:space="0" w:color="auto"/>
              <w:right w:val="nil"/>
            </w:tcBorders>
            <w:shd w:val="clear" w:color="000000" w:fill="FFFFFF"/>
            <w:noWrap/>
            <w:vAlign w:val="bottom"/>
            <w:hideMark/>
          </w:tcPr>
          <w:p w14:paraId="61DFCF0A"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xml:space="preserve">1,046 </w:t>
            </w:r>
          </w:p>
        </w:tc>
        <w:tc>
          <w:tcPr>
            <w:tcW w:w="1176" w:type="dxa"/>
            <w:tcBorders>
              <w:top w:val="nil"/>
              <w:left w:val="nil"/>
              <w:bottom w:val="single" w:sz="4" w:space="0" w:color="auto"/>
              <w:right w:val="nil"/>
            </w:tcBorders>
            <w:shd w:val="clear" w:color="000000" w:fill="FFFFFF"/>
            <w:noWrap/>
            <w:vAlign w:val="bottom"/>
            <w:hideMark/>
          </w:tcPr>
          <w:p w14:paraId="621696A9"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xml:space="preserve">1,078 </w:t>
            </w:r>
          </w:p>
        </w:tc>
      </w:tr>
      <w:tr w:rsidR="00EE5F25" w:rsidRPr="001F7081" w14:paraId="5C0C2537" w14:textId="77777777" w:rsidTr="00856101">
        <w:trPr>
          <w:trHeight w:val="180"/>
        </w:trPr>
        <w:tc>
          <w:tcPr>
            <w:tcW w:w="5256" w:type="dxa"/>
            <w:tcBorders>
              <w:top w:val="nil"/>
              <w:left w:val="nil"/>
              <w:bottom w:val="nil"/>
              <w:right w:val="nil"/>
            </w:tcBorders>
            <w:hideMark/>
          </w:tcPr>
          <w:p w14:paraId="3FED6E02"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p>
        </w:tc>
        <w:tc>
          <w:tcPr>
            <w:tcW w:w="1176" w:type="dxa"/>
            <w:tcBorders>
              <w:top w:val="nil"/>
              <w:left w:val="nil"/>
              <w:bottom w:val="nil"/>
              <w:right w:val="nil"/>
            </w:tcBorders>
            <w:hideMark/>
          </w:tcPr>
          <w:p w14:paraId="12A21D8B"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05416AA"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4F6684C" w14:textId="77777777" w:rsidR="00EE5F25" w:rsidRPr="001F7081"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1F7081" w14:paraId="390644CD" w14:textId="77777777" w:rsidTr="00856101">
        <w:trPr>
          <w:trHeight w:val="240"/>
        </w:trPr>
        <w:tc>
          <w:tcPr>
            <w:tcW w:w="5256" w:type="dxa"/>
            <w:tcBorders>
              <w:top w:val="nil"/>
              <w:left w:val="nil"/>
              <w:bottom w:val="nil"/>
              <w:right w:val="nil"/>
            </w:tcBorders>
            <w:vAlign w:val="center"/>
            <w:hideMark/>
          </w:tcPr>
          <w:p w14:paraId="58FCA79D" w14:textId="77777777" w:rsidR="00EE5F25" w:rsidRPr="001F7081" w:rsidRDefault="00EE5F25" w:rsidP="00856101">
            <w:pPr>
              <w:spacing w:after="0" w:line="240" w:lineRule="auto"/>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Less expected credit loss allowance</w:t>
            </w:r>
          </w:p>
        </w:tc>
        <w:tc>
          <w:tcPr>
            <w:tcW w:w="1176" w:type="dxa"/>
            <w:tcBorders>
              <w:top w:val="nil"/>
              <w:left w:val="nil"/>
              <w:bottom w:val="nil"/>
              <w:right w:val="nil"/>
            </w:tcBorders>
            <w:vAlign w:val="center"/>
            <w:hideMark/>
          </w:tcPr>
          <w:p w14:paraId="6FB71CCE" w14:textId="77777777" w:rsidR="00EE5F25" w:rsidRPr="001F7081" w:rsidRDefault="00EE5F25" w:rsidP="00856101">
            <w:pPr>
              <w:spacing w:after="0" w:line="240" w:lineRule="auto"/>
              <w:rPr>
                <w:rFonts w:ascii="Cambria" w:eastAsia="Times New Roman" w:hAnsi="Cambria" w:cs="Calibri"/>
                <w:b/>
                <w:bCs/>
                <w:color w:val="auto"/>
                <w:sz w:val="18"/>
                <w:szCs w:val="18"/>
                <w:lang w:eastAsia="en-AU"/>
              </w:rPr>
            </w:pPr>
          </w:p>
        </w:tc>
        <w:tc>
          <w:tcPr>
            <w:tcW w:w="1176" w:type="dxa"/>
            <w:tcBorders>
              <w:top w:val="nil"/>
              <w:left w:val="nil"/>
              <w:bottom w:val="nil"/>
              <w:right w:val="nil"/>
            </w:tcBorders>
            <w:noWrap/>
            <w:vAlign w:val="bottom"/>
            <w:hideMark/>
          </w:tcPr>
          <w:p w14:paraId="5ED904D1"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xml:space="preserve"> - </w:t>
            </w:r>
          </w:p>
        </w:tc>
        <w:tc>
          <w:tcPr>
            <w:tcW w:w="1176" w:type="dxa"/>
            <w:tcBorders>
              <w:top w:val="nil"/>
              <w:left w:val="nil"/>
              <w:bottom w:val="nil"/>
              <w:right w:val="nil"/>
            </w:tcBorders>
            <w:noWrap/>
            <w:vAlign w:val="bottom"/>
            <w:hideMark/>
          </w:tcPr>
          <w:p w14:paraId="469ABB0A"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xml:space="preserve"> - </w:t>
            </w:r>
          </w:p>
        </w:tc>
      </w:tr>
      <w:tr w:rsidR="00EE5F25" w:rsidRPr="001F7081" w14:paraId="65111A9B" w14:textId="77777777" w:rsidTr="00856101">
        <w:trPr>
          <w:trHeight w:val="147"/>
        </w:trPr>
        <w:tc>
          <w:tcPr>
            <w:tcW w:w="5256" w:type="dxa"/>
            <w:tcBorders>
              <w:top w:val="nil"/>
              <w:left w:val="nil"/>
              <w:bottom w:val="nil"/>
              <w:right w:val="nil"/>
            </w:tcBorders>
            <w:hideMark/>
          </w:tcPr>
          <w:p w14:paraId="408A41F7"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p>
        </w:tc>
        <w:tc>
          <w:tcPr>
            <w:tcW w:w="1176" w:type="dxa"/>
            <w:tcBorders>
              <w:top w:val="nil"/>
              <w:left w:val="nil"/>
              <w:bottom w:val="nil"/>
              <w:right w:val="nil"/>
            </w:tcBorders>
            <w:hideMark/>
          </w:tcPr>
          <w:p w14:paraId="1311843D" w14:textId="77777777" w:rsidR="00EE5F25" w:rsidRPr="001F7081" w:rsidRDefault="00EE5F2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20AD408" w14:textId="77777777" w:rsidR="00EE5F25" w:rsidRPr="001F7081" w:rsidRDefault="00EE5F2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474EF68" w14:textId="77777777" w:rsidR="00EE5F25" w:rsidRPr="001F7081"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1F7081" w14:paraId="3D05D62A" w14:textId="77777777" w:rsidTr="00856101">
        <w:trPr>
          <w:trHeight w:val="240"/>
        </w:trPr>
        <w:tc>
          <w:tcPr>
            <w:tcW w:w="5256" w:type="dxa"/>
            <w:tcBorders>
              <w:top w:val="nil"/>
              <w:left w:val="nil"/>
              <w:bottom w:val="nil"/>
              <w:right w:val="nil"/>
            </w:tcBorders>
            <w:hideMark/>
          </w:tcPr>
          <w:p w14:paraId="5C36A47E" w14:textId="77777777" w:rsidR="00EE5F25" w:rsidRPr="001F7081" w:rsidRDefault="00EE5F25" w:rsidP="00856101">
            <w:pPr>
              <w:spacing w:after="0" w:line="240" w:lineRule="auto"/>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Total trade and other receivables (net)</w:t>
            </w:r>
          </w:p>
        </w:tc>
        <w:tc>
          <w:tcPr>
            <w:tcW w:w="1176" w:type="dxa"/>
            <w:tcBorders>
              <w:top w:val="nil"/>
              <w:left w:val="nil"/>
              <w:bottom w:val="nil"/>
              <w:right w:val="nil"/>
            </w:tcBorders>
            <w:hideMark/>
          </w:tcPr>
          <w:p w14:paraId="37515D1A" w14:textId="77777777" w:rsidR="00EE5F25" w:rsidRPr="001F7081" w:rsidRDefault="00EE5F25" w:rsidP="00856101">
            <w:pPr>
              <w:spacing w:after="0" w:line="240" w:lineRule="auto"/>
              <w:rPr>
                <w:rFonts w:ascii="Cambria" w:eastAsia="Times New Roman" w:hAnsi="Cambria" w:cs="Calibri"/>
                <w:b/>
                <w:bCs/>
                <w:color w:val="auto"/>
                <w:sz w:val="18"/>
                <w:szCs w:val="18"/>
                <w:lang w:eastAsia="en-AU"/>
              </w:rPr>
            </w:pPr>
          </w:p>
        </w:tc>
        <w:tc>
          <w:tcPr>
            <w:tcW w:w="1176" w:type="dxa"/>
            <w:tcBorders>
              <w:top w:val="single" w:sz="4" w:space="0" w:color="auto"/>
              <w:left w:val="nil"/>
              <w:bottom w:val="single" w:sz="4" w:space="0" w:color="auto"/>
              <w:right w:val="nil"/>
            </w:tcBorders>
            <w:noWrap/>
            <w:vAlign w:val="bottom"/>
            <w:hideMark/>
          </w:tcPr>
          <w:p w14:paraId="476D746E" w14:textId="77777777" w:rsidR="00EE5F25" w:rsidRPr="001F7081" w:rsidRDefault="00EE5F25" w:rsidP="00856101">
            <w:pPr>
              <w:spacing w:after="0" w:line="240" w:lineRule="auto"/>
              <w:jc w:val="right"/>
              <w:rPr>
                <w:rFonts w:ascii="Cambria" w:eastAsia="Times New Roman" w:hAnsi="Cambria" w:cs="Calibri"/>
                <w:b/>
                <w:bCs/>
                <w:color w:val="auto"/>
                <w:sz w:val="18"/>
                <w:szCs w:val="18"/>
                <w:lang w:eastAsia="en-AU"/>
              </w:rPr>
            </w:pPr>
            <w:r w:rsidRPr="001F7081">
              <w:rPr>
                <w:rFonts w:ascii="Cambria" w:eastAsia="Times New Roman" w:hAnsi="Cambria" w:cs="Calibri"/>
                <w:b/>
                <w:bCs/>
                <w:color w:val="auto"/>
                <w:sz w:val="18"/>
                <w:szCs w:val="18"/>
                <w:lang w:eastAsia="en-AU"/>
              </w:rPr>
              <w:t xml:space="preserve">1,046 </w:t>
            </w:r>
          </w:p>
        </w:tc>
        <w:tc>
          <w:tcPr>
            <w:tcW w:w="1176" w:type="dxa"/>
            <w:tcBorders>
              <w:top w:val="single" w:sz="4" w:space="0" w:color="auto"/>
              <w:left w:val="nil"/>
              <w:bottom w:val="single" w:sz="4" w:space="0" w:color="auto"/>
              <w:right w:val="nil"/>
            </w:tcBorders>
            <w:noWrap/>
            <w:vAlign w:val="bottom"/>
            <w:hideMark/>
          </w:tcPr>
          <w:p w14:paraId="4D186C76"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 xml:space="preserve">1,078 </w:t>
            </w:r>
          </w:p>
        </w:tc>
      </w:tr>
      <w:tr w:rsidR="00EE5F25" w:rsidRPr="001F7081" w14:paraId="2540E1C6" w14:textId="77777777" w:rsidTr="00856101">
        <w:trPr>
          <w:trHeight w:val="207"/>
        </w:trPr>
        <w:tc>
          <w:tcPr>
            <w:tcW w:w="5256" w:type="dxa"/>
            <w:tcBorders>
              <w:top w:val="nil"/>
              <w:left w:val="nil"/>
              <w:bottom w:val="nil"/>
              <w:right w:val="nil"/>
            </w:tcBorders>
            <w:hideMark/>
          </w:tcPr>
          <w:p w14:paraId="23F5E74B" w14:textId="77777777" w:rsidR="00EE5F25" w:rsidRPr="001F7081" w:rsidRDefault="00EE5F25" w:rsidP="00856101">
            <w:pPr>
              <w:spacing w:after="0" w:line="240" w:lineRule="auto"/>
              <w:jc w:val="right"/>
              <w:rPr>
                <w:rFonts w:ascii="Cambria" w:eastAsia="Times New Roman" w:hAnsi="Cambria" w:cs="Calibri"/>
                <w:color w:val="auto"/>
                <w:sz w:val="18"/>
                <w:szCs w:val="18"/>
                <w:lang w:eastAsia="en-AU"/>
              </w:rPr>
            </w:pPr>
          </w:p>
        </w:tc>
        <w:tc>
          <w:tcPr>
            <w:tcW w:w="1176" w:type="dxa"/>
            <w:tcBorders>
              <w:top w:val="nil"/>
              <w:left w:val="nil"/>
              <w:bottom w:val="nil"/>
              <w:right w:val="nil"/>
            </w:tcBorders>
            <w:hideMark/>
          </w:tcPr>
          <w:p w14:paraId="2BB70083"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69B7A62"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5B2BE72" w14:textId="77777777" w:rsidR="00EE5F25" w:rsidRPr="001F7081"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1F7081" w14:paraId="39ECCA82" w14:textId="77777777" w:rsidTr="00856101">
        <w:trPr>
          <w:trHeight w:val="207"/>
        </w:trPr>
        <w:tc>
          <w:tcPr>
            <w:tcW w:w="5256" w:type="dxa"/>
            <w:tcBorders>
              <w:top w:val="nil"/>
              <w:left w:val="nil"/>
              <w:bottom w:val="nil"/>
              <w:right w:val="nil"/>
            </w:tcBorders>
            <w:hideMark/>
          </w:tcPr>
          <w:p w14:paraId="452231E9"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r w:rsidRPr="001F7081">
              <w:rPr>
                <w:rFonts w:ascii="Cambria" w:eastAsia="Times New Roman" w:hAnsi="Cambria" w:cs="Calibri"/>
                <w:color w:val="auto"/>
                <w:sz w:val="18"/>
                <w:szCs w:val="18"/>
                <w:lang w:eastAsia="en-AU"/>
              </w:rPr>
              <w:t>No amounts in receivables are overdue.</w:t>
            </w:r>
          </w:p>
        </w:tc>
        <w:tc>
          <w:tcPr>
            <w:tcW w:w="1176" w:type="dxa"/>
            <w:tcBorders>
              <w:top w:val="nil"/>
              <w:left w:val="nil"/>
              <w:bottom w:val="nil"/>
              <w:right w:val="nil"/>
            </w:tcBorders>
            <w:hideMark/>
          </w:tcPr>
          <w:p w14:paraId="4BE18E56"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p>
        </w:tc>
        <w:tc>
          <w:tcPr>
            <w:tcW w:w="1176" w:type="dxa"/>
            <w:tcBorders>
              <w:top w:val="nil"/>
              <w:left w:val="nil"/>
              <w:bottom w:val="nil"/>
              <w:right w:val="nil"/>
            </w:tcBorders>
            <w:noWrap/>
            <w:vAlign w:val="bottom"/>
            <w:hideMark/>
          </w:tcPr>
          <w:p w14:paraId="271E5927"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24EF3D3" w14:textId="77777777" w:rsidR="00EE5F25" w:rsidRPr="001F7081"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1F7081" w14:paraId="12862FE7" w14:textId="77777777" w:rsidTr="00856101">
        <w:trPr>
          <w:trHeight w:val="180"/>
        </w:trPr>
        <w:tc>
          <w:tcPr>
            <w:tcW w:w="5256" w:type="dxa"/>
            <w:tcBorders>
              <w:top w:val="nil"/>
              <w:left w:val="nil"/>
              <w:bottom w:val="nil"/>
              <w:right w:val="nil"/>
            </w:tcBorders>
            <w:hideMark/>
          </w:tcPr>
          <w:p w14:paraId="4C21A36F" w14:textId="77777777" w:rsidR="00EE5F25" w:rsidRPr="001F7081" w:rsidRDefault="00EE5F25" w:rsidP="00856101">
            <w:pPr>
              <w:spacing w:after="0" w:line="240" w:lineRule="auto"/>
              <w:jc w:val="right"/>
              <w:rPr>
                <w:rFonts w:ascii="Times New Roman" w:eastAsia="Times New Roman" w:hAnsi="Times New Roman" w:cs="Times New Roman"/>
                <w:color w:val="auto"/>
                <w:sz w:val="20"/>
                <w:szCs w:val="20"/>
                <w:lang w:eastAsia="en-AU"/>
              </w:rPr>
            </w:pPr>
            <w:r w:rsidRPr="001F7081">
              <w:rPr>
                <w:rFonts w:ascii="Cambria" w:eastAsia="Times New Roman" w:hAnsi="Cambria" w:cs="Calibri"/>
                <w:noProof/>
                <w:color w:val="auto"/>
                <w:sz w:val="18"/>
                <w:szCs w:val="18"/>
                <w:lang w:eastAsia="en-AU"/>
              </w:rPr>
              <mc:AlternateContent>
                <mc:Choice Requires="wps">
                  <w:drawing>
                    <wp:anchor distT="0" distB="0" distL="114300" distR="114300" simplePos="0" relativeHeight="251697152" behindDoc="0" locked="0" layoutInCell="1" allowOverlap="1" wp14:anchorId="1939F4D4" wp14:editId="7244751B">
                      <wp:simplePos x="0" y="0"/>
                      <wp:positionH relativeFrom="column">
                        <wp:posOffset>30752</wp:posOffset>
                      </wp:positionH>
                      <wp:positionV relativeFrom="paragraph">
                        <wp:posOffset>136525</wp:posOffset>
                      </wp:positionV>
                      <wp:extent cx="5577840" cy="2026920"/>
                      <wp:effectExtent l="0" t="0" r="22860" b="11430"/>
                      <wp:wrapNone/>
                      <wp:docPr id="1671117569" name="Text Box 61">
                        <a:extLst xmlns:a="http://schemas.openxmlformats.org/drawingml/2006/main">
                          <a:ext uri="{FF2B5EF4-FFF2-40B4-BE49-F238E27FC236}">
                            <a16:creationId xmlns:a16="http://schemas.microsoft.com/office/drawing/2014/main" id="{00000000-0008-0000-0C00-000003000000}"/>
                          </a:ext>
                        </a:extLst>
                      </wp:docPr>
                      <wp:cNvGraphicFramePr/>
                      <a:graphic xmlns:a="http://schemas.openxmlformats.org/drawingml/2006/main">
                        <a:graphicData uri="http://schemas.microsoft.com/office/word/2010/wordprocessingShape">
                          <wps:wsp>
                            <wps:cNvSpPr txBox="1"/>
                            <wps:spPr>
                              <a:xfrm>
                                <a:off x="0" y="0"/>
                                <a:ext cx="5577840" cy="2026920"/>
                              </a:xfrm>
                              <a:prstGeom prst="rect">
                                <a:avLst/>
                              </a:prstGeom>
                              <a:noFill/>
                              <a:ln w="12700" cap="flat" cmpd="sng" algn="ctr">
                                <a:solidFill>
                                  <a:srgbClr val="009560"/>
                                </a:solidFill>
                                <a:prstDash val="solid"/>
                                <a:round/>
                                <a:headEnd type="none" w="med" len="med"/>
                                <a:tailEnd type="none" w="med" len="med"/>
                              </a:ln>
                              <a:effectLst/>
                            </wps:spPr>
                            <wps:txbx>
                              <w:txbxContent>
                                <w:p w14:paraId="2C2B1B41" w14:textId="77777777" w:rsidR="00EE5F25" w:rsidRPr="00FB5935" w:rsidRDefault="00EE5F25" w:rsidP="00EE5F25">
                                  <w:pPr>
                                    <w:spacing w:after="0"/>
                                    <w:rPr>
                                      <w:rFonts w:cs="Arial"/>
                                      <w:b/>
                                      <w:bCs/>
                                      <w:sz w:val="18"/>
                                      <w:szCs w:val="18"/>
                                    </w:rPr>
                                  </w:pPr>
                                  <w:r w:rsidRPr="00FB5935">
                                    <w:rPr>
                                      <w:rFonts w:cs="Arial"/>
                                      <w:b/>
                                      <w:bCs/>
                                      <w:sz w:val="18"/>
                                      <w:szCs w:val="18"/>
                                    </w:rPr>
                                    <w:t>Accounting Policy</w:t>
                                  </w:r>
                                </w:p>
                                <w:p w14:paraId="0CC151ED" w14:textId="77777777" w:rsidR="00EE5F25" w:rsidRPr="00FB5935" w:rsidRDefault="00EE5F25" w:rsidP="00EE5F25">
                                  <w:pPr>
                                    <w:spacing w:after="0"/>
                                    <w:textAlignment w:val="baseline"/>
                                    <w:rPr>
                                      <w:rFonts w:cs="Arial"/>
                                      <w:b/>
                                      <w:bCs/>
                                      <w:sz w:val="18"/>
                                      <w:szCs w:val="18"/>
                                    </w:rPr>
                                  </w:pPr>
                                  <w:r w:rsidRPr="00FB5935">
                                    <w:rPr>
                                      <w:rFonts w:cs="Arial"/>
                                      <w:b/>
                                      <w:bCs/>
                                      <w:sz w:val="18"/>
                                      <w:szCs w:val="18"/>
                                    </w:rPr>
                                    <w:t>Trade and other receivables</w:t>
                                  </w:r>
                                </w:p>
                                <w:p w14:paraId="6F70A53F" w14:textId="77777777" w:rsidR="00EE5F25" w:rsidRPr="00FB5935" w:rsidRDefault="00EE5F25" w:rsidP="00EE5F25">
                                  <w:pPr>
                                    <w:spacing w:after="0"/>
                                    <w:textAlignment w:val="baseline"/>
                                    <w:rPr>
                                      <w:rFonts w:cs="Arial"/>
                                      <w:sz w:val="18"/>
                                      <w:szCs w:val="18"/>
                                    </w:rPr>
                                  </w:pPr>
                                  <w:r w:rsidRPr="00FB5935">
                                    <w:rPr>
                                      <w:rFonts w:cs="Arial"/>
                                      <w:sz w:val="18"/>
                                      <w:szCs w:val="18"/>
                                    </w:rPr>
                                    <w:t>IHACPA's financial assets are comprised of trade receivables and other receivables that are held for the purpose of collecting the contractual cash flows. All of IHACPA's financial assets are measured, and carried, at amortised cost.</w:t>
                                  </w:r>
                                </w:p>
                                <w:p w14:paraId="4F804BE9" w14:textId="77777777" w:rsidR="00EE5F25" w:rsidRDefault="00EE5F25" w:rsidP="00EE5F25">
                                  <w:pPr>
                                    <w:textAlignment w:val="baseline"/>
                                    <w:rPr>
                                      <w:rFonts w:cs="Arial"/>
                                      <w:b/>
                                      <w:bCs/>
                                      <w:sz w:val="18"/>
                                      <w:szCs w:val="18"/>
                                    </w:rPr>
                                  </w:pPr>
                                </w:p>
                                <w:p w14:paraId="07ED0463" w14:textId="77777777" w:rsidR="00EE5F25" w:rsidRPr="00FB5935" w:rsidRDefault="00EE5F25" w:rsidP="00EE5F25">
                                  <w:pPr>
                                    <w:spacing w:after="0"/>
                                    <w:textAlignment w:val="baseline"/>
                                    <w:rPr>
                                      <w:rFonts w:cs="Arial"/>
                                      <w:b/>
                                      <w:bCs/>
                                      <w:sz w:val="18"/>
                                      <w:szCs w:val="18"/>
                                    </w:rPr>
                                  </w:pPr>
                                  <w:r w:rsidRPr="00FB5935">
                                    <w:rPr>
                                      <w:rFonts w:cs="Arial"/>
                                      <w:b/>
                                      <w:bCs/>
                                      <w:sz w:val="18"/>
                                      <w:szCs w:val="18"/>
                                    </w:rPr>
                                    <w:t>Impairment</w:t>
                                  </w:r>
                                </w:p>
                                <w:p w14:paraId="2ACDFC2B" w14:textId="77777777" w:rsidR="00EE5F25" w:rsidRPr="00FB5935" w:rsidRDefault="00EE5F25" w:rsidP="00EE5F25">
                                  <w:pPr>
                                    <w:spacing w:after="0"/>
                                    <w:rPr>
                                      <w:rFonts w:cs="Arial"/>
                                      <w:sz w:val="18"/>
                                      <w:szCs w:val="18"/>
                                    </w:rPr>
                                  </w:pPr>
                                  <w:r w:rsidRPr="00FB5935">
                                    <w:rPr>
                                      <w:rFonts w:cs="Arial"/>
                                      <w:sz w:val="18"/>
                                      <w:szCs w:val="18"/>
                                    </w:rPr>
                                    <w:t>All assets were assessed for impairment as at 30 June 2026.  Where indications of impairment exist, the asset's recoverable amount is estimated and an impairment adjustment made if the asset's recoverable amount is less than its carrying amount.</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1939F4D4" id="Text Box 61" o:spid="_x0000_s1036" type="#_x0000_t202" style="position:absolute;left:0;text-align:left;margin-left:2.4pt;margin-top:10.75pt;width:439.2pt;height:159.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" filled="f" strokecolor="#009560" strokeweight="1pt">
                      <v:stroke joinstyle="round"/>
                      <v:textbox>
                        <w:txbxContent>
                          <w:p w14:paraId="2C2B1B41" w14:textId="77777777" w:rsidR="00EE5F25" w:rsidRPr="00FB5935" w:rsidRDefault="00EE5F25" w:rsidP="00EE5F25">
                            <w:pPr>
                              <w:spacing w:after="0"/>
                              <w:rPr>
                                <w:rFonts w:cs="Arial"/>
                                <w:b/>
                                <w:bCs/>
                                <w:sz w:val="18"/>
                                <w:szCs w:val="18"/>
                              </w:rPr>
                            </w:pPr>
                            <w:r w:rsidRPr="00FB5935">
                              <w:rPr>
                                <w:rFonts w:cs="Arial"/>
                                <w:b/>
                                <w:bCs/>
                                <w:sz w:val="18"/>
                                <w:szCs w:val="18"/>
                              </w:rPr>
                              <w:t>Accounting Policy</w:t>
                            </w:r>
                          </w:p>
                          <w:p w14:paraId="0CC151ED" w14:textId="77777777" w:rsidR="00EE5F25" w:rsidRPr="00FB5935" w:rsidRDefault="00EE5F25" w:rsidP="00EE5F25">
                            <w:pPr>
                              <w:spacing w:after="0"/>
                              <w:textAlignment w:val="baseline"/>
                              <w:rPr>
                                <w:rFonts w:cs="Arial"/>
                                <w:b/>
                                <w:bCs/>
                                <w:sz w:val="18"/>
                                <w:szCs w:val="18"/>
                              </w:rPr>
                            </w:pPr>
                            <w:r w:rsidRPr="00FB5935">
                              <w:rPr>
                                <w:rFonts w:cs="Arial"/>
                                <w:b/>
                                <w:bCs/>
                                <w:sz w:val="18"/>
                                <w:szCs w:val="18"/>
                              </w:rPr>
                              <w:t>Trade and other receivables</w:t>
                            </w:r>
                          </w:p>
                          <w:p w14:paraId="6F70A53F" w14:textId="77777777" w:rsidR="00EE5F25" w:rsidRPr="00FB5935" w:rsidRDefault="00EE5F25" w:rsidP="00EE5F25">
                            <w:pPr>
                              <w:spacing w:after="0"/>
                              <w:textAlignment w:val="baseline"/>
                              <w:rPr>
                                <w:rFonts w:cs="Arial"/>
                                <w:sz w:val="18"/>
                                <w:szCs w:val="18"/>
                              </w:rPr>
                            </w:pPr>
                            <w:r w:rsidRPr="00FB5935">
                              <w:rPr>
                                <w:rFonts w:cs="Arial"/>
                                <w:sz w:val="18"/>
                                <w:szCs w:val="18"/>
                              </w:rPr>
                              <w:t>IHACPA's financial assets are comprised of trade receivables and other receivables that are held for the purpose of collecting the contractual cash flows. All of IHACPA's financial assets are measured, and carried, at amortised cost.</w:t>
                            </w:r>
                          </w:p>
                          <w:p w14:paraId="4F804BE9" w14:textId="77777777" w:rsidR="00EE5F25" w:rsidRDefault="00EE5F25" w:rsidP="00EE5F25">
                            <w:pPr>
                              <w:textAlignment w:val="baseline"/>
                              <w:rPr>
                                <w:rFonts w:cs="Arial"/>
                                <w:b/>
                                <w:bCs/>
                                <w:sz w:val="18"/>
                                <w:szCs w:val="18"/>
                              </w:rPr>
                            </w:pPr>
                          </w:p>
                          <w:p w14:paraId="07ED0463" w14:textId="77777777" w:rsidR="00EE5F25" w:rsidRPr="00FB5935" w:rsidRDefault="00EE5F25" w:rsidP="00EE5F25">
                            <w:pPr>
                              <w:spacing w:after="0"/>
                              <w:textAlignment w:val="baseline"/>
                              <w:rPr>
                                <w:rFonts w:cs="Arial"/>
                                <w:b/>
                                <w:bCs/>
                                <w:sz w:val="18"/>
                                <w:szCs w:val="18"/>
                              </w:rPr>
                            </w:pPr>
                            <w:r w:rsidRPr="00FB5935">
                              <w:rPr>
                                <w:rFonts w:cs="Arial"/>
                                <w:b/>
                                <w:bCs/>
                                <w:sz w:val="18"/>
                                <w:szCs w:val="18"/>
                              </w:rPr>
                              <w:t>Impairment</w:t>
                            </w:r>
                          </w:p>
                          <w:p w14:paraId="2ACDFC2B" w14:textId="77777777" w:rsidR="00EE5F25" w:rsidRPr="00FB5935" w:rsidRDefault="00EE5F25" w:rsidP="00EE5F25">
                            <w:pPr>
                              <w:spacing w:after="0"/>
                              <w:rPr>
                                <w:rFonts w:cs="Arial"/>
                                <w:sz w:val="18"/>
                                <w:szCs w:val="18"/>
                              </w:rPr>
                            </w:pPr>
                            <w:r w:rsidRPr="00FB5935">
                              <w:rPr>
                                <w:rFonts w:cs="Arial"/>
                                <w:sz w:val="18"/>
                                <w:szCs w:val="18"/>
                              </w:rPr>
                              <w:t>All assets were assessed for impairment as at 30 June 2026.  Where indications of impairment exist, the asset's recoverable amount is estimated and an impairment adjustment made if the asset's recoverable amount is less than its carrying amount.</w:t>
                            </w:r>
                          </w:p>
                        </w:txbxContent>
                      </v:textbox>
                    </v:shape>
                  </w:pict>
                </mc:Fallback>
              </mc:AlternateContent>
            </w:r>
          </w:p>
        </w:tc>
        <w:tc>
          <w:tcPr>
            <w:tcW w:w="1176" w:type="dxa"/>
            <w:tcBorders>
              <w:top w:val="nil"/>
              <w:left w:val="nil"/>
              <w:bottom w:val="nil"/>
              <w:right w:val="nil"/>
            </w:tcBorders>
            <w:hideMark/>
          </w:tcPr>
          <w:p w14:paraId="4187BABB"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F1376DF"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8C401CE" w14:textId="77777777" w:rsidR="00EE5F25" w:rsidRPr="001F7081"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1F7081" w14:paraId="266F62CA" w14:textId="77777777" w:rsidTr="00856101">
        <w:trPr>
          <w:trHeight w:val="255"/>
        </w:trPr>
        <w:tc>
          <w:tcPr>
            <w:tcW w:w="5256" w:type="dxa"/>
            <w:tcBorders>
              <w:top w:val="nil"/>
              <w:left w:val="nil"/>
              <w:bottom w:val="nil"/>
              <w:right w:val="nil"/>
            </w:tcBorders>
            <w:hideMark/>
          </w:tcPr>
          <w:p w14:paraId="40E87255" w14:textId="77777777" w:rsidR="00EE5F25" w:rsidRPr="001F7081"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hideMark/>
          </w:tcPr>
          <w:p w14:paraId="3076F04F"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hideMark/>
          </w:tcPr>
          <w:p w14:paraId="5DEDE0D6"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hideMark/>
          </w:tcPr>
          <w:p w14:paraId="09D75F4A"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1F7081" w14:paraId="01FCE26C" w14:textId="77777777" w:rsidTr="00856101">
        <w:trPr>
          <w:trHeight w:val="1530"/>
        </w:trPr>
        <w:tc>
          <w:tcPr>
            <w:tcW w:w="5256" w:type="dxa"/>
            <w:tcBorders>
              <w:top w:val="nil"/>
              <w:left w:val="nil"/>
              <w:bottom w:val="nil"/>
              <w:right w:val="nil"/>
            </w:tcBorders>
            <w:hideMark/>
          </w:tcPr>
          <w:p w14:paraId="1A2DAF1C"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p>
        </w:tc>
        <w:tc>
          <w:tcPr>
            <w:tcW w:w="1176" w:type="dxa"/>
            <w:tcBorders>
              <w:top w:val="nil"/>
              <w:left w:val="nil"/>
              <w:bottom w:val="nil"/>
              <w:right w:val="nil"/>
            </w:tcBorders>
            <w:hideMark/>
          </w:tcPr>
          <w:p w14:paraId="65A382D6" w14:textId="77777777" w:rsidR="00EE5F25" w:rsidRPr="001F7081" w:rsidRDefault="00EE5F25" w:rsidP="00856101">
            <w:pPr>
              <w:spacing w:after="0" w:line="240" w:lineRule="auto"/>
              <w:rPr>
                <w:rFonts w:ascii="Cambria" w:eastAsia="Times New Roman" w:hAnsi="Cambria" w:cs="Calibri"/>
                <w:color w:val="auto"/>
                <w:sz w:val="18"/>
                <w:szCs w:val="18"/>
                <w:lang w:eastAsia="en-AU"/>
              </w:rPr>
            </w:pPr>
          </w:p>
        </w:tc>
        <w:tc>
          <w:tcPr>
            <w:tcW w:w="1176" w:type="dxa"/>
            <w:tcBorders>
              <w:top w:val="nil"/>
              <w:left w:val="nil"/>
              <w:bottom w:val="nil"/>
              <w:right w:val="nil"/>
            </w:tcBorders>
            <w:hideMark/>
          </w:tcPr>
          <w:p w14:paraId="4CDF3863"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hideMark/>
          </w:tcPr>
          <w:p w14:paraId="2A831657"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1F7081" w14:paraId="0326C5C4" w14:textId="77777777" w:rsidTr="00856101">
        <w:trPr>
          <w:trHeight w:val="30"/>
        </w:trPr>
        <w:tc>
          <w:tcPr>
            <w:tcW w:w="5256" w:type="dxa"/>
            <w:tcBorders>
              <w:top w:val="nil"/>
              <w:left w:val="nil"/>
              <w:bottom w:val="nil"/>
              <w:right w:val="nil"/>
            </w:tcBorders>
            <w:hideMark/>
          </w:tcPr>
          <w:p w14:paraId="5D870267"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hideMark/>
          </w:tcPr>
          <w:p w14:paraId="1F7419F7"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hideMark/>
          </w:tcPr>
          <w:p w14:paraId="4414DC77"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hideMark/>
          </w:tcPr>
          <w:p w14:paraId="6F5AA2DC"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1F7081" w14:paraId="5588CB6E" w14:textId="77777777" w:rsidTr="00856101">
        <w:trPr>
          <w:trHeight w:val="255"/>
        </w:trPr>
        <w:tc>
          <w:tcPr>
            <w:tcW w:w="5256" w:type="dxa"/>
            <w:tcBorders>
              <w:top w:val="nil"/>
              <w:left w:val="nil"/>
              <w:bottom w:val="nil"/>
              <w:right w:val="nil"/>
            </w:tcBorders>
            <w:noWrap/>
            <w:vAlign w:val="bottom"/>
            <w:hideMark/>
          </w:tcPr>
          <w:p w14:paraId="017D9CCA"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AF4A7C8"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6D58F8D"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9F0CA2B"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1F7081" w14:paraId="568D07A9" w14:textId="77777777" w:rsidTr="00856101">
        <w:trPr>
          <w:trHeight w:val="255"/>
        </w:trPr>
        <w:tc>
          <w:tcPr>
            <w:tcW w:w="5256" w:type="dxa"/>
            <w:tcBorders>
              <w:top w:val="nil"/>
              <w:left w:val="nil"/>
              <w:bottom w:val="nil"/>
              <w:right w:val="nil"/>
            </w:tcBorders>
            <w:noWrap/>
            <w:vAlign w:val="bottom"/>
            <w:hideMark/>
          </w:tcPr>
          <w:p w14:paraId="7BF125CE"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D4450C9"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0DC2015"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7C7C994"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1F7081" w14:paraId="43787E70" w14:textId="77777777" w:rsidTr="00856101">
        <w:trPr>
          <w:trHeight w:val="255"/>
        </w:trPr>
        <w:tc>
          <w:tcPr>
            <w:tcW w:w="5256" w:type="dxa"/>
            <w:tcBorders>
              <w:top w:val="nil"/>
              <w:left w:val="nil"/>
              <w:bottom w:val="nil"/>
              <w:right w:val="nil"/>
            </w:tcBorders>
            <w:noWrap/>
            <w:vAlign w:val="bottom"/>
            <w:hideMark/>
          </w:tcPr>
          <w:p w14:paraId="7B6BB083"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D5F94C9"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6DBE553"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CF94FD5"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1F7081" w14:paraId="351BDE4C" w14:textId="77777777" w:rsidTr="00856101">
        <w:trPr>
          <w:trHeight w:val="75"/>
        </w:trPr>
        <w:tc>
          <w:tcPr>
            <w:tcW w:w="5256" w:type="dxa"/>
            <w:tcBorders>
              <w:top w:val="nil"/>
              <w:left w:val="nil"/>
              <w:bottom w:val="nil"/>
              <w:right w:val="nil"/>
            </w:tcBorders>
            <w:noWrap/>
            <w:vAlign w:val="bottom"/>
            <w:hideMark/>
          </w:tcPr>
          <w:p w14:paraId="00976349"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AC89DC4"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D595587"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732DB82"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1F7081" w14:paraId="117954E5" w14:textId="77777777" w:rsidTr="00856101">
        <w:trPr>
          <w:trHeight w:val="288"/>
        </w:trPr>
        <w:tc>
          <w:tcPr>
            <w:tcW w:w="5256" w:type="dxa"/>
            <w:tcBorders>
              <w:top w:val="nil"/>
              <w:left w:val="nil"/>
              <w:bottom w:val="nil"/>
              <w:right w:val="nil"/>
            </w:tcBorders>
            <w:noWrap/>
            <w:vAlign w:val="bottom"/>
            <w:hideMark/>
          </w:tcPr>
          <w:p w14:paraId="092BDBCF"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29C51A3"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1F4D851"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91B903D" w14:textId="77777777" w:rsidR="00EE5F25" w:rsidRPr="001F7081" w:rsidRDefault="00EE5F25" w:rsidP="00856101">
            <w:pPr>
              <w:spacing w:after="0" w:line="240" w:lineRule="auto"/>
              <w:rPr>
                <w:rFonts w:ascii="Times New Roman" w:eastAsia="Times New Roman" w:hAnsi="Times New Roman" w:cs="Times New Roman"/>
                <w:color w:val="auto"/>
                <w:sz w:val="20"/>
                <w:szCs w:val="20"/>
                <w:lang w:eastAsia="en-AU"/>
              </w:rPr>
            </w:pPr>
          </w:p>
        </w:tc>
      </w:tr>
    </w:tbl>
    <w:p w14:paraId="76BA9BC5" w14:textId="77777777" w:rsidR="00EE5F25" w:rsidRDefault="00EE5F25" w:rsidP="00EE5F25"/>
    <w:tbl>
      <w:tblPr>
        <w:tblW w:w="10212" w:type="dxa"/>
        <w:tblLook w:val="04A0" w:firstRow="1" w:lastRow="0" w:firstColumn="1" w:lastColumn="0" w:noHBand="0" w:noVBand="1"/>
      </w:tblPr>
      <w:tblGrid>
        <w:gridCol w:w="4677"/>
        <w:gridCol w:w="1051"/>
        <w:gridCol w:w="1348"/>
        <w:gridCol w:w="1136"/>
        <w:gridCol w:w="923"/>
        <w:gridCol w:w="1077"/>
      </w:tblGrid>
      <w:tr w:rsidR="00EE5F25" w:rsidRPr="003E6B5D" w14:paraId="76DAD24D" w14:textId="77777777" w:rsidTr="00856101">
        <w:trPr>
          <w:trHeight w:val="387"/>
        </w:trPr>
        <w:tc>
          <w:tcPr>
            <w:tcW w:w="4677" w:type="dxa"/>
            <w:tcBorders>
              <w:top w:val="single" w:sz="4" w:space="0" w:color="FFFFFF"/>
              <w:left w:val="nil"/>
              <w:bottom w:val="nil"/>
              <w:right w:val="nil"/>
            </w:tcBorders>
            <w:shd w:val="clear" w:color="000000" w:fill="37424A"/>
            <w:noWrap/>
            <w:vAlign w:val="center"/>
            <w:hideMark/>
          </w:tcPr>
          <w:p w14:paraId="6FF6D8D0" w14:textId="77777777" w:rsidR="00EE5F25" w:rsidRPr="003E6B5D" w:rsidRDefault="00EE5F25" w:rsidP="00856101">
            <w:pPr>
              <w:spacing w:after="0" w:line="240" w:lineRule="auto"/>
              <w:rPr>
                <w:rFonts w:ascii="Cambria" w:eastAsia="Times New Roman" w:hAnsi="Cambria" w:cs="Calibri"/>
                <w:b/>
                <w:bCs/>
                <w:color w:val="FFFFFF"/>
                <w:sz w:val="18"/>
                <w:szCs w:val="18"/>
                <w:lang w:eastAsia="en-AU"/>
              </w:rPr>
            </w:pPr>
            <w:r w:rsidRPr="003E6B5D">
              <w:rPr>
                <w:rFonts w:ascii="Cambria" w:eastAsia="Times New Roman" w:hAnsi="Cambria" w:cs="Calibri"/>
                <w:b/>
                <w:bCs/>
                <w:color w:val="FFFFFF"/>
                <w:sz w:val="18"/>
                <w:szCs w:val="18"/>
                <w:lang w:eastAsia="en-AU"/>
              </w:rPr>
              <w:lastRenderedPageBreak/>
              <w:t>Note 2.2 Non-Financial Assets</w:t>
            </w:r>
          </w:p>
        </w:tc>
        <w:tc>
          <w:tcPr>
            <w:tcW w:w="1051" w:type="dxa"/>
            <w:tcBorders>
              <w:top w:val="single" w:sz="4" w:space="0" w:color="FFFFFF"/>
              <w:left w:val="nil"/>
              <w:bottom w:val="nil"/>
              <w:right w:val="nil"/>
            </w:tcBorders>
            <w:shd w:val="clear" w:color="000000" w:fill="37424A"/>
            <w:noWrap/>
            <w:vAlign w:val="center"/>
            <w:hideMark/>
          </w:tcPr>
          <w:p w14:paraId="6BE89454" w14:textId="77777777" w:rsidR="00EE5F25" w:rsidRPr="003E6B5D" w:rsidRDefault="00EE5F25" w:rsidP="00856101">
            <w:pPr>
              <w:spacing w:after="0" w:line="240" w:lineRule="auto"/>
              <w:rPr>
                <w:rFonts w:ascii="Cambria" w:eastAsia="Times New Roman" w:hAnsi="Cambria" w:cs="Calibri"/>
                <w:b/>
                <w:bCs/>
                <w:color w:val="FFFFFF"/>
                <w:sz w:val="18"/>
                <w:szCs w:val="18"/>
                <w:lang w:eastAsia="en-AU"/>
              </w:rPr>
            </w:pPr>
            <w:r w:rsidRPr="003E6B5D">
              <w:rPr>
                <w:rFonts w:ascii="Cambria" w:eastAsia="Times New Roman" w:hAnsi="Cambria" w:cs="Calibri"/>
                <w:b/>
                <w:bCs/>
                <w:color w:val="FFFFFF"/>
                <w:sz w:val="18"/>
                <w:szCs w:val="18"/>
                <w:lang w:eastAsia="en-AU"/>
              </w:rPr>
              <w:t> </w:t>
            </w:r>
          </w:p>
        </w:tc>
        <w:tc>
          <w:tcPr>
            <w:tcW w:w="1193" w:type="dxa"/>
            <w:tcBorders>
              <w:top w:val="single" w:sz="4" w:space="0" w:color="FFFFFF"/>
              <w:left w:val="nil"/>
              <w:bottom w:val="nil"/>
              <w:right w:val="nil"/>
            </w:tcBorders>
            <w:shd w:val="clear" w:color="000000" w:fill="37424A"/>
            <w:noWrap/>
            <w:vAlign w:val="center"/>
            <w:hideMark/>
          </w:tcPr>
          <w:p w14:paraId="548F4297" w14:textId="77777777" w:rsidR="00EE5F25" w:rsidRPr="003E6B5D" w:rsidRDefault="00EE5F25" w:rsidP="00856101">
            <w:pPr>
              <w:spacing w:after="0" w:line="240" w:lineRule="auto"/>
              <w:rPr>
                <w:rFonts w:ascii="Cambria" w:eastAsia="Times New Roman" w:hAnsi="Cambria" w:cs="Calibri"/>
                <w:b/>
                <w:bCs/>
                <w:color w:val="FFFFFF"/>
                <w:sz w:val="18"/>
                <w:szCs w:val="18"/>
                <w:lang w:eastAsia="en-AU"/>
              </w:rPr>
            </w:pPr>
            <w:r w:rsidRPr="003E6B5D">
              <w:rPr>
                <w:rFonts w:ascii="Cambria" w:eastAsia="Times New Roman" w:hAnsi="Cambria" w:cs="Calibri"/>
                <w:b/>
                <w:bCs/>
                <w:color w:val="FFFFFF"/>
                <w:sz w:val="18"/>
                <w:szCs w:val="18"/>
                <w:lang w:eastAsia="en-AU"/>
              </w:rPr>
              <w:t> </w:t>
            </w:r>
          </w:p>
        </w:tc>
        <w:tc>
          <w:tcPr>
            <w:tcW w:w="1136" w:type="dxa"/>
            <w:tcBorders>
              <w:top w:val="single" w:sz="4" w:space="0" w:color="FFFFFF"/>
              <w:left w:val="nil"/>
              <w:bottom w:val="nil"/>
              <w:right w:val="nil"/>
            </w:tcBorders>
            <w:shd w:val="clear" w:color="000000" w:fill="37424A"/>
            <w:noWrap/>
            <w:vAlign w:val="center"/>
            <w:hideMark/>
          </w:tcPr>
          <w:p w14:paraId="16FA803C" w14:textId="77777777" w:rsidR="00EE5F25" w:rsidRPr="003E6B5D" w:rsidRDefault="00EE5F25" w:rsidP="00856101">
            <w:pPr>
              <w:spacing w:after="0" w:line="240" w:lineRule="auto"/>
              <w:rPr>
                <w:rFonts w:ascii="Cambria" w:eastAsia="Times New Roman" w:hAnsi="Cambria" w:cs="Calibri"/>
                <w:b/>
                <w:bCs/>
                <w:color w:val="FFFFFF"/>
                <w:sz w:val="18"/>
                <w:szCs w:val="18"/>
                <w:lang w:eastAsia="en-AU"/>
              </w:rPr>
            </w:pPr>
            <w:r w:rsidRPr="003E6B5D">
              <w:rPr>
                <w:rFonts w:ascii="Cambria" w:eastAsia="Times New Roman" w:hAnsi="Cambria" w:cs="Calibri"/>
                <w:b/>
                <w:bCs/>
                <w:color w:val="FFFFFF"/>
                <w:sz w:val="18"/>
                <w:szCs w:val="18"/>
                <w:lang w:eastAsia="en-AU"/>
              </w:rPr>
              <w:t> </w:t>
            </w:r>
          </w:p>
        </w:tc>
        <w:tc>
          <w:tcPr>
            <w:tcW w:w="1077" w:type="dxa"/>
            <w:tcBorders>
              <w:top w:val="nil"/>
              <w:left w:val="nil"/>
              <w:bottom w:val="nil"/>
              <w:right w:val="nil"/>
            </w:tcBorders>
            <w:shd w:val="clear" w:color="000000" w:fill="37424A"/>
          </w:tcPr>
          <w:p w14:paraId="23164E6C" w14:textId="77777777" w:rsidR="00EE5F25" w:rsidRPr="003E6B5D" w:rsidRDefault="00EE5F25" w:rsidP="00856101">
            <w:pPr>
              <w:spacing w:after="0" w:line="240" w:lineRule="auto"/>
              <w:rPr>
                <w:rFonts w:ascii="Cambria" w:eastAsia="Times New Roman" w:hAnsi="Cambria" w:cs="Calibri"/>
                <w:b/>
                <w:bCs/>
                <w:color w:val="FFFFFF"/>
                <w:sz w:val="18"/>
                <w:szCs w:val="18"/>
                <w:lang w:eastAsia="en-AU"/>
              </w:rPr>
            </w:pPr>
          </w:p>
        </w:tc>
        <w:tc>
          <w:tcPr>
            <w:tcW w:w="1077" w:type="dxa"/>
            <w:tcBorders>
              <w:top w:val="nil"/>
              <w:left w:val="nil"/>
              <w:bottom w:val="nil"/>
              <w:right w:val="nil"/>
            </w:tcBorders>
            <w:shd w:val="clear" w:color="000000" w:fill="37424A"/>
            <w:noWrap/>
            <w:vAlign w:val="center"/>
            <w:hideMark/>
          </w:tcPr>
          <w:p w14:paraId="29CB49CC" w14:textId="77777777" w:rsidR="00EE5F25" w:rsidRPr="003E6B5D" w:rsidRDefault="00EE5F25" w:rsidP="00856101">
            <w:pPr>
              <w:spacing w:after="0" w:line="240" w:lineRule="auto"/>
              <w:rPr>
                <w:rFonts w:ascii="Cambria" w:eastAsia="Times New Roman" w:hAnsi="Cambria" w:cs="Calibri"/>
                <w:b/>
                <w:bCs/>
                <w:color w:val="FFFFFF"/>
                <w:sz w:val="18"/>
                <w:szCs w:val="18"/>
                <w:lang w:eastAsia="en-AU"/>
              </w:rPr>
            </w:pPr>
            <w:r w:rsidRPr="003E6B5D">
              <w:rPr>
                <w:rFonts w:ascii="Cambria" w:eastAsia="Times New Roman" w:hAnsi="Cambria" w:cs="Calibri"/>
                <w:b/>
                <w:bCs/>
                <w:color w:val="FFFFFF"/>
                <w:sz w:val="18"/>
                <w:szCs w:val="18"/>
                <w:lang w:eastAsia="en-AU"/>
              </w:rPr>
              <w:t> </w:t>
            </w:r>
          </w:p>
        </w:tc>
      </w:tr>
      <w:tr w:rsidR="00EE5F25" w:rsidRPr="003E6B5D" w14:paraId="59653588" w14:textId="77777777" w:rsidTr="00856101">
        <w:trPr>
          <w:trHeight w:val="252"/>
        </w:trPr>
        <w:tc>
          <w:tcPr>
            <w:tcW w:w="4677" w:type="dxa"/>
            <w:tcBorders>
              <w:top w:val="nil"/>
              <w:left w:val="nil"/>
              <w:bottom w:val="nil"/>
              <w:right w:val="nil"/>
            </w:tcBorders>
            <w:hideMark/>
          </w:tcPr>
          <w:p w14:paraId="43C2C0D8" w14:textId="77777777" w:rsidR="00EE5F25" w:rsidRPr="003E6B5D" w:rsidRDefault="00EE5F25" w:rsidP="00856101">
            <w:pPr>
              <w:spacing w:after="0" w:line="240" w:lineRule="auto"/>
              <w:rPr>
                <w:rFonts w:ascii="Cambria" w:eastAsia="Times New Roman" w:hAnsi="Cambria" w:cs="Calibri"/>
                <w:b/>
                <w:bCs/>
                <w:color w:val="FFFFFF"/>
                <w:sz w:val="18"/>
                <w:szCs w:val="18"/>
                <w:lang w:eastAsia="en-AU"/>
              </w:rPr>
            </w:pPr>
          </w:p>
        </w:tc>
        <w:tc>
          <w:tcPr>
            <w:tcW w:w="1051" w:type="dxa"/>
            <w:tcBorders>
              <w:top w:val="nil"/>
              <w:left w:val="nil"/>
              <w:bottom w:val="nil"/>
              <w:right w:val="nil"/>
            </w:tcBorders>
            <w:hideMark/>
          </w:tcPr>
          <w:p w14:paraId="216CF576" w14:textId="77777777" w:rsidR="00EE5F25" w:rsidRPr="003E6B5D"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93" w:type="dxa"/>
            <w:tcBorders>
              <w:top w:val="nil"/>
              <w:left w:val="nil"/>
              <w:bottom w:val="nil"/>
              <w:right w:val="nil"/>
            </w:tcBorders>
            <w:hideMark/>
          </w:tcPr>
          <w:p w14:paraId="6C118548"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7331E0E"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077" w:type="dxa"/>
            <w:tcBorders>
              <w:top w:val="nil"/>
              <w:left w:val="nil"/>
              <w:bottom w:val="nil"/>
              <w:right w:val="nil"/>
            </w:tcBorders>
          </w:tcPr>
          <w:p w14:paraId="7F14E582" w14:textId="77777777" w:rsidR="00EE5F25" w:rsidRPr="003E6B5D" w:rsidRDefault="00EE5F25" w:rsidP="00856101">
            <w:pPr>
              <w:spacing w:after="0" w:line="240" w:lineRule="auto"/>
              <w:rPr>
                <w:rFonts w:ascii="Times New Roman" w:eastAsia="Times New Roman" w:hAnsi="Times New Roman" w:cs="Times New Roman"/>
                <w:color w:val="auto"/>
                <w:sz w:val="20"/>
                <w:szCs w:val="20"/>
                <w:lang w:eastAsia="en-AU"/>
              </w:rPr>
            </w:pPr>
          </w:p>
        </w:tc>
        <w:tc>
          <w:tcPr>
            <w:tcW w:w="1077" w:type="dxa"/>
            <w:tcBorders>
              <w:top w:val="nil"/>
              <w:left w:val="nil"/>
              <w:bottom w:val="nil"/>
              <w:right w:val="nil"/>
            </w:tcBorders>
            <w:noWrap/>
            <w:vAlign w:val="bottom"/>
            <w:hideMark/>
          </w:tcPr>
          <w:p w14:paraId="5FB5B81E" w14:textId="77777777" w:rsidR="00EE5F25" w:rsidRPr="003E6B5D"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3E6B5D" w14:paraId="26DB9A11" w14:textId="77777777" w:rsidTr="00856101">
        <w:trPr>
          <w:trHeight w:val="275"/>
        </w:trPr>
        <w:tc>
          <w:tcPr>
            <w:tcW w:w="6922" w:type="dxa"/>
            <w:gridSpan w:val="3"/>
            <w:tcBorders>
              <w:top w:val="nil"/>
              <w:left w:val="nil"/>
              <w:bottom w:val="nil"/>
              <w:right w:val="nil"/>
            </w:tcBorders>
            <w:noWrap/>
            <w:hideMark/>
          </w:tcPr>
          <w:p w14:paraId="1AC38C0F" w14:textId="77777777" w:rsidR="00EE5F25" w:rsidRPr="003E6B5D" w:rsidRDefault="00EE5F25" w:rsidP="00856101">
            <w:pPr>
              <w:spacing w:after="0" w:line="240" w:lineRule="auto"/>
              <w:rPr>
                <w:rFonts w:ascii="Cambria" w:eastAsia="Times New Roman" w:hAnsi="Cambria" w:cs="Calibri"/>
                <w:b/>
                <w:bCs/>
                <w:color w:val="auto"/>
                <w:sz w:val="18"/>
                <w:szCs w:val="18"/>
                <w:u w:val="single"/>
                <w:lang w:eastAsia="en-AU"/>
              </w:rPr>
            </w:pPr>
            <w:r w:rsidRPr="003E6B5D">
              <w:rPr>
                <w:rFonts w:ascii="Cambria" w:eastAsia="Times New Roman" w:hAnsi="Cambria" w:cs="Calibri"/>
                <w:b/>
                <w:bCs/>
                <w:color w:val="auto"/>
                <w:sz w:val="18"/>
                <w:szCs w:val="18"/>
                <w:u w:val="single"/>
                <w:lang w:eastAsia="en-AU"/>
              </w:rPr>
              <w:t>Note 2.2A: Reconciliation of the Opening and Closing Balances of Property, Plant and Equipment, and Intangibles</w:t>
            </w:r>
          </w:p>
        </w:tc>
        <w:tc>
          <w:tcPr>
            <w:tcW w:w="1136" w:type="dxa"/>
            <w:tcBorders>
              <w:top w:val="nil"/>
              <w:left w:val="nil"/>
              <w:bottom w:val="nil"/>
              <w:right w:val="nil"/>
            </w:tcBorders>
            <w:noWrap/>
            <w:vAlign w:val="bottom"/>
            <w:hideMark/>
          </w:tcPr>
          <w:p w14:paraId="5AE0D345" w14:textId="77777777" w:rsidR="00EE5F25" w:rsidRPr="003E6B5D" w:rsidRDefault="00EE5F25" w:rsidP="00856101">
            <w:pPr>
              <w:spacing w:after="0" w:line="240" w:lineRule="auto"/>
              <w:rPr>
                <w:rFonts w:ascii="Cambria" w:eastAsia="Times New Roman" w:hAnsi="Cambria" w:cs="Calibri"/>
                <w:b/>
                <w:bCs/>
                <w:color w:val="auto"/>
                <w:sz w:val="18"/>
                <w:szCs w:val="18"/>
                <w:u w:val="single"/>
                <w:lang w:eastAsia="en-AU"/>
              </w:rPr>
            </w:pPr>
          </w:p>
        </w:tc>
        <w:tc>
          <w:tcPr>
            <w:tcW w:w="1077" w:type="dxa"/>
            <w:tcBorders>
              <w:top w:val="nil"/>
              <w:left w:val="nil"/>
              <w:bottom w:val="nil"/>
              <w:right w:val="nil"/>
            </w:tcBorders>
          </w:tcPr>
          <w:p w14:paraId="7E15E444" w14:textId="77777777" w:rsidR="00EE5F25" w:rsidRPr="003E6B5D" w:rsidRDefault="00EE5F25" w:rsidP="00856101">
            <w:pPr>
              <w:spacing w:after="0" w:line="240" w:lineRule="auto"/>
              <w:rPr>
                <w:rFonts w:ascii="Times New Roman" w:eastAsia="Times New Roman" w:hAnsi="Times New Roman" w:cs="Times New Roman"/>
                <w:color w:val="auto"/>
                <w:sz w:val="20"/>
                <w:szCs w:val="20"/>
                <w:lang w:eastAsia="en-AU"/>
              </w:rPr>
            </w:pPr>
          </w:p>
        </w:tc>
        <w:tc>
          <w:tcPr>
            <w:tcW w:w="1077" w:type="dxa"/>
            <w:tcBorders>
              <w:top w:val="nil"/>
              <w:left w:val="nil"/>
              <w:bottom w:val="nil"/>
              <w:right w:val="nil"/>
            </w:tcBorders>
            <w:noWrap/>
            <w:vAlign w:val="bottom"/>
            <w:hideMark/>
          </w:tcPr>
          <w:p w14:paraId="28E2FB9E" w14:textId="77777777" w:rsidR="00EE5F25" w:rsidRPr="003E6B5D"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3E6B5D" w14:paraId="69F36236" w14:textId="77777777" w:rsidTr="00856101">
        <w:trPr>
          <w:trHeight w:val="252"/>
        </w:trPr>
        <w:tc>
          <w:tcPr>
            <w:tcW w:w="4677" w:type="dxa"/>
            <w:tcBorders>
              <w:top w:val="nil"/>
              <w:left w:val="nil"/>
              <w:bottom w:val="nil"/>
              <w:right w:val="nil"/>
            </w:tcBorders>
            <w:noWrap/>
            <w:hideMark/>
          </w:tcPr>
          <w:p w14:paraId="51B24475" w14:textId="77777777" w:rsidR="00EE5F25" w:rsidRPr="003E6B5D" w:rsidRDefault="00EE5F25" w:rsidP="00856101">
            <w:pPr>
              <w:spacing w:after="0" w:line="240" w:lineRule="auto"/>
              <w:rPr>
                <w:rFonts w:ascii="Times New Roman" w:eastAsia="Times New Roman" w:hAnsi="Times New Roman" w:cs="Times New Roman"/>
                <w:color w:val="auto"/>
                <w:sz w:val="20"/>
                <w:szCs w:val="20"/>
                <w:lang w:eastAsia="en-AU"/>
              </w:rPr>
            </w:pPr>
          </w:p>
        </w:tc>
        <w:tc>
          <w:tcPr>
            <w:tcW w:w="1051" w:type="dxa"/>
            <w:tcBorders>
              <w:top w:val="nil"/>
              <w:left w:val="nil"/>
              <w:bottom w:val="nil"/>
              <w:right w:val="nil"/>
            </w:tcBorders>
            <w:hideMark/>
          </w:tcPr>
          <w:p w14:paraId="3EF924E1" w14:textId="77777777" w:rsidR="00EE5F25" w:rsidRPr="003E6B5D"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93" w:type="dxa"/>
            <w:tcBorders>
              <w:top w:val="nil"/>
              <w:left w:val="nil"/>
              <w:bottom w:val="nil"/>
              <w:right w:val="nil"/>
            </w:tcBorders>
            <w:hideMark/>
          </w:tcPr>
          <w:p w14:paraId="7708A68C" w14:textId="77777777" w:rsidR="00EE5F25" w:rsidRPr="003E6B5D" w:rsidRDefault="00EE5F2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hideMark/>
          </w:tcPr>
          <w:p w14:paraId="21EA4EC2" w14:textId="77777777" w:rsidR="00EE5F25" w:rsidRPr="003E6B5D" w:rsidRDefault="00EE5F25" w:rsidP="00856101">
            <w:pPr>
              <w:spacing w:after="0" w:line="240" w:lineRule="auto"/>
              <w:rPr>
                <w:rFonts w:ascii="Times New Roman" w:eastAsia="Times New Roman" w:hAnsi="Times New Roman" w:cs="Times New Roman"/>
                <w:color w:val="auto"/>
                <w:sz w:val="20"/>
                <w:szCs w:val="20"/>
                <w:lang w:eastAsia="en-AU"/>
              </w:rPr>
            </w:pPr>
          </w:p>
        </w:tc>
        <w:tc>
          <w:tcPr>
            <w:tcW w:w="1077" w:type="dxa"/>
            <w:tcBorders>
              <w:top w:val="nil"/>
              <w:left w:val="nil"/>
              <w:bottom w:val="nil"/>
              <w:right w:val="nil"/>
            </w:tcBorders>
          </w:tcPr>
          <w:p w14:paraId="34DC32BB" w14:textId="77777777" w:rsidR="00EE5F25" w:rsidRPr="003E6B5D" w:rsidRDefault="00EE5F25" w:rsidP="00856101">
            <w:pPr>
              <w:spacing w:after="0" w:line="240" w:lineRule="auto"/>
              <w:rPr>
                <w:rFonts w:ascii="Times New Roman" w:eastAsia="Times New Roman" w:hAnsi="Times New Roman" w:cs="Times New Roman"/>
                <w:color w:val="auto"/>
                <w:sz w:val="20"/>
                <w:szCs w:val="20"/>
                <w:lang w:eastAsia="en-AU"/>
              </w:rPr>
            </w:pPr>
          </w:p>
        </w:tc>
        <w:tc>
          <w:tcPr>
            <w:tcW w:w="1077" w:type="dxa"/>
            <w:tcBorders>
              <w:top w:val="nil"/>
              <w:left w:val="nil"/>
              <w:bottom w:val="nil"/>
              <w:right w:val="nil"/>
            </w:tcBorders>
            <w:hideMark/>
          </w:tcPr>
          <w:p w14:paraId="7E9309FE" w14:textId="77777777" w:rsidR="00EE5F25" w:rsidRPr="003E6B5D"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3E6B5D" w14:paraId="3CC46B7F" w14:textId="77777777" w:rsidTr="00856101">
        <w:trPr>
          <w:trHeight w:val="1250"/>
        </w:trPr>
        <w:tc>
          <w:tcPr>
            <w:tcW w:w="4677" w:type="dxa"/>
            <w:tcBorders>
              <w:top w:val="single" w:sz="4" w:space="0" w:color="009560"/>
              <w:left w:val="nil"/>
              <w:bottom w:val="nil"/>
              <w:right w:val="nil"/>
            </w:tcBorders>
            <w:shd w:val="clear" w:color="000000" w:fill="FFFFFF"/>
            <w:noWrap/>
            <w:vAlign w:val="bottom"/>
            <w:hideMark/>
          </w:tcPr>
          <w:p w14:paraId="390BA515" w14:textId="77777777" w:rsidR="00EE5F25" w:rsidRPr="003E6B5D" w:rsidRDefault="00EE5F25" w:rsidP="00856101">
            <w:pPr>
              <w:spacing w:after="0" w:line="240" w:lineRule="auto"/>
              <w:rPr>
                <w:rFonts w:ascii="Cambria" w:eastAsia="Times New Roman" w:hAnsi="Cambria" w:cs="Calibri"/>
                <w:color w:val="auto"/>
                <w:sz w:val="18"/>
                <w:szCs w:val="18"/>
                <w:lang w:eastAsia="en-AU"/>
              </w:rPr>
            </w:pPr>
            <w:r w:rsidRPr="003E6B5D">
              <w:rPr>
                <w:rFonts w:ascii="Cambria" w:eastAsia="Times New Roman" w:hAnsi="Cambria" w:cs="Calibri"/>
                <w:color w:val="auto"/>
                <w:sz w:val="18"/>
                <w:szCs w:val="18"/>
                <w:lang w:eastAsia="en-AU"/>
              </w:rPr>
              <w:t> </w:t>
            </w:r>
          </w:p>
        </w:tc>
        <w:tc>
          <w:tcPr>
            <w:tcW w:w="1051" w:type="dxa"/>
            <w:tcBorders>
              <w:top w:val="single" w:sz="4" w:space="0" w:color="009560"/>
              <w:left w:val="nil"/>
              <w:bottom w:val="nil"/>
              <w:right w:val="nil"/>
            </w:tcBorders>
            <w:vAlign w:val="center"/>
            <w:hideMark/>
          </w:tcPr>
          <w:p w14:paraId="0EC8ECF3"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Buildings</w:t>
            </w:r>
          </w:p>
        </w:tc>
        <w:tc>
          <w:tcPr>
            <w:tcW w:w="1193" w:type="dxa"/>
            <w:tcBorders>
              <w:top w:val="single" w:sz="4" w:space="0" w:color="009560"/>
              <w:left w:val="nil"/>
              <w:bottom w:val="nil"/>
              <w:right w:val="nil"/>
            </w:tcBorders>
            <w:shd w:val="clear" w:color="000000" w:fill="FFFFFF"/>
            <w:vAlign w:val="center"/>
            <w:hideMark/>
          </w:tcPr>
          <w:p w14:paraId="4D36E358"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Leasehold improvement</w:t>
            </w:r>
          </w:p>
        </w:tc>
        <w:tc>
          <w:tcPr>
            <w:tcW w:w="1136" w:type="dxa"/>
            <w:tcBorders>
              <w:top w:val="single" w:sz="4" w:space="0" w:color="009560"/>
              <w:left w:val="nil"/>
              <w:bottom w:val="nil"/>
              <w:right w:val="nil"/>
            </w:tcBorders>
            <w:shd w:val="clear" w:color="000000" w:fill="FFFFFF"/>
            <w:vAlign w:val="center"/>
            <w:hideMark/>
          </w:tcPr>
          <w:p w14:paraId="4DBC823B"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Computer Software</w:t>
            </w:r>
          </w:p>
        </w:tc>
        <w:tc>
          <w:tcPr>
            <w:tcW w:w="1077" w:type="dxa"/>
            <w:tcBorders>
              <w:top w:val="single" w:sz="4" w:space="0" w:color="009560"/>
              <w:left w:val="nil"/>
              <w:bottom w:val="nil"/>
              <w:right w:val="nil"/>
            </w:tcBorders>
            <w:shd w:val="clear" w:color="000000" w:fill="FFFFFF"/>
          </w:tcPr>
          <w:p w14:paraId="53DCF46A"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single" w:sz="4" w:space="0" w:color="009560"/>
              <w:left w:val="nil"/>
              <w:bottom w:val="nil"/>
              <w:right w:val="nil"/>
            </w:tcBorders>
            <w:shd w:val="clear" w:color="000000" w:fill="FFFFFF"/>
            <w:vAlign w:val="center"/>
            <w:hideMark/>
          </w:tcPr>
          <w:p w14:paraId="5E995E52"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Total</w:t>
            </w:r>
          </w:p>
        </w:tc>
      </w:tr>
      <w:tr w:rsidR="00EE5F25" w:rsidRPr="003E6B5D" w14:paraId="7836A1BE" w14:textId="77777777" w:rsidTr="00856101">
        <w:trPr>
          <w:trHeight w:val="252"/>
        </w:trPr>
        <w:tc>
          <w:tcPr>
            <w:tcW w:w="4677" w:type="dxa"/>
            <w:tcBorders>
              <w:top w:val="nil"/>
              <w:left w:val="nil"/>
              <w:bottom w:val="single" w:sz="4" w:space="0" w:color="009560"/>
              <w:right w:val="nil"/>
            </w:tcBorders>
            <w:shd w:val="clear" w:color="000000" w:fill="FFFFFF"/>
            <w:noWrap/>
            <w:vAlign w:val="bottom"/>
            <w:hideMark/>
          </w:tcPr>
          <w:p w14:paraId="565CBCB4" w14:textId="77777777" w:rsidR="00EE5F25" w:rsidRPr="003E6B5D" w:rsidRDefault="00EE5F25" w:rsidP="00856101">
            <w:pPr>
              <w:spacing w:after="0" w:line="240" w:lineRule="auto"/>
              <w:rPr>
                <w:rFonts w:ascii="Cambria" w:eastAsia="Times New Roman" w:hAnsi="Cambria" w:cs="Calibri"/>
                <w:color w:val="auto"/>
                <w:sz w:val="18"/>
                <w:szCs w:val="18"/>
                <w:lang w:eastAsia="en-AU"/>
              </w:rPr>
            </w:pPr>
            <w:r w:rsidRPr="003E6B5D">
              <w:rPr>
                <w:rFonts w:ascii="Cambria" w:eastAsia="Times New Roman" w:hAnsi="Cambria" w:cs="Calibri"/>
                <w:color w:val="auto"/>
                <w:sz w:val="18"/>
                <w:szCs w:val="18"/>
                <w:lang w:eastAsia="en-AU"/>
              </w:rPr>
              <w:t> </w:t>
            </w:r>
          </w:p>
        </w:tc>
        <w:tc>
          <w:tcPr>
            <w:tcW w:w="1051" w:type="dxa"/>
            <w:tcBorders>
              <w:top w:val="nil"/>
              <w:left w:val="nil"/>
              <w:bottom w:val="single" w:sz="4" w:space="0" w:color="009560"/>
              <w:right w:val="nil"/>
            </w:tcBorders>
            <w:shd w:val="clear" w:color="000000" w:fill="FFFFFF"/>
            <w:vAlign w:val="bottom"/>
            <w:hideMark/>
          </w:tcPr>
          <w:p w14:paraId="3EC02FDD"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$’000</w:t>
            </w:r>
          </w:p>
        </w:tc>
        <w:tc>
          <w:tcPr>
            <w:tcW w:w="1193" w:type="dxa"/>
            <w:tcBorders>
              <w:top w:val="nil"/>
              <w:left w:val="nil"/>
              <w:bottom w:val="single" w:sz="4" w:space="0" w:color="009560"/>
              <w:right w:val="nil"/>
            </w:tcBorders>
            <w:shd w:val="clear" w:color="000000" w:fill="FFFFFF"/>
            <w:vAlign w:val="bottom"/>
            <w:hideMark/>
          </w:tcPr>
          <w:p w14:paraId="6DF90F65"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$’000</w:t>
            </w:r>
          </w:p>
        </w:tc>
        <w:tc>
          <w:tcPr>
            <w:tcW w:w="1136" w:type="dxa"/>
            <w:tcBorders>
              <w:top w:val="nil"/>
              <w:left w:val="nil"/>
              <w:bottom w:val="single" w:sz="4" w:space="0" w:color="009560"/>
              <w:right w:val="nil"/>
            </w:tcBorders>
            <w:shd w:val="clear" w:color="000000" w:fill="FFFFFF"/>
            <w:vAlign w:val="bottom"/>
            <w:hideMark/>
          </w:tcPr>
          <w:p w14:paraId="06D074EE"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$’000</w:t>
            </w:r>
          </w:p>
        </w:tc>
        <w:tc>
          <w:tcPr>
            <w:tcW w:w="1077" w:type="dxa"/>
            <w:tcBorders>
              <w:top w:val="nil"/>
              <w:left w:val="nil"/>
              <w:bottom w:val="single" w:sz="4" w:space="0" w:color="009560"/>
              <w:right w:val="nil"/>
            </w:tcBorders>
            <w:shd w:val="clear" w:color="000000" w:fill="FFFFFF"/>
          </w:tcPr>
          <w:p w14:paraId="06227CD8"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nil"/>
              <w:left w:val="nil"/>
              <w:bottom w:val="single" w:sz="4" w:space="0" w:color="009560"/>
              <w:right w:val="nil"/>
            </w:tcBorders>
            <w:shd w:val="clear" w:color="000000" w:fill="FFFFFF"/>
            <w:vAlign w:val="bottom"/>
            <w:hideMark/>
          </w:tcPr>
          <w:p w14:paraId="741C2EA7"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$’000</w:t>
            </w:r>
          </w:p>
        </w:tc>
      </w:tr>
      <w:tr w:rsidR="00EE5F25" w:rsidRPr="003E6B5D" w14:paraId="6086F999" w14:textId="77777777" w:rsidTr="00856101">
        <w:trPr>
          <w:trHeight w:val="229"/>
        </w:trPr>
        <w:tc>
          <w:tcPr>
            <w:tcW w:w="4677" w:type="dxa"/>
            <w:tcBorders>
              <w:top w:val="nil"/>
              <w:left w:val="nil"/>
              <w:bottom w:val="nil"/>
              <w:right w:val="nil"/>
            </w:tcBorders>
            <w:shd w:val="clear" w:color="000000" w:fill="FFFFFF"/>
            <w:noWrap/>
            <w:vAlign w:val="bottom"/>
            <w:hideMark/>
          </w:tcPr>
          <w:p w14:paraId="62E7F793" w14:textId="77777777" w:rsidR="00EE5F25" w:rsidRPr="003E6B5D" w:rsidRDefault="00EE5F25" w:rsidP="00856101">
            <w:pPr>
              <w:spacing w:after="0" w:line="240" w:lineRule="auto"/>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As at 1 July 2025</w:t>
            </w:r>
          </w:p>
        </w:tc>
        <w:tc>
          <w:tcPr>
            <w:tcW w:w="1051" w:type="dxa"/>
            <w:tcBorders>
              <w:top w:val="nil"/>
              <w:left w:val="nil"/>
              <w:bottom w:val="nil"/>
              <w:right w:val="nil"/>
            </w:tcBorders>
            <w:noWrap/>
            <w:vAlign w:val="bottom"/>
            <w:hideMark/>
          </w:tcPr>
          <w:p w14:paraId="78119E7C" w14:textId="77777777" w:rsidR="00EE5F25" w:rsidRPr="003E6B5D" w:rsidRDefault="00EE5F25" w:rsidP="00856101">
            <w:pPr>
              <w:spacing w:after="0" w:line="240" w:lineRule="auto"/>
              <w:rPr>
                <w:rFonts w:ascii="Cambria" w:eastAsia="Times New Roman" w:hAnsi="Cambria" w:cs="Calibri"/>
                <w:b/>
                <w:bCs/>
                <w:color w:val="auto"/>
                <w:sz w:val="18"/>
                <w:szCs w:val="18"/>
                <w:lang w:eastAsia="en-AU"/>
              </w:rPr>
            </w:pPr>
          </w:p>
        </w:tc>
        <w:tc>
          <w:tcPr>
            <w:tcW w:w="1193" w:type="dxa"/>
            <w:tcBorders>
              <w:top w:val="nil"/>
              <w:left w:val="nil"/>
              <w:bottom w:val="nil"/>
              <w:right w:val="nil"/>
            </w:tcBorders>
            <w:shd w:val="clear" w:color="000000" w:fill="FFFFFF"/>
            <w:noWrap/>
            <w:vAlign w:val="bottom"/>
            <w:hideMark/>
          </w:tcPr>
          <w:p w14:paraId="56FA0450"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w:t>
            </w:r>
          </w:p>
        </w:tc>
        <w:tc>
          <w:tcPr>
            <w:tcW w:w="1136" w:type="dxa"/>
            <w:tcBorders>
              <w:top w:val="nil"/>
              <w:left w:val="nil"/>
              <w:bottom w:val="nil"/>
              <w:right w:val="nil"/>
            </w:tcBorders>
            <w:shd w:val="clear" w:color="000000" w:fill="FFFFFF"/>
            <w:noWrap/>
            <w:vAlign w:val="bottom"/>
            <w:hideMark/>
          </w:tcPr>
          <w:p w14:paraId="50846846"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w:t>
            </w:r>
          </w:p>
        </w:tc>
        <w:tc>
          <w:tcPr>
            <w:tcW w:w="1077" w:type="dxa"/>
            <w:tcBorders>
              <w:top w:val="nil"/>
              <w:left w:val="nil"/>
              <w:bottom w:val="nil"/>
              <w:right w:val="nil"/>
            </w:tcBorders>
            <w:shd w:val="clear" w:color="000000" w:fill="FFFFFF"/>
          </w:tcPr>
          <w:p w14:paraId="02A11EE6"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nil"/>
              <w:left w:val="nil"/>
              <w:bottom w:val="nil"/>
              <w:right w:val="nil"/>
            </w:tcBorders>
            <w:shd w:val="clear" w:color="000000" w:fill="FFFFFF"/>
            <w:noWrap/>
            <w:vAlign w:val="bottom"/>
            <w:hideMark/>
          </w:tcPr>
          <w:p w14:paraId="7A2B0C62"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w:t>
            </w:r>
          </w:p>
        </w:tc>
      </w:tr>
      <w:tr w:rsidR="00EE5F25" w:rsidRPr="003E6B5D" w14:paraId="2F0B12D8" w14:textId="77777777" w:rsidTr="00856101">
        <w:trPr>
          <w:trHeight w:val="229"/>
        </w:trPr>
        <w:tc>
          <w:tcPr>
            <w:tcW w:w="4677" w:type="dxa"/>
            <w:tcBorders>
              <w:top w:val="nil"/>
              <w:left w:val="nil"/>
              <w:bottom w:val="nil"/>
              <w:right w:val="nil"/>
            </w:tcBorders>
            <w:shd w:val="clear" w:color="000000" w:fill="FFFFFF"/>
            <w:vAlign w:val="bottom"/>
            <w:hideMark/>
          </w:tcPr>
          <w:p w14:paraId="35224603" w14:textId="77777777" w:rsidR="00EE5F25" w:rsidRPr="003E6B5D" w:rsidRDefault="00EE5F25" w:rsidP="00856101">
            <w:pPr>
              <w:spacing w:after="0" w:line="240" w:lineRule="auto"/>
              <w:rPr>
                <w:rFonts w:ascii="Cambria" w:eastAsia="Times New Roman" w:hAnsi="Cambria" w:cs="Calibri"/>
                <w:color w:val="auto"/>
                <w:sz w:val="18"/>
                <w:szCs w:val="18"/>
                <w:lang w:eastAsia="en-AU"/>
              </w:rPr>
            </w:pPr>
            <w:r w:rsidRPr="003E6B5D">
              <w:rPr>
                <w:rFonts w:ascii="Cambria" w:eastAsia="Times New Roman" w:hAnsi="Cambria" w:cs="Calibri"/>
                <w:color w:val="auto"/>
                <w:sz w:val="18"/>
                <w:szCs w:val="18"/>
                <w:lang w:eastAsia="en-AU"/>
              </w:rPr>
              <w:t>Gross book value</w:t>
            </w:r>
          </w:p>
        </w:tc>
        <w:tc>
          <w:tcPr>
            <w:tcW w:w="1051" w:type="dxa"/>
            <w:tcBorders>
              <w:top w:val="nil"/>
              <w:left w:val="nil"/>
              <w:bottom w:val="nil"/>
              <w:right w:val="nil"/>
            </w:tcBorders>
            <w:noWrap/>
            <w:vAlign w:val="bottom"/>
            <w:hideMark/>
          </w:tcPr>
          <w:p w14:paraId="7EE4BC59"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12,802 </w:t>
            </w:r>
          </w:p>
        </w:tc>
        <w:tc>
          <w:tcPr>
            <w:tcW w:w="1193" w:type="dxa"/>
            <w:tcBorders>
              <w:top w:val="nil"/>
              <w:left w:val="nil"/>
              <w:bottom w:val="nil"/>
              <w:right w:val="nil"/>
            </w:tcBorders>
            <w:noWrap/>
            <w:vAlign w:val="bottom"/>
            <w:hideMark/>
          </w:tcPr>
          <w:p w14:paraId="281AABAD"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2,048 </w:t>
            </w:r>
          </w:p>
        </w:tc>
        <w:tc>
          <w:tcPr>
            <w:tcW w:w="1136" w:type="dxa"/>
            <w:tcBorders>
              <w:top w:val="nil"/>
              <w:left w:val="nil"/>
              <w:bottom w:val="nil"/>
              <w:right w:val="nil"/>
            </w:tcBorders>
            <w:noWrap/>
            <w:vAlign w:val="bottom"/>
            <w:hideMark/>
          </w:tcPr>
          <w:p w14:paraId="2238E3BE"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2,679 </w:t>
            </w:r>
          </w:p>
        </w:tc>
        <w:tc>
          <w:tcPr>
            <w:tcW w:w="1077" w:type="dxa"/>
            <w:tcBorders>
              <w:top w:val="nil"/>
              <w:left w:val="nil"/>
              <w:bottom w:val="nil"/>
              <w:right w:val="nil"/>
            </w:tcBorders>
          </w:tcPr>
          <w:p w14:paraId="7B85A5F8"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nil"/>
              <w:left w:val="nil"/>
              <w:bottom w:val="nil"/>
              <w:right w:val="nil"/>
            </w:tcBorders>
            <w:noWrap/>
            <w:vAlign w:val="bottom"/>
            <w:hideMark/>
          </w:tcPr>
          <w:p w14:paraId="513D12E7"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17,529 </w:t>
            </w:r>
          </w:p>
        </w:tc>
      </w:tr>
      <w:tr w:rsidR="00EE5F25" w:rsidRPr="003E6B5D" w14:paraId="685832DC" w14:textId="77777777" w:rsidTr="00856101">
        <w:trPr>
          <w:trHeight w:val="229"/>
        </w:trPr>
        <w:tc>
          <w:tcPr>
            <w:tcW w:w="4677" w:type="dxa"/>
            <w:tcBorders>
              <w:top w:val="nil"/>
              <w:left w:val="nil"/>
              <w:bottom w:val="nil"/>
              <w:right w:val="nil"/>
            </w:tcBorders>
            <w:shd w:val="clear" w:color="000000" w:fill="FFFFFF"/>
            <w:noWrap/>
            <w:vAlign w:val="bottom"/>
            <w:hideMark/>
          </w:tcPr>
          <w:p w14:paraId="56DEA3A9" w14:textId="77777777" w:rsidR="00EE5F25" w:rsidRPr="003E6B5D" w:rsidRDefault="00EE5F25" w:rsidP="00856101">
            <w:pPr>
              <w:spacing w:after="0" w:line="240" w:lineRule="auto"/>
              <w:rPr>
                <w:rFonts w:ascii="Cambria" w:eastAsia="Times New Roman" w:hAnsi="Cambria" w:cs="Calibri"/>
                <w:color w:val="auto"/>
                <w:sz w:val="18"/>
                <w:szCs w:val="18"/>
                <w:lang w:eastAsia="en-AU"/>
              </w:rPr>
            </w:pPr>
            <w:r w:rsidRPr="003E6B5D">
              <w:rPr>
                <w:rFonts w:ascii="Cambria" w:eastAsia="Times New Roman" w:hAnsi="Cambria" w:cs="Calibri"/>
                <w:color w:val="auto"/>
                <w:sz w:val="18"/>
                <w:szCs w:val="18"/>
                <w:lang w:eastAsia="en-AU"/>
              </w:rPr>
              <w:t>Accumulated depreciation, amortisation and impairment</w:t>
            </w:r>
          </w:p>
        </w:tc>
        <w:tc>
          <w:tcPr>
            <w:tcW w:w="1051" w:type="dxa"/>
            <w:tcBorders>
              <w:top w:val="nil"/>
              <w:left w:val="nil"/>
              <w:bottom w:val="nil"/>
              <w:right w:val="nil"/>
            </w:tcBorders>
            <w:noWrap/>
            <w:vAlign w:val="bottom"/>
            <w:hideMark/>
          </w:tcPr>
          <w:p w14:paraId="36397744"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(4,268)</w:t>
            </w:r>
          </w:p>
        </w:tc>
        <w:tc>
          <w:tcPr>
            <w:tcW w:w="1193" w:type="dxa"/>
            <w:tcBorders>
              <w:top w:val="nil"/>
              <w:left w:val="nil"/>
              <w:bottom w:val="nil"/>
              <w:right w:val="nil"/>
            </w:tcBorders>
            <w:noWrap/>
            <w:vAlign w:val="bottom"/>
            <w:hideMark/>
          </w:tcPr>
          <w:p w14:paraId="55A1429E"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 </w:t>
            </w:r>
          </w:p>
        </w:tc>
        <w:tc>
          <w:tcPr>
            <w:tcW w:w="1136" w:type="dxa"/>
            <w:tcBorders>
              <w:top w:val="nil"/>
              <w:left w:val="nil"/>
              <w:bottom w:val="nil"/>
              <w:right w:val="nil"/>
            </w:tcBorders>
            <w:noWrap/>
            <w:vAlign w:val="bottom"/>
            <w:hideMark/>
          </w:tcPr>
          <w:p w14:paraId="26859C37"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(834)</w:t>
            </w:r>
          </w:p>
        </w:tc>
        <w:tc>
          <w:tcPr>
            <w:tcW w:w="1077" w:type="dxa"/>
            <w:tcBorders>
              <w:top w:val="nil"/>
              <w:left w:val="nil"/>
              <w:bottom w:val="nil"/>
              <w:right w:val="nil"/>
            </w:tcBorders>
          </w:tcPr>
          <w:p w14:paraId="6EC6A446"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nil"/>
              <w:left w:val="nil"/>
              <w:bottom w:val="nil"/>
              <w:right w:val="nil"/>
            </w:tcBorders>
            <w:noWrap/>
            <w:vAlign w:val="bottom"/>
            <w:hideMark/>
          </w:tcPr>
          <w:p w14:paraId="5598F768"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(5,101)</w:t>
            </w:r>
          </w:p>
        </w:tc>
      </w:tr>
      <w:tr w:rsidR="00EE5F25" w:rsidRPr="003E6B5D" w14:paraId="258F0AFE" w14:textId="77777777" w:rsidTr="00856101">
        <w:trPr>
          <w:trHeight w:val="229"/>
        </w:trPr>
        <w:tc>
          <w:tcPr>
            <w:tcW w:w="4677" w:type="dxa"/>
            <w:tcBorders>
              <w:top w:val="nil"/>
              <w:left w:val="nil"/>
              <w:bottom w:val="nil"/>
              <w:right w:val="nil"/>
            </w:tcBorders>
            <w:shd w:val="clear" w:color="000000" w:fill="FFFFFF"/>
            <w:noWrap/>
            <w:vAlign w:val="bottom"/>
            <w:hideMark/>
          </w:tcPr>
          <w:p w14:paraId="1AA41936" w14:textId="77777777" w:rsidR="00EE5F25" w:rsidRPr="003E6B5D" w:rsidRDefault="00EE5F25" w:rsidP="00856101">
            <w:pPr>
              <w:spacing w:after="0" w:line="240" w:lineRule="auto"/>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Total as at 1 July 2025</w:t>
            </w:r>
          </w:p>
        </w:tc>
        <w:tc>
          <w:tcPr>
            <w:tcW w:w="1051" w:type="dxa"/>
            <w:tcBorders>
              <w:top w:val="single" w:sz="4" w:space="0" w:color="auto"/>
              <w:left w:val="nil"/>
              <w:bottom w:val="single" w:sz="4" w:space="0" w:color="auto"/>
              <w:right w:val="nil"/>
            </w:tcBorders>
            <w:noWrap/>
            <w:vAlign w:val="bottom"/>
            <w:hideMark/>
          </w:tcPr>
          <w:p w14:paraId="2467E6B0"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8,534 </w:t>
            </w:r>
          </w:p>
        </w:tc>
        <w:tc>
          <w:tcPr>
            <w:tcW w:w="1193" w:type="dxa"/>
            <w:tcBorders>
              <w:top w:val="single" w:sz="4" w:space="0" w:color="auto"/>
              <w:left w:val="nil"/>
              <w:bottom w:val="single" w:sz="4" w:space="0" w:color="auto"/>
              <w:right w:val="nil"/>
            </w:tcBorders>
            <w:noWrap/>
            <w:vAlign w:val="bottom"/>
            <w:hideMark/>
          </w:tcPr>
          <w:p w14:paraId="4109BF03"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2,048 </w:t>
            </w:r>
          </w:p>
        </w:tc>
        <w:tc>
          <w:tcPr>
            <w:tcW w:w="1136" w:type="dxa"/>
            <w:tcBorders>
              <w:top w:val="single" w:sz="4" w:space="0" w:color="auto"/>
              <w:left w:val="nil"/>
              <w:bottom w:val="single" w:sz="4" w:space="0" w:color="auto"/>
              <w:right w:val="nil"/>
            </w:tcBorders>
            <w:noWrap/>
            <w:vAlign w:val="bottom"/>
            <w:hideMark/>
          </w:tcPr>
          <w:p w14:paraId="2DF19E19"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1,845 </w:t>
            </w:r>
          </w:p>
        </w:tc>
        <w:tc>
          <w:tcPr>
            <w:tcW w:w="1077" w:type="dxa"/>
            <w:tcBorders>
              <w:top w:val="single" w:sz="4" w:space="0" w:color="auto"/>
              <w:left w:val="nil"/>
              <w:bottom w:val="single" w:sz="4" w:space="0" w:color="auto"/>
              <w:right w:val="nil"/>
            </w:tcBorders>
          </w:tcPr>
          <w:p w14:paraId="294AEDEA"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single" w:sz="4" w:space="0" w:color="auto"/>
              <w:left w:val="nil"/>
              <w:bottom w:val="single" w:sz="4" w:space="0" w:color="auto"/>
              <w:right w:val="nil"/>
            </w:tcBorders>
            <w:noWrap/>
            <w:vAlign w:val="bottom"/>
            <w:hideMark/>
          </w:tcPr>
          <w:p w14:paraId="3A95F2C4"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12,427 </w:t>
            </w:r>
          </w:p>
        </w:tc>
      </w:tr>
      <w:tr w:rsidR="00EE5F25" w:rsidRPr="003E6B5D" w14:paraId="4456A97E" w14:textId="77777777" w:rsidTr="00856101">
        <w:trPr>
          <w:trHeight w:val="229"/>
        </w:trPr>
        <w:tc>
          <w:tcPr>
            <w:tcW w:w="4677" w:type="dxa"/>
            <w:tcBorders>
              <w:top w:val="nil"/>
              <w:left w:val="nil"/>
              <w:bottom w:val="nil"/>
              <w:right w:val="nil"/>
            </w:tcBorders>
            <w:shd w:val="clear" w:color="000000" w:fill="FFFFFF"/>
            <w:noWrap/>
            <w:vAlign w:val="bottom"/>
            <w:hideMark/>
          </w:tcPr>
          <w:p w14:paraId="7BA5782E" w14:textId="77777777" w:rsidR="00EE5F25" w:rsidRPr="003E6B5D" w:rsidRDefault="00EE5F25" w:rsidP="00856101">
            <w:pPr>
              <w:spacing w:after="0" w:line="240" w:lineRule="auto"/>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w:t>
            </w:r>
          </w:p>
        </w:tc>
        <w:tc>
          <w:tcPr>
            <w:tcW w:w="1051" w:type="dxa"/>
            <w:tcBorders>
              <w:top w:val="nil"/>
              <w:left w:val="nil"/>
              <w:bottom w:val="nil"/>
              <w:right w:val="nil"/>
            </w:tcBorders>
            <w:noWrap/>
            <w:vAlign w:val="bottom"/>
            <w:hideMark/>
          </w:tcPr>
          <w:p w14:paraId="1600689C" w14:textId="77777777" w:rsidR="00EE5F25" w:rsidRPr="003E6B5D" w:rsidRDefault="00EE5F25" w:rsidP="00856101">
            <w:pPr>
              <w:spacing w:after="0" w:line="240" w:lineRule="auto"/>
              <w:rPr>
                <w:rFonts w:ascii="Cambria" w:eastAsia="Times New Roman" w:hAnsi="Cambria" w:cs="Calibri"/>
                <w:b/>
                <w:bCs/>
                <w:color w:val="auto"/>
                <w:sz w:val="18"/>
                <w:szCs w:val="18"/>
                <w:lang w:eastAsia="en-AU"/>
              </w:rPr>
            </w:pPr>
          </w:p>
        </w:tc>
        <w:tc>
          <w:tcPr>
            <w:tcW w:w="1193" w:type="dxa"/>
            <w:tcBorders>
              <w:top w:val="nil"/>
              <w:left w:val="nil"/>
              <w:bottom w:val="nil"/>
              <w:right w:val="nil"/>
            </w:tcBorders>
            <w:noWrap/>
            <w:vAlign w:val="bottom"/>
            <w:hideMark/>
          </w:tcPr>
          <w:p w14:paraId="28B9F1BB"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07B4A3C"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077" w:type="dxa"/>
            <w:tcBorders>
              <w:top w:val="nil"/>
              <w:left w:val="nil"/>
              <w:bottom w:val="nil"/>
              <w:right w:val="nil"/>
            </w:tcBorders>
          </w:tcPr>
          <w:p w14:paraId="14DB9539"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077" w:type="dxa"/>
            <w:tcBorders>
              <w:top w:val="nil"/>
              <w:left w:val="nil"/>
              <w:bottom w:val="nil"/>
              <w:right w:val="nil"/>
            </w:tcBorders>
            <w:noWrap/>
            <w:vAlign w:val="bottom"/>
            <w:hideMark/>
          </w:tcPr>
          <w:p w14:paraId="46F872BD"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3E6B5D" w14:paraId="3F0C21FD" w14:textId="77777777" w:rsidTr="00856101">
        <w:trPr>
          <w:trHeight w:val="212"/>
        </w:trPr>
        <w:tc>
          <w:tcPr>
            <w:tcW w:w="4677" w:type="dxa"/>
            <w:tcBorders>
              <w:top w:val="nil"/>
              <w:left w:val="nil"/>
              <w:bottom w:val="nil"/>
              <w:right w:val="nil"/>
            </w:tcBorders>
            <w:shd w:val="clear" w:color="000000" w:fill="FFFFFF"/>
            <w:noWrap/>
            <w:hideMark/>
          </w:tcPr>
          <w:p w14:paraId="4BB12D6D" w14:textId="77777777" w:rsidR="00EE5F25" w:rsidRPr="003E6B5D" w:rsidRDefault="00EE5F25" w:rsidP="00856101">
            <w:pPr>
              <w:spacing w:after="0" w:line="240" w:lineRule="auto"/>
              <w:rPr>
                <w:rFonts w:ascii="Cambria" w:eastAsia="Times New Roman" w:hAnsi="Cambria" w:cs="Calibri"/>
                <w:color w:val="auto"/>
                <w:sz w:val="18"/>
                <w:szCs w:val="18"/>
                <w:lang w:eastAsia="en-AU"/>
              </w:rPr>
            </w:pPr>
            <w:r w:rsidRPr="003E6B5D">
              <w:rPr>
                <w:rFonts w:ascii="Cambria" w:eastAsia="Times New Roman" w:hAnsi="Cambria" w:cs="Calibri"/>
                <w:color w:val="auto"/>
                <w:sz w:val="18"/>
                <w:szCs w:val="18"/>
                <w:lang w:eastAsia="en-AU"/>
              </w:rPr>
              <w:t>Additions</w:t>
            </w:r>
          </w:p>
        </w:tc>
        <w:tc>
          <w:tcPr>
            <w:tcW w:w="1051" w:type="dxa"/>
            <w:tcBorders>
              <w:top w:val="nil"/>
              <w:left w:val="nil"/>
              <w:bottom w:val="nil"/>
              <w:right w:val="nil"/>
            </w:tcBorders>
            <w:noWrap/>
            <w:vAlign w:val="bottom"/>
            <w:hideMark/>
          </w:tcPr>
          <w:p w14:paraId="67288297" w14:textId="77777777" w:rsidR="00EE5F25" w:rsidRPr="003E6B5D" w:rsidRDefault="00EE5F25" w:rsidP="00856101">
            <w:pPr>
              <w:spacing w:after="0" w:line="240" w:lineRule="auto"/>
              <w:rPr>
                <w:rFonts w:ascii="Cambria" w:eastAsia="Times New Roman" w:hAnsi="Cambria" w:cs="Calibri"/>
                <w:color w:val="auto"/>
                <w:sz w:val="18"/>
                <w:szCs w:val="18"/>
                <w:lang w:eastAsia="en-AU"/>
              </w:rPr>
            </w:pPr>
          </w:p>
        </w:tc>
        <w:tc>
          <w:tcPr>
            <w:tcW w:w="1193" w:type="dxa"/>
            <w:tcBorders>
              <w:top w:val="nil"/>
              <w:left w:val="nil"/>
              <w:bottom w:val="nil"/>
              <w:right w:val="nil"/>
            </w:tcBorders>
            <w:noWrap/>
            <w:vAlign w:val="bottom"/>
            <w:hideMark/>
          </w:tcPr>
          <w:p w14:paraId="1826CC73"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37E1957"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077" w:type="dxa"/>
            <w:tcBorders>
              <w:top w:val="nil"/>
              <w:left w:val="nil"/>
              <w:bottom w:val="nil"/>
              <w:right w:val="nil"/>
            </w:tcBorders>
          </w:tcPr>
          <w:p w14:paraId="379EF5F9"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077" w:type="dxa"/>
            <w:tcBorders>
              <w:top w:val="nil"/>
              <w:left w:val="nil"/>
              <w:bottom w:val="nil"/>
              <w:right w:val="nil"/>
            </w:tcBorders>
            <w:noWrap/>
            <w:vAlign w:val="bottom"/>
            <w:hideMark/>
          </w:tcPr>
          <w:p w14:paraId="684F235A"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3E6B5D" w14:paraId="7F51F8A6" w14:textId="77777777" w:rsidTr="00856101">
        <w:trPr>
          <w:trHeight w:val="229"/>
        </w:trPr>
        <w:tc>
          <w:tcPr>
            <w:tcW w:w="4677" w:type="dxa"/>
            <w:tcBorders>
              <w:top w:val="nil"/>
              <w:left w:val="nil"/>
              <w:bottom w:val="nil"/>
              <w:right w:val="nil"/>
            </w:tcBorders>
            <w:noWrap/>
            <w:hideMark/>
          </w:tcPr>
          <w:p w14:paraId="4F80CF23" w14:textId="77777777" w:rsidR="00EE5F25" w:rsidRPr="003E6B5D" w:rsidRDefault="00EE5F25" w:rsidP="00856101">
            <w:pPr>
              <w:spacing w:after="0" w:line="240" w:lineRule="auto"/>
              <w:ind w:firstLineChars="100" w:firstLine="180"/>
              <w:rPr>
                <w:rFonts w:ascii="Cambria" w:eastAsia="Times New Roman" w:hAnsi="Cambria" w:cs="Calibri"/>
                <w:color w:val="auto"/>
                <w:sz w:val="18"/>
                <w:szCs w:val="18"/>
                <w:lang w:eastAsia="en-AU"/>
              </w:rPr>
            </w:pPr>
            <w:r w:rsidRPr="003E6B5D">
              <w:rPr>
                <w:rFonts w:ascii="Cambria" w:eastAsia="Times New Roman" w:hAnsi="Cambria" w:cs="Calibri"/>
                <w:color w:val="auto"/>
                <w:sz w:val="18"/>
                <w:szCs w:val="18"/>
                <w:lang w:eastAsia="en-AU"/>
              </w:rPr>
              <w:t>Purchase or internally developed (including work in progress)</w:t>
            </w:r>
          </w:p>
        </w:tc>
        <w:tc>
          <w:tcPr>
            <w:tcW w:w="1051" w:type="dxa"/>
            <w:tcBorders>
              <w:top w:val="nil"/>
              <w:left w:val="nil"/>
              <w:bottom w:val="nil"/>
              <w:right w:val="nil"/>
            </w:tcBorders>
            <w:noWrap/>
            <w:vAlign w:val="bottom"/>
            <w:hideMark/>
          </w:tcPr>
          <w:p w14:paraId="1B973E98"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   </w:t>
            </w:r>
          </w:p>
        </w:tc>
        <w:tc>
          <w:tcPr>
            <w:tcW w:w="1193" w:type="dxa"/>
            <w:tcBorders>
              <w:top w:val="nil"/>
              <w:left w:val="nil"/>
              <w:bottom w:val="nil"/>
              <w:right w:val="nil"/>
            </w:tcBorders>
            <w:noWrap/>
            <w:vAlign w:val="bottom"/>
            <w:hideMark/>
          </w:tcPr>
          <w:p w14:paraId="14490EA2"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121 </w:t>
            </w:r>
          </w:p>
        </w:tc>
        <w:tc>
          <w:tcPr>
            <w:tcW w:w="1136" w:type="dxa"/>
            <w:tcBorders>
              <w:top w:val="nil"/>
              <w:left w:val="nil"/>
              <w:bottom w:val="nil"/>
              <w:right w:val="nil"/>
            </w:tcBorders>
            <w:noWrap/>
            <w:vAlign w:val="bottom"/>
            <w:hideMark/>
          </w:tcPr>
          <w:p w14:paraId="51C32648"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   </w:t>
            </w:r>
          </w:p>
        </w:tc>
        <w:tc>
          <w:tcPr>
            <w:tcW w:w="1077" w:type="dxa"/>
            <w:tcBorders>
              <w:top w:val="nil"/>
              <w:left w:val="nil"/>
              <w:bottom w:val="nil"/>
              <w:right w:val="nil"/>
            </w:tcBorders>
          </w:tcPr>
          <w:p w14:paraId="46A0724B"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nil"/>
              <w:left w:val="nil"/>
              <w:bottom w:val="nil"/>
              <w:right w:val="nil"/>
            </w:tcBorders>
            <w:noWrap/>
            <w:vAlign w:val="bottom"/>
            <w:hideMark/>
          </w:tcPr>
          <w:p w14:paraId="144D94CB"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121 </w:t>
            </w:r>
          </w:p>
        </w:tc>
      </w:tr>
      <w:tr w:rsidR="00EE5F25" w:rsidRPr="003E6B5D" w14:paraId="181001FC" w14:textId="77777777" w:rsidTr="00856101">
        <w:trPr>
          <w:trHeight w:val="229"/>
        </w:trPr>
        <w:tc>
          <w:tcPr>
            <w:tcW w:w="4677" w:type="dxa"/>
            <w:tcBorders>
              <w:top w:val="nil"/>
              <w:left w:val="nil"/>
              <w:bottom w:val="nil"/>
              <w:right w:val="nil"/>
            </w:tcBorders>
            <w:hideMark/>
          </w:tcPr>
          <w:p w14:paraId="06BCEE65" w14:textId="77777777" w:rsidR="00EE5F25" w:rsidRPr="003E6B5D" w:rsidRDefault="00EE5F25" w:rsidP="00856101">
            <w:pPr>
              <w:spacing w:after="0" w:line="240" w:lineRule="auto"/>
              <w:rPr>
                <w:rFonts w:ascii="Cambria" w:eastAsia="Times New Roman" w:hAnsi="Cambria" w:cs="Calibri"/>
                <w:color w:val="auto"/>
                <w:sz w:val="18"/>
                <w:szCs w:val="18"/>
                <w:lang w:eastAsia="en-AU"/>
              </w:rPr>
            </w:pPr>
            <w:r w:rsidRPr="003E6B5D">
              <w:rPr>
                <w:rFonts w:ascii="Cambria" w:eastAsia="Times New Roman" w:hAnsi="Cambria" w:cs="Calibri"/>
                <w:color w:val="auto"/>
                <w:sz w:val="18"/>
                <w:szCs w:val="18"/>
                <w:lang w:eastAsia="en-AU"/>
              </w:rPr>
              <w:t>Depreciation and amortisation</w:t>
            </w:r>
          </w:p>
        </w:tc>
        <w:tc>
          <w:tcPr>
            <w:tcW w:w="1051" w:type="dxa"/>
            <w:tcBorders>
              <w:top w:val="nil"/>
              <w:left w:val="nil"/>
              <w:bottom w:val="nil"/>
              <w:right w:val="nil"/>
            </w:tcBorders>
            <w:noWrap/>
            <w:vAlign w:val="bottom"/>
            <w:hideMark/>
          </w:tcPr>
          <w:p w14:paraId="1912565C"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   </w:t>
            </w:r>
          </w:p>
        </w:tc>
        <w:tc>
          <w:tcPr>
            <w:tcW w:w="1193" w:type="dxa"/>
            <w:tcBorders>
              <w:top w:val="nil"/>
              <w:left w:val="nil"/>
              <w:bottom w:val="nil"/>
              <w:right w:val="nil"/>
            </w:tcBorders>
            <w:noWrap/>
            <w:vAlign w:val="bottom"/>
            <w:hideMark/>
          </w:tcPr>
          <w:p w14:paraId="6F87CDB4"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(316)</w:t>
            </w:r>
          </w:p>
        </w:tc>
        <w:tc>
          <w:tcPr>
            <w:tcW w:w="1136" w:type="dxa"/>
            <w:tcBorders>
              <w:top w:val="nil"/>
              <w:left w:val="nil"/>
              <w:bottom w:val="nil"/>
              <w:right w:val="nil"/>
            </w:tcBorders>
            <w:noWrap/>
            <w:vAlign w:val="bottom"/>
            <w:hideMark/>
          </w:tcPr>
          <w:p w14:paraId="47EB5AC4"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(447)</w:t>
            </w:r>
          </w:p>
        </w:tc>
        <w:tc>
          <w:tcPr>
            <w:tcW w:w="1077" w:type="dxa"/>
            <w:tcBorders>
              <w:top w:val="nil"/>
              <w:left w:val="nil"/>
              <w:bottom w:val="nil"/>
              <w:right w:val="nil"/>
            </w:tcBorders>
          </w:tcPr>
          <w:p w14:paraId="2B05EC18"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nil"/>
              <w:left w:val="nil"/>
              <w:bottom w:val="nil"/>
              <w:right w:val="nil"/>
            </w:tcBorders>
            <w:noWrap/>
            <w:vAlign w:val="bottom"/>
            <w:hideMark/>
          </w:tcPr>
          <w:p w14:paraId="1D3F14DC"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(763)</w:t>
            </w:r>
          </w:p>
        </w:tc>
      </w:tr>
      <w:tr w:rsidR="00EE5F25" w:rsidRPr="003E6B5D" w14:paraId="3083016F" w14:textId="77777777" w:rsidTr="00856101">
        <w:trPr>
          <w:trHeight w:val="229"/>
        </w:trPr>
        <w:tc>
          <w:tcPr>
            <w:tcW w:w="4677" w:type="dxa"/>
            <w:tcBorders>
              <w:top w:val="nil"/>
              <w:left w:val="nil"/>
              <w:bottom w:val="nil"/>
              <w:right w:val="nil"/>
            </w:tcBorders>
            <w:hideMark/>
          </w:tcPr>
          <w:p w14:paraId="3928CDA8" w14:textId="77777777" w:rsidR="00EE5F25" w:rsidRDefault="00EE5F25" w:rsidP="00856101">
            <w:pPr>
              <w:spacing w:after="0" w:line="240" w:lineRule="auto"/>
              <w:rPr>
                <w:rFonts w:ascii="Cambria" w:eastAsia="Times New Roman" w:hAnsi="Cambria" w:cs="Calibri"/>
                <w:color w:val="auto"/>
                <w:sz w:val="18"/>
                <w:szCs w:val="18"/>
                <w:lang w:eastAsia="en-AU"/>
              </w:rPr>
            </w:pPr>
          </w:p>
          <w:p w14:paraId="6D6666D7" w14:textId="77777777" w:rsidR="00EE5F25" w:rsidRPr="003E6B5D" w:rsidRDefault="00EE5F25" w:rsidP="00856101">
            <w:pPr>
              <w:spacing w:after="0" w:line="240" w:lineRule="auto"/>
              <w:rPr>
                <w:rFonts w:ascii="Cambria" w:eastAsia="Times New Roman" w:hAnsi="Cambria" w:cs="Calibri"/>
                <w:color w:val="auto"/>
                <w:sz w:val="18"/>
                <w:szCs w:val="18"/>
                <w:lang w:eastAsia="en-AU"/>
              </w:rPr>
            </w:pPr>
            <w:r w:rsidRPr="003E6B5D">
              <w:rPr>
                <w:rFonts w:ascii="Cambria" w:eastAsia="Times New Roman" w:hAnsi="Cambria" w:cs="Calibri"/>
                <w:color w:val="auto"/>
                <w:sz w:val="18"/>
                <w:szCs w:val="18"/>
                <w:lang w:eastAsia="en-AU"/>
              </w:rPr>
              <w:t>Depreciation on right-of-use assets</w:t>
            </w:r>
          </w:p>
        </w:tc>
        <w:tc>
          <w:tcPr>
            <w:tcW w:w="1051" w:type="dxa"/>
            <w:tcBorders>
              <w:top w:val="nil"/>
              <w:left w:val="nil"/>
              <w:bottom w:val="nil"/>
              <w:right w:val="nil"/>
            </w:tcBorders>
            <w:noWrap/>
            <w:vAlign w:val="bottom"/>
            <w:hideMark/>
          </w:tcPr>
          <w:p w14:paraId="0C844AE2"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(1,280)</w:t>
            </w:r>
          </w:p>
        </w:tc>
        <w:tc>
          <w:tcPr>
            <w:tcW w:w="1193" w:type="dxa"/>
            <w:tcBorders>
              <w:top w:val="nil"/>
              <w:left w:val="nil"/>
              <w:bottom w:val="nil"/>
              <w:right w:val="nil"/>
            </w:tcBorders>
            <w:noWrap/>
            <w:vAlign w:val="bottom"/>
            <w:hideMark/>
          </w:tcPr>
          <w:p w14:paraId="4A396E7B"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   </w:t>
            </w:r>
          </w:p>
        </w:tc>
        <w:tc>
          <w:tcPr>
            <w:tcW w:w="1136" w:type="dxa"/>
            <w:tcBorders>
              <w:top w:val="nil"/>
              <w:left w:val="nil"/>
              <w:bottom w:val="nil"/>
              <w:right w:val="nil"/>
            </w:tcBorders>
            <w:noWrap/>
            <w:vAlign w:val="bottom"/>
            <w:hideMark/>
          </w:tcPr>
          <w:p w14:paraId="18504F3C"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   </w:t>
            </w:r>
          </w:p>
        </w:tc>
        <w:tc>
          <w:tcPr>
            <w:tcW w:w="1077" w:type="dxa"/>
            <w:tcBorders>
              <w:top w:val="nil"/>
              <w:left w:val="nil"/>
              <w:bottom w:val="nil"/>
              <w:right w:val="nil"/>
            </w:tcBorders>
          </w:tcPr>
          <w:p w14:paraId="5BFC6F83"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nil"/>
              <w:left w:val="nil"/>
              <w:bottom w:val="nil"/>
              <w:right w:val="nil"/>
            </w:tcBorders>
            <w:noWrap/>
            <w:vAlign w:val="bottom"/>
            <w:hideMark/>
          </w:tcPr>
          <w:p w14:paraId="7E4ECFB3"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(1,280)</w:t>
            </w:r>
          </w:p>
        </w:tc>
      </w:tr>
      <w:tr w:rsidR="00EE5F25" w:rsidRPr="003E6B5D" w14:paraId="0B456A53" w14:textId="77777777" w:rsidTr="00856101">
        <w:trPr>
          <w:trHeight w:val="229"/>
        </w:trPr>
        <w:tc>
          <w:tcPr>
            <w:tcW w:w="4677" w:type="dxa"/>
            <w:tcBorders>
              <w:top w:val="nil"/>
              <w:left w:val="nil"/>
              <w:bottom w:val="nil"/>
              <w:right w:val="nil"/>
            </w:tcBorders>
            <w:shd w:val="clear" w:color="000000" w:fill="FFFFFF"/>
            <w:vAlign w:val="bottom"/>
            <w:hideMark/>
          </w:tcPr>
          <w:p w14:paraId="2CDADF75" w14:textId="77777777" w:rsidR="00EE5F25" w:rsidRPr="003E6B5D" w:rsidRDefault="00EE5F25" w:rsidP="00856101">
            <w:pPr>
              <w:spacing w:after="0" w:line="240" w:lineRule="auto"/>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Total as at 30 June 2026</w:t>
            </w:r>
          </w:p>
        </w:tc>
        <w:tc>
          <w:tcPr>
            <w:tcW w:w="1051" w:type="dxa"/>
            <w:tcBorders>
              <w:top w:val="single" w:sz="4" w:space="0" w:color="auto"/>
              <w:left w:val="nil"/>
              <w:bottom w:val="single" w:sz="4" w:space="0" w:color="auto"/>
              <w:right w:val="nil"/>
            </w:tcBorders>
            <w:noWrap/>
            <w:vAlign w:val="bottom"/>
            <w:hideMark/>
          </w:tcPr>
          <w:p w14:paraId="63BB6710"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7,254 </w:t>
            </w:r>
          </w:p>
        </w:tc>
        <w:tc>
          <w:tcPr>
            <w:tcW w:w="1193" w:type="dxa"/>
            <w:tcBorders>
              <w:top w:val="single" w:sz="4" w:space="0" w:color="auto"/>
              <w:left w:val="nil"/>
              <w:bottom w:val="single" w:sz="4" w:space="0" w:color="auto"/>
              <w:right w:val="nil"/>
            </w:tcBorders>
            <w:noWrap/>
            <w:vAlign w:val="bottom"/>
            <w:hideMark/>
          </w:tcPr>
          <w:p w14:paraId="276DCFAB"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1,852 </w:t>
            </w:r>
          </w:p>
        </w:tc>
        <w:tc>
          <w:tcPr>
            <w:tcW w:w="1136" w:type="dxa"/>
            <w:tcBorders>
              <w:top w:val="single" w:sz="4" w:space="0" w:color="auto"/>
              <w:left w:val="nil"/>
              <w:bottom w:val="single" w:sz="4" w:space="0" w:color="auto"/>
              <w:right w:val="nil"/>
            </w:tcBorders>
            <w:noWrap/>
            <w:vAlign w:val="bottom"/>
            <w:hideMark/>
          </w:tcPr>
          <w:p w14:paraId="3AC49A74"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1,398 </w:t>
            </w:r>
          </w:p>
        </w:tc>
        <w:tc>
          <w:tcPr>
            <w:tcW w:w="1077" w:type="dxa"/>
            <w:tcBorders>
              <w:top w:val="single" w:sz="4" w:space="0" w:color="auto"/>
              <w:left w:val="nil"/>
              <w:bottom w:val="single" w:sz="4" w:space="0" w:color="auto"/>
              <w:right w:val="nil"/>
            </w:tcBorders>
          </w:tcPr>
          <w:p w14:paraId="23662AFC"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single" w:sz="4" w:space="0" w:color="auto"/>
              <w:left w:val="nil"/>
              <w:bottom w:val="single" w:sz="4" w:space="0" w:color="auto"/>
              <w:right w:val="nil"/>
            </w:tcBorders>
            <w:noWrap/>
            <w:vAlign w:val="bottom"/>
            <w:hideMark/>
          </w:tcPr>
          <w:p w14:paraId="218BCD08"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10,504 </w:t>
            </w:r>
          </w:p>
        </w:tc>
      </w:tr>
      <w:tr w:rsidR="00EE5F25" w:rsidRPr="003E6B5D" w14:paraId="599CCC3D" w14:textId="77777777" w:rsidTr="00856101">
        <w:trPr>
          <w:trHeight w:val="258"/>
        </w:trPr>
        <w:tc>
          <w:tcPr>
            <w:tcW w:w="4677" w:type="dxa"/>
            <w:tcBorders>
              <w:top w:val="nil"/>
              <w:left w:val="nil"/>
              <w:bottom w:val="nil"/>
              <w:right w:val="nil"/>
            </w:tcBorders>
            <w:shd w:val="clear" w:color="000000" w:fill="FFFFFF"/>
            <w:vAlign w:val="bottom"/>
            <w:hideMark/>
          </w:tcPr>
          <w:p w14:paraId="010CB165" w14:textId="77777777" w:rsidR="00EE5F25" w:rsidRPr="003E6B5D" w:rsidRDefault="00EE5F25" w:rsidP="00856101">
            <w:pPr>
              <w:spacing w:after="0" w:line="240" w:lineRule="auto"/>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w:t>
            </w:r>
          </w:p>
        </w:tc>
        <w:tc>
          <w:tcPr>
            <w:tcW w:w="1051" w:type="dxa"/>
            <w:tcBorders>
              <w:top w:val="nil"/>
              <w:left w:val="nil"/>
              <w:bottom w:val="nil"/>
              <w:right w:val="nil"/>
            </w:tcBorders>
            <w:noWrap/>
            <w:vAlign w:val="bottom"/>
            <w:hideMark/>
          </w:tcPr>
          <w:p w14:paraId="5EFE2EDB" w14:textId="77777777" w:rsidR="00EE5F25" w:rsidRPr="003E6B5D" w:rsidRDefault="00EE5F25" w:rsidP="00856101">
            <w:pPr>
              <w:spacing w:after="0" w:line="240" w:lineRule="auto"/>
              <w:jc w:val="right"/>
              <w:rPr>
                <w:rFonts w:ascii="Cambria" w:eastAsia="Times New Roman" w:hAnsi="Cambria" w:cs="Calibri"/>
                <w:b/>
                <w:bCs/>
                <w:color w:val="FFFFFF"/>
                <w:sz w:val="18"/>
                <w:szCs w:val="18"/>
                <w:lang w:eastAsia="en-AU"/>
              </w:rPr>
            </w:pPr>
            <w:r w:rsidRPr="003E6B5D">
              <w:rPr>
                <w:rFonts w:ascii="Cambria" w:eastAsia="Times New Roman" w:hAnsi="Cambria" w:cs="Calibri"/>
                <w:b/>
                <w:bCs/>
                <w:color w:val="FFFFFF"/>
                <w:sz w:val="18"/>
                <w:szCs w:val="18"/>
                <w:lang w:eastAsia="en-AU"/>
              </w:rPr>
              <w:t xml:space="preserve">                            -   </w:t>
            </w:r>
          </w:p>
        </w:tc>
        <w:tc>
          <w:tcPr>
            <w:tcW w:w="1193" w:type="dxa"/>
            <w:tcBorders>
              <w:top w:val="nil"/>
              <w:left w:val="nil"/>
              <w:bottom w:val="nil"/>
              <w:right w:val="nil"/>
            </w:tcBorders>
            <w:noWrap/>
            <w:vAlign w:val="bottom"/>
            <w:hideMark/>
          </w:tcPr>
          <w:p w14:paraId="5858661E" w14:textId="77777777" w:rsidR="00EE5F25" w:rsidRPr="003E6B5D" w:rsidRDefault="00EE5F25" w:rsidP="00856101">
            <w:pPr>
              <w:spacing w:after="0" w:line="240" w:lineRule="auto"/>
              <w:jc w:val="right"/>
              <w:rPr>
                <w:rFonts w:ascii="Cambria" w:eastAsia="Times New Roman" w:hAnsi="Cambria" w:cs="Calibri"/>
                <w:b/>
                <w:bCs/>
                <w:color w:val="FFFFFF"/>
                <w:sz w:val="18"/>
                <w:szCs w:val="18"/>
                <w:lang w:eastAsia="en-AU"/>
              </w:rPr>
            </w:pPr>
            <w:r w:rsidRPr="003E6B5D">
              <w:rPr>
                <w:rFonts w:ascii="Cambria" w:eastAsia="Times New Roman" w:hAnsi="Cambria" w:cs="Calibri"/>
                <w:b/>
                <w:bCs/>
                <w:color w:val="FFFFFF"/>
                <w:sz w:val="18"/>
                <w:szCs w:val="18"/>
                <w:lang w:eastAsia="en-AU"/>
              </w:rPr>
              <w:t xml:space="preserve"> FALSE </w:t>
            </w:r>
          </w:p>
        </w:tc>
        <w:tc>
          <w:tcPr>
            <w:tcW w:w="1136" w:type="dxa"/>
            <w:tcBorders>
              <w:top w:val="nil"/>
              <w:left w:val="nil"/>
              <w:bottom w:val="nil"/>
              <w:right w:val="nil"/>
            </w:tcBorders>
            <w:noWrap/>
            <w:vAlign w:val="bottom"/>
            <w:hideMark/>
          </w:tcPr>
          <w:p w14:paraId="52527B0B" w14:textId="77777777" w:rsidR="00EE5F25" w:rsidRPr="003E6B5D" w:rsidRDefault="00EE5F25" w:rsidP="00856101">
            <w:pPr>
              <w:spacing w:after="0" w:line="240" w:lineRule="auto"/>
              <w:jc w:val="right"/>
              <w:rPr>
                <w:rFonts w:ascii="Cambria" w:eastAsia="Times New Roman" w:hAnsi="Cambria" w:cs="Calibri"/>
                <w:b/>
                <w:bCs/>
                <w:color w:val="FFFFFF"/>
                <w:sz w:val="18"/>
                <w:szCs w:val="18"/>
                <w:lang w:eastAsia="en-AU"/>
              </w:rPr>
            </w:pPr>
            <w:r w:rsidRPr="003E6B5D">
              <w:rPr>
                <w:rFonts w:ascii="Cambria" w:eastAsia="Times New Roman" w:hAnsi="Cambria" w:cs="Calibri"/>
                <w:b/>
                <w:bCs/>
                <w:color w:val="FFFFFF"/>
                <w:sz w:val="18"/>
                <w:szCs w:val="18"/>
                <w:lang w:eastAsia="en-AU"/>
              </w:rPr>
              <w:t xml:space="preserve"> FALSE </w:t>
            </w:r>
          </w:p>
        </w:tc>
        <w:tc>
          <w:tcPr>
            <w:tcW w:w="1077" w:type="dxa"/>
            <w:tcBorders>
              <w:top w:val="nil"/>
              <w:left w:val="nil"/>
              <w:bottom w:val="nil"/>
              <w:right w:val="nil"/>
            </w:tcBorders>
          </w:tcPr>
          <w:p w14:paraId="41472F49" w14:textId="77777777" w:rsidR="00EE5F25" w:rsidRPr="003E6B5D" w:rsidRDefault="00EE5F25" w:rsidP="00856101">
            <w:pPr>
              <w:spacing w:after="0" w:line="240" w:lineRule="auto"/>
              <w:jc w:val="right"/>
              <w:rPr>
                <w:rFonts w:ascii="Cambria" w:eastAsia="Times New Roman" w:hAnsi="Cambria" w:cs="Calibri"/>
                <w:b/>
                <w:bCs/>
                <w:color w:val="FFFFFF"/>
                <w:sz w:val="18"/>
                <w:szCs w:val="18"/>
                <w:lang w:eastAsia="en-AU"/>
              </w:rPr>
            </w:pPr>
          </w:p>
        </w:tc>
        <w:tc>
          <w:tcPr>
            <w:tcW w:w="1077" w:type="dxa"/>
            <w:tcBorders>
              <w:top w:val="nil"/>
              <w:left w:val="nil"/>
              <w:bottom w:val="nil"/>
              <w:right w:val="nil"/>
            </w:tcBorders>
            <w:noWrap/>
            <w:vAlign w:val="bottom"/>
            <w:hideMark/>
          </w:tcPr>
          <w:p w14:paraId="62EDD8A3" w14:textId="77777777" w:rsidR="00EE5F25" w:rsidRPr="003E6B5D" w:rsidRDefault="00EE5F25" w:rsidP="00856101">
            <w:pPr>
              <w:spacing w:after="0" w:line="240" w:lineRule="auto"/>
              <w:jc w:val="right"/>
              <w:rPr>
                <w:rFonts w:ascii="Cambria" w:eastAsia="Times New Roman" w:hAnsi="Cambria" w:cs="Calibri"/>
                <w:b/>
                <w:bCs/>
                <w:color w:val="FFFFFF"/>
                <w:sz w:val="18"/>
                <w:szCs w:val="18"/>
                <w:lang w:eastAsia="en-AU"/>
              </w:rPr>
            </w:pPr>
            <w:r w:rsidRPr="003E6B5D">
              <w:rPr>
                <w:rFonts w:ascii="Cambria" w:eastAsia="Times New Roman" w:hAnsi="Cambria" w:cs="Calibri"/>
                <w:b/>
                <w:bCs/>
                <w:color w:val="FFFFFF"/>
                <w:sz w:val="18"/>
                <w:szCs w:val="18"/>
                <w:lang w:eastAsia="en-AU"/>
              </w:rPr>
              <w:t xml:space="preserve"> FALSE </w:t>
            </w:r>
          </w:p>
        </w:tc>
      </w:tr>
      <w:tr w:rsidR="00EE5F25" w:rsidRPr="003E6B5D" w14:paraId="7928E563" w14:textId="77777777" w:rsidTr="00856101">
        <w:trPr>
          <w:trHeight w:val="229"/>
        </w:trPr>
        <w:tc>
          <w:tcPr>
            <w:tcW w:w="4677" w:type="dxa"/>
            <w:tcBorders>
              <w:top w:val="nil"/>
              <w:left w:val="nil"/>
              <w:bottom w:val="nil"/>
              <w:right w:val="nil"/>
            </w:tcBorders>
            <w:shd w:val="clear" w:color="000000" w:fill="FFFFFF"/>
            <w:vAlign w:val="bottom"/>
            <w:hideMark/>
          </w:tcPr>
          <w:p w14:paraId="6F5436FE" w14:textId="77777777" w:rsidR="00EE5F25" w:rsidRPr="003E6B5D" w:rsidRDefault="00EE5F25" w:rsidP="00856101">
            <w:pPr>
              <w:spacing w:after="0" w:line="240" w:lineRule="auto"/>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Total as at 30 June 2026 represented by</w:t>
            </w:r>
          </w:p>
        </w:tc>
        <w:tc>
          <w:tcPr>
            <w:tcW w:w="1051" w:type="dxa"/>
            <w:tcBorders>
              <w:top w:val="nil"/>
              <w:left w:val="nil"/>
              <w:bottom w:val="nil"/>
              <w:right w:val="nil"/>
            </w:tcBorders>
            <w:noWrap/>
            <w:vAlign w:val="bottom"/>
            <w:hideMark/>
          </w:tcPr>
          <w:p w14:paraId="0CCEB1A0" w14:textId="77777777" w:rsidR="00EE5F25" w:rsidRPr="003E6B5D" w:rsidRDefault="00EE5F25" w:rsidP="00856101">
            <w:pPr>
              <w:spacing w:after="0" w:line="240" w:lineRule="auto"/>
              <w:rPr>
                <w:rFonts w:ascii="Cambria" w:eastAsia="Times New Roman" w:hAnsi="Cambria" w:cs="Calibri"/>
                <w:b/>
                <w:bCs/>
                <w:color w:val="auto"/>
                <w:sz w:val="18"/>
                <w:szCs w:val="18"/>
                <w:lang w:eastAsia="en-AU"/>
              </w:rPr>
            </w:pPr>
          </w:p>
        </w:tc>
        <w:tc>
          <w:tcPr>
            <w:tcW w:w="1193" w:type="dxa"/>
            <w:tcBorders>
              <w:top w:val="nil"/>
              <w:left w:val="nil"/>
              <w:bottom w:val="nil"/>
              <w:right w:val="nil"/>
            </w:tcBorders>
            <w:noWrap/>
            <w:vAlign w:val="bottom"/>
            <w:hideMark/>
          </w:tcPr>
          <w:p w14:paraId="70810AA2"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181DBF2"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077" w:type="dxa"/>
            <w:tcBorders>
              <w:top w:val="nil"/>
              <w:left w:val="nil"/>
              <w:bottom w:val="nil"/>
              <w:right w:val="nil"/>
            </w:tcBorders>
          </w:tcPr>
          <w:p w14:paraId="0DDF8665"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077" w:type="dxa"/>
            <w:tcBorders>
              <w:top w:val="nil"/>
              <w:left w:val="nil"/>
              <w:bottom w:val="nil"/>
              <w:right w:val="nil"/>
            </w:tcBorders>
            <w:noWrap/>
            <w:vAlign w:val="bottom"/>
            <w:hideMark/>
          </w:tcPr>
          <w:p w14:paraId="53337C00" w14:textId="77777777" w:rsidR="00EE5F25" w:rsidRPr="003E6B5D"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3E6B5D" w14:paraId="015A5382" w14:textId="77777777" w:rsidTr="00856101">
        <w:trPr>
          <w:trHeight w:val="229"/>
        </w:trPr>
        <w:tc>
          <w:tcPr>
            <w:tcW w:w="4677" w:type="dxa"/>
            <w:tcBorders>
              <w:top w:val="nil"/>
              <w:left w:val="nil"/>
              <w:bottom w:val="nil"/>
              <w:right w:val="nil"/>
            </w:tcBorders>
            <w:shd w:val="clear" w:color="000000" w:fill="FFFFFF"/>
            <w:vAlign w:val="bottom"/>
            <w:hideMark/>
          </w:tcPr>
          <w:p w14:paraId="30F4FB8E" w14:textId="77777777" w:rsidR="00EE5F25" w:rsidRPr="003E6B5D" w:rsidRDefault="00EE5F25" w:rsidP="00856101">
            <w:pPr>
              <w:spacing w:after="0" w:line="240" w:lineRule="auto"/>
              <w:rPr>
                <w:rFonts w:ascii="Cambria" w:eastAsia="Times New Roman" w:hAnsi="Cambria" w:cs="Calibri"/>
                <w:color w:val="auto"/>
                <w:sz w:val="18"/>
                <w:szCs w:val="18"/>
                <w:lang w:eastAsia="en-AU"/>
              </w:rPr>
            </w:pPr>
            <w:r w:rsidRPr="003E6B5D">
              <w:rPr>
                <w:rFonts w:ascii="Cambria" w:eastAsia="Times New Roman" w:hAnsi="Cambria" w:cs="Calibri"/>
                <w:color w:val="auto"/>
                <w:sz w:val="18"/>
                <w:szCs w:val="18"/>
                <w:lang w:eastAsia="en-AU"/>
              </w:rPr>
              <w:t>Gross book value</w:t>
            </w:r>
          </w:p>
        </w:tc>
        <w:tc>
          <w:tcPr>
            <w:tcW w:w="1051" w:type="dxa"/>
            <w:tcBorders>
              <w:top w:val="nil"/>
              <w:left w:val="nil"/>
              <w:bottom w:val="nil"/>
              <w:right w:val="nil"/>
            </w:tcBorders>
            <w:noWrap/>
            <w:vAlign w:val="bottom"/>
            <w:hideMark/>
          </w:tcPr>
          <w:p w14:paraId="41634257"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12,802 </w:t>
            </w:r>
          </w:p>
        </w:tc>
        <w:tc>
          <w:tcPr>
            <w:tcW w:w="1193" w:type="dxa"/>
            <w:tcBorders>
              <w:top w:val="nil"/>
              <w:left w:val="nil"/>
              <w:bottom w:val="nil"/>
              <w:right w:val="nil"/>
            </w:tcBorders>
            <w:noWrap/>
            <w:vAlign w:val="bottom"/>
            <w:hideMark/>
          </w:tcPr>
          <w:p w14:paraId="17F4CF96"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2,168 </w:t>
            </w:r>
          </w:p>
        </w:tc>
        <w:tc>
          <w:tcPr>
            <w:tcW w:w="1136" w:type="dxa"/>
            <w:tcBorders>
              <w:top w:val="nil"/>
              <w:left w:val="nil"/>
              <w:bottom w:val="nil"/>
              <w:right w:val="nil"/>
            </w:tcBorders>
            <w:noWrap/>
            <w:vAlign w:val="bottom"/>
            <w:hideMark/>
          </w:tcPr>
          <w:p w14:paraId="25CC6803"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2,679 </w:t>
            </w:r>
          </w:p>
        </w:tc>
        <w:tc>
          <w:tcPr>
            <w:tcW w:w="1077" w:type="dxa"/>
            <w:tcBorders>
              <w:top w:val="nil"/>
              <w:left w:val="nil"/>
              <w:bottom w:val="nil"/>
              <w:right w:val="nil"/>
            </w:tcBorders>
          </w:tcPr>
          <w:p w14:paraId="2DBF0F9C"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nil"/>
              <w:left w:val="nil"/>
              <w:bottom w:val="nil"/>
              <w:right w:val="nil"/>
            </w:tcBorders>
            <w:noWrap/>
            <w:vAlign w:val="bottom"/>
            <w:hideMark/>
          </w:tcPr>
          <w:p w14:paraId="15C6A951"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17,649 </w:t>
            </w:r>
          </w:p>
        </w:tc>
      </w:tr>
      <w:tr w:rsidR="00EE5F25" w:rsidRPr="003E6B5D" w14:paraId="64304433" w14:textId="77777777" w:rsidTr="00856101">
        <w:trPr>
          <w:trHeight w:val="229"/>
        </w:trPr>
        <w:tc>
          <w:tcPr>
            <w:tcW w:w="4677" w:type="dxa"/>
            <w:tcBorders>
              <w:top w:val="nil"/>
              <w:left w:val="nil"/>
              <w:bottom w:val="nil"/>
              <w:right w:val="nil"/>
            </w:tcBorders>
            <w:shd w:val="clear" w:color="000000" w:fill="FFFFFF"/>
            <w:vAlign w:val="bottom"/>
            <w:hideMark/>
          </w:tcPr>
          <w:p w14:paraId="014255DB" w14:textId="77777777" w:rsidR="00EE5F25" w:rsidRPr="003E6B5D" w:rsidRDefault="00EE5F25" w:rsidP="00856101">
            <w:pPr>
              <w:spacing w:after="0" w:line="240" w:lineRule="auto"/>
              <w:rPr>
                <w:rFonts w:ascii="Cambria" w:eastAsia="Times New Roman" w:hAnsi="Cambria" w:cs="Calibri"/>
                <w:color w:val="auto"/>
                <w:sz w:val="18"/>
                <w:szCs w:val="18"/>
                <w:lang w:eastAsia="en-AU"/>
              </w:rPr>
            </w:pPr>
            <w:r w:rsidRPr="003E6B5D">
              <w:rPr>
                <w:rFonts w:ascii="Cambria" w:eastAsia="Times New Roman" w:hAnsi="Cambria" w:cs="Calibri"/>
                <w:color w:val="auto"/>
                <w:sz w:val="18"/>
                <w:szCs w:val="18"/>
                <w:lang w:eastAsia="en-AU"/>
              </w:rPr>
              <w:t>Accumulated depreciation, amortisation and impairment</w:t>
            </w:r>
          </w:p>
        </w:tc>
        <w:tc>
          <w:tcPr>
            <w:tcW w:w="1051" w:type="dxa"/>
            <w:tcBorders>
              <w:top w:val="nil"/>
              <w:left w:val="nil"/>
              <w:bottom w:val="nil"/>
              <w:right w:val="nil"/>
            </w:tcBorders>
            <w:noWrap/>
            <w:vAlign w:val="bottom"/>
            <w:hideMark/>
          </w:tcPr>
          <w:p w14:paraId="68E46BCE"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(5,548)</w:t>
            </w:r>
          </w:p>
        </w:tc>
        <w:tc>
          <w:tcPr>
            <w:tcW w:w="1193" w:type="dxa"/>
            <w:tcBorders>
              <w:top w:val="nil"/>
              <w:left w:val="nil"/>
              <w:bottom w:val="nil"/>
              <w:right w:val="nil"/>
            </w:tcBorders>
            <w:noWrap/>
            <w:vAlign w:val="bottom"/>
            <w:hideMark/>
          </w:tcPr>
          <w:p w14:paraId="1E089A7C"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(316)</w:t>
            </w:r>
          </w:p>
        </w:tc>
        <w:tc>
          <w:tcPr>
            <w:tcW w:w="1136" w:type="dxa"/>
            <w:tcBorders>
              <w:top w:val="nil"/>
              <w:left w:val="nil"/>
              <w:bottom w:val="nil"/>
              <w:right w:val="nil"/>
            </w:tcBorders>
            <w:noWrap/>
            <w:vAlign w:val="bottom"/>
            <w:hideMark/>
          </w:tcPr>
          <w:p w14:paraId="4B1B4DB4"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(1,281)</w:t>
            </w:r>
          </w:p>
        </w:tc>
        <w:tc>
          <w:tcPr>
            <w:tcW w:w="1077" w:type="dxa"/>
            <w:tcBorders>
              <w:top w:val="nil"/>
              <w:left w:val="nil"/>
              <w:bottom w:val="nil"/>
              <w:right w:val="nil"/>
            </w:tcBorders>
          </w:tcPr>
          <w:p w14:paraId="7180D73E"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nil"/>
              <w:left w:val="nil"/>
              <w:bottom w:val="nil"/>
              <w:right w:val="nil"/>
            </w:tcBorders>
            <w:noWrap/>
            <w:vAlign w:val="bottom"/>
            <w:hideMark/>
          </w:tcPr>
          <w:p w14:paraId="76CE5217"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(7,145)</w:t>
            </w:r>
          </w:p>
        </w:tc>
      </w:tr>
      <w:tr w:rsidR="00EE5F25" w:rsidRPr="003E6B5D" w14:paraId="0668EC73" w14:textId="77777777" w:rsidTr="00856101">
        <w:trPr>
          <w:trHeight w:val="229"/>
        </w:trPr>
        <w:tc>
          <w:tcPr>
            <w:tcW w:w="4677" w:type="dxa"/>
            <w:tcBorders>
              <w:top w:val="nil"/>
              <w:left w:val="nil"/>
              <w:bottom w:val="nil"/>
              <w:right w:val="nil"/>
            </w:tcBorders>
            <w:shd w:val="clear" w:color="000000" w:fill="FFFFFF"/>
            <w:vAlign w:val="bottom"/>
            <w:hideMark/>
          </w:tcPr>
          <w:p w14:paraId="2AB53E82" w14:textId="77777777" w:rsidR="00EE5F25" w:rsidRPr="003E6B5D" w:rsidRDefault="00EE5F25" w:rsidP="00856101">
            <w:pPr>
              <w:spacing w:after="0" w:line="240" w:lineRule="auto"/>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Total as at 30 June 2026 represented by</w:t>
            </w:r>
          </w:p>
        </w:tc>
        <w:tc>
          <w:tcPr>
            <w:tcW w:w="1051" w:type="dxa"/>
            <w:tcBorders>
              <w:top w:val="single" w:sz="4" w:space="0" w:color="auto"/>
              <w:left w:val="nil"/>
              <w:bottom w:val="single" w:sz="4" w:space="0" w:color="auto"/>
              <w:right w:val="nil"/>
            </w:tcBorders>
            <w:noWrap/>
            <w:vAlign w:val="bottom"/>
            <w:hideMark/>
          </w:tcPr>
          <w:p w14:paraId="062BBCE0"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7,254 </w:t>
            </w:r>
          </w:p>
        </w:tc>
        <w:tc>
          <w:tcPr>
            <w:tcW w:w="1193" w:type="dxa"/>
            <w:tcBorders>
              <w:top w:val="single" w:sz="4" w:space="0" w:color="auto"/>
              <w:left w:val="nil"/>
              <w:bottom w:val="single" w:sz="4" w:space="0" w:color="auto"/>
              <w:right w:val="nil"/>
            </w:tcBorders>
            <w:noWrap/>
            <w:vAlign w:val="bottom"/>
            <w:hideMark/>
          </w:tcPr>
          <w:p w14:paraId="56F980F7"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1,852 </w:t>
            </w:r>
          </w:p>
        </w:tc>
        <w:tc>
          <w:tcPr>
            <w:tcW w:w="1136" w:type="dxa"/>
            <w:tcBorders>
              <w:top w:val="single" w:sz="4" w:space="0" w:color="auto"/>
              <w:left w:val="nil"/>
              <w:bottom w:val="single" w:sz="4" w:space="0" w:color="auto"/>
              <w:right w:val="nil"/>
            </w:tcBorders>
            <w:noWrap/>
            <w:vAlign w:val="bottom"/>
            <w:hideMark/>
          </w:tcPr>
          <w:p w14:paraId="3CD56849"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1,398 </w:t>
            </w:r>
          </w:p>
        </w:tc>
        <w:tc>
          <w:tcPr>
            <w:tcW w:w="1077" w:type="dxa"/>
            <w:tcBorders>
              <w:top w:val="single" w:sz="4" w:space="0" w:color="auto"/>
              <w:left w:val="nil"/>
              <w:bottom w:val="single" w:sz="4" w:space="0" w:color="auto"/>
              <w:right w:val="nil"/>
            </w:tcBorders>
          </w:tcPr>
          <w:p w14:paraId="620E8937"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single" w:sz="4" w:space="0" w:color="auto"/>
              <w:left w:val="nil"/>
              <w:bottom w:val="single" w:sz="4" w:space="0" w:color="auto"/>
              <w:right w:val="nil"/>
            </w:tcBorders>
            <w:noWrap/>
            <w:vAlign w:val="bottom"/>
            <w:hideMark/>
          </w:tcPr>
          <w:p w14:paraId="62B2F4DF"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10,504 </w:t>
            </w:r>
          </w:p>
        </w:tc>
      </w:tr>
      <w:tr w:rsidR="00EE5F25" w:rsidRPr="003E6B5D" w14:paraId="2227780D" w14:textId="77777777" w:rsidTr="00856101">
        <w:trPr>
          <w:trHeight w:val="229"/>
        </w:trPr>
        <w:tc>
          <w:tcPr>
            <w:tcW w:w="4677" w:type="dxa"/>
            <w:tcBorders>
              <w:top w:val="nil"/>
              <w:left w:val="nil"/>
              <w:bottom w:val="nil"/>
              <w:right w:val="nil"/>
            </w:tcBorders>
            <w:shd w:val="clear" w:color="000000" w:fill="FFFFFF"/>
            <w:vAlign w:val="bottom"/>
            <w:hideMark/>
          </w:tcPr>
          <w:p w14:paraId="0243BEAA" w14:textId="77777777" w:rsidR="00EE5F25" w:rsidRPr="003E6B5D" w:rsidRDefault="00EE5F25" w:rsidP="00856101">
            <w:pPr>
              <w:spacing w:after="0" w:line="240" w:lineRule="auto"/>
              <w:rPr>
                <w:rFonts w:ascii="Cambria" w:eastAsia="Times New Roman" w:hAnsi="Cambria" w:cs="Calibri"/>
                <w:color w:val="auto"/>
                <w:sz w:val="18"/>
                <w:szCs w:val="18"/>
                <w:lang w:eastAsia="en-AU"/>
              </w:rPr>
            </w:pPr>
            <w:r w:rsidRPr="003E6B5D">
              <w:rPr>
                <w:rFonts w:ascii="Cambria" w:eastAsia="Times New Roman" w:hAnsi="Cambria" w:cs="Calibri"/>
                <w:color w:val="auto"/>
                <w:sz w:val="18"/>
                <w:szCs w:val="18"/>
                <w:lang w:eastAsia="en-AU"/>
              </w:rPr>
              <w:t>Carrying amount of right-of-use assets</w:t>
            </w:r>
          </w:p>
        </w:tc>
        <w:tc>
          <w:tcPr>
            <w:tcW w:w="1051" w:type="dxa"/>
            <w:tcBorders>
              <w:top w:val="nil"/>
              <w:left w:val="nil"/>
              <w:bottom w:val="single" w:sz="4" w:space="0" w:color="auto"/>
              <w:right w:val="nil"/>
            </w:tcBorders>
            <w:noWrap/>
            <w:vAlign w:val="bottom"/>
            <w:hideMark/>
          </w:tcPr>
          <w:p w14:paraId="7BF62CC9"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sidRPr="003E6B5D">
              <w:rPr>
                <w:rFonts w:ascii="Cambria" w:eastAsia="Times New Roman" w:hAnsi="Cambria" w:cs="Calibri"/>
                <w:b/>
                <w:bCs/>
                <w:color w:val="auto"/>
                <w:sz w:val="18"/>
                <w:szCs w:val="18"/>
                <w:lang w:eastAsia="en-AU"/>
              </w:rPr>
              <w:t xml:space="preserve">                  7,254 </w:t>
            </w:r>
          </w:p>
        </w:tc>
        <w:tc>
          <w:tcPr>
            <w:tcW w:w="1193" w:type="dxa"/>
            <w:tcBorders>
              <w:top w:val="nil"/>
              <w:left w:val="nil"/>
              <w:bottom w:val="single" w:sz="4" w:space="0" w:color="auto"/>
              <w:right w:val="nil"/>
            </w:tcBorders>
            <w:noWrap/>
            <w:vAlign w:val="bottom"/>
            <w:hideMark/>
          </w:tcPr>
          <w:p w14:paraId="2E212198"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Pr>
                <w:rFonts w:ascii="Cambria" w:eastAsia="Times New Roman" w:hAnsi="Cambria" w:cs="Calibri"/>
                <w:b/>
                <w:bCs/>
                <w:color w:val="auto"/>
                <w:sz w:val="18"/>
                <w:szCs w:val="18"/>
                <w:lang w:eastAsia="en-AU"/>
              </w:rPr>
              <w:t>-</w:t>
            </w:r>
            <w:r w:rsidRPr="003E6B5D">
              <w:rPr>
                <w:rFonts w:ascii="Cambria" w:eastAsia="Times New Roman" w:hAnsi="Cambria" w:cs="Calibri"/>
                <w:b/>
                <w:bCs/>
                <w:color w:val="auto"/>
                <w:sz w:val="18"/>
                <w:szCs w:val="18"/>
                <w:lang w:eastAsia="en-AU"/>
              </w:rPr>
              <w:t> </w:t>
            </w:r>
          </w:p>
        </w:tc>
        <w:tc>
          <w:tcPr>
            <w:tcW w:w="1136" w:type="dxa"/>
            <w:tcBorders>
              <w:top w:val="nil"/>
              <w:left w:val="nil"/>
              <w:bottom w:val="single" w:sz="4" w:space="0" w:color="auto"/>
              <w:right w:val="nil"/>
            </w:tcBorders>
            <w:noWrap/>
            <w:vAlign w:val="bottom"/>
            <w:hideMark/>
          </w:tcPr>
          <w:p w14:paraId="48129777"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Pr>
                <w:rFonts w:ascii="Cambria" w:eastAsia="Times New Roman" w:hAnsi="Cambria" w:cs="Calibri"/>
                <w:b/>
                <w:bCs/>
                <w:color w:val="auto"/>
                <w:sz w:val="18"/>
                <w:szCs w:val="18"/>
                <w:lang w:eastAsia="en-AU"/>
              </w:rPr>
              <w:t>-</w:t>
            </w:r>
            <w:r w:rsidRPr="003E6B5D">
              <w:rPr>
                <w:rFonts w:ascii="Cambria" w:eastAsia="Times New Roman" w:hAnsi="Cambria" w:cs="Calibri"/>
                <w:b/>
                <w:bCs/>
                <w:color w:val="auto"/>
                <w:sz w:val="18"/>
                <w:szCs w:val="18"/>
                <w:lang w:eastAsia="en-AU"/>
              </w:rPr>
              <w:t> </w:t>
            </w:r>
          </w:p>
        </w:tc>
        <w:tc>
          <w:tcPr>
            <w:tcW w:w="1077" w:type="dxa"/>
            <w:tcBorders>
              <w:top w:val="nil"/>
              <w:left w:val="nil"/>
              <w:bottom w:val="single" w:sz="4" w:space="0" w:color="auto"/>
              <w:right w:val="nil"/>
            </w:tcBorders>
          </w:tcPr>
          <w:p w14:paraId="0C498281"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p>
        </w:tc>
        <w:tc>
          <w:tcPr>
            <w:tcW w:w="1077" w:type="dxa"/>
            <w:tcBorders>
              <w:top w:val="nil"/>
              <w:left w:val="nil"/>
              <w:bottom w:val="single" w:sz="4" w:space="0" w:color="auto"/>
              <w:right w:val="nil"/>
            </w:tcBorders>
            <w:noWrap/>
            <w:vAlign w:val="bottom"/>
            <w:hideMark/>
          </w:tcPr>
          <w:p w14:paraId="7B205345" w14:textId="77777777" w:rsidR="00EE5F25" w:rsidRPr="003E6B5D" w:rsidRDefault="00EE5F25" w:rsidP="00856101">
            <w:pPr>
              <w:spacing w:after="0" w:line="240" w:lineRule="auto"/>
              <w:jc w:val="right"/>
              <w:rPr>
                <w:rFonts w:ascii="Cambria" w:eastAsia="Times New Roman" w:hAnsi="Cambria" w:cs="Calibri"/>
                <w:b/>
                <w:bCs/>
                <w:color w:val="auto"/>
                <w:sz w:val="18"/>
                <w:szCs w:val="18"/>
                <w:lang w:eastAsia="en-AU"/>
              </w:rPr>
            </w:pPr>
            <w:r>
              <w:rPr>
                <w:rFonts w:ascii="Cambria" w:eastAsia="Times New Roman" w:hAnsi="Cambria" w:cs="Calibri"/>
                <w:b/>
                <w:bCs/>
                <w:color w:val="auto"/>
                <w:sz w:val="18"/>
                <w:szCs w:val="18"/>
                <w:lang w:eastAsia="en-AU"/>
              </w:rPr>
              <w:t>7,254</w:t>
            </w:r>
            <w:r w:rsidRPr="003E6B5D">
              <w:rPr>
                <w:rFonts w:ascii="Cambria" w:eastAsia="Times New Roman" w:hAnsi="Cambria" w:cs="Calibri"/>
                <w:b/>
                <w:bCs/>
                <w:color w:val="auto"/>
                <w:sz w:val="18"/>
                <w:szCs w:val="18"/>
                <w:lang w:eastAsia="en-AU"/>
              </w:rPr>
              <w:t> </w:t>
            </w:r>
          </w:p>
        </w:tc>
      </w:tr>
    </w:tbl>
    <w:p w14:paraId="5F355979" w14:textId="77777777" w:rsidR="00EE5F25" w:rsidRDefault="00EE5F25" w:rsidP="00EE5F25"/>
    <w:tbl>
      <w:tblPr>
        <w:tblW w:w="14120" w:type="dxa"/>
        <w:tblLook w:val="04A0" w:firstRow="1" w:lastRow="0" w:firstColumn="1" w:lastColumn="0" w:noHBand="0" w:noVBand="1"/>
      </w:tblPr>
      <w:tblGrid>
        <w:gridCol w:w="5452"/>
        <w:gridCol w:w="1252"/>
        <w:gridCol w:w="1351"/>
        <w:gridCol w:w="1507"/>
        <w:gridCol w:w="1435"/>
        <w:gridCol w:w="322"/>
        <w:gridCol w:w="1507"/>
        <w:gridCol w:w="1294"/>
      </w:tblGrid>
      <w:tr w:rsidR="00EE5F25" w:rsidRPr="00A2599A" w14:paraId="7203B8A0" w14:textId="77777777" w:rsidTr="00856101">
        <w:trPr>
          <w:trHeight w:val="209"/>
        </w:trPr>
        <w:tc>
          <w:tcPr>
            <w:tcW w:w="5452" w:type="dxa"/>
            <w:tcBorders>
              <w:top w:val="nil"/>
              <w:left w:val="nil"/>
              <w:bottom w:val="nil"/>
              <w:right w:val="nil"/>
            </w:tcBorders>
            <w:vAlign w:val="bottom"/>
            <w:hideMark/>
          </w:tcPr>
          <w:p w14:paraId="1CB64D21" w14:textId="77777777" w:rsidR="00EE5F25" w:rsidRPr="00A2599A" w:rsidRDefault="00EE5F25" w:rsidP="00856101">
            <w:pPr>
              <w:spacing w:after="0" w:line="240" w:lineRule="auto"/>
              <w:rPr>
                <w:rFonts w:ascii="Times New Roman" w:eastAsia="Times New Roman" w:hAnsi="Times New Roman" w:cs="Times New Roman"/>
                <w:color w:val="auto"/>
                <w:sz w:val="24"/>
                <w:szCs w:val="24"/>
                <w:lang w:eastAsia="en-AU"/>
              </w:rPr>
            </w:pPr>
          </w:p>
        </w:tc>
        <w:tc>
          <w:tcPr>
            <w:tcW w:w="1252" w:type="dxa"/>
            <w:tcBorders>
              <w:top w:val="nil"/>
              <w:left w:val="nil"/>
              <w:bottom w:val="nil"/>
              <w:right w:val="nil"/>
            </w:tcBorders>
            <w:noWrap/>
            <w:vAlign w:val="bottom"/>
            <w:hideMark/>
          </w:tcPr>
          <w:p w14:paraId="18B99A1F" w14:textId="77777777" w:rsidR="00EE5F25" w:rsidRPr="00A2599A" w:rsidRDefault="00EE5F25" w:rsidP="00856101">
            <w:pPr>
              <w:spacing w:after="0" w:line="240" w:lineRule="auto"/>
              <w:rPr>
                <w:rFonts w:ascii="Times New Roman" w:eastAsia="Times New Roman" w:hAnsi="Times New Roman" w:cs="Times New Roman"/>
                <w:color w:val="auto"/>
                <w:sz w:val="20"/>
                <w:szCs w:val="20"/>
                <w:lang w:eastAsia="en-AU"/>
              </w:rPr>
            </w:pPr>
          </w:p>
        </w:tc>
        <w:tc>
          <w:tcPr>
            <w:tcW w:w="1351" w:type="dxa"/>
            <w:tcBorders>
              <w:top w:val="nil"/>
              <w:left w:val="nil"/>
              <w:bottom w:val="nil"/>
              <w:right w:val="nil"/>
            </w:tcBorders>
            <w:noWrap/>
            <w:vAlign w:val="bottom"/>
            <w:hideMark/>
          </w:tcPr>
          <w:p w14:paraId="235A5468" w14:textId="77777777" w:rsidR="00EE5F25" w:rsidRPr="00A2599A"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507" w:type="dxa"/>
            <w:tcBorders>
              <w:top w:val="nil"/>
              <w:left w:val="nil"/>
              <w:bottom w:val="nil"/>
              <w:right w:val="nil"/>
            </w:tcBorders>
            <w:noWrap/>
            <w:vAlign w:val="bottom"/>
            <w:hideMark/>
          </w:tcPr>
          <w:p w14:paraId="5B64D5A6" w14:textId="77777777" w:rsidR="00EE5F25" w:rsidRPr="00A2599A"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435" w:type="dxa"/>
            <w:tcBorders>
              <w:top w:val="nil"/>
              <w:left w:val="nil"/>
              <w:bottom w:val="nil"/>
              <w:right w:val="nil"/>
            </w:tcBorders>
            <w:noWrap/>
            <w:vAlign w:val="bottom"/>
            <w:hideMark/>
          </w:tcPr>
          <w:p w14:paraId="4665202A" w14:textId="77777777" w:rsidR="00EE5F25" w:rsidRPr="00A2599A"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322" w:type="dxa"/>
            <w:tcBorders>
              <w:top w:val="nil"/>
              <w:left w:val="nil"/>
              <w:bottom w:val="nil"/>
              <w:right w:val="nil"/>
            </w:tcBorders>
            <w:noWrap/>
            <w:vAlign w:val="bottom"/>
            <w:hideMark/>
          </w:tcPr>
          <w:p w14:paraId="308FC373" w14:textId="77777777" w:rsidR="00EE5F25" w:rsidRPr="00A2599A"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507" w:type="dxa"/>
            <w:tcBorders>
              <w:top w:val="nil"/>
              <w:left w:val="nil"/>
              <w:bottom w:val="nil"/>
              <w:right w:val="nil"/>
            </w:tcBorders>
            <w:noWrap/>
            <w:vAlign w:val="bottom"/>
            <w:hideMark/>
          </w:tcPr>
          <w:p w14:paraId="1649E49A" w14:textId="77777777" w:rsidR="00EE5F25" w:rsidRPr="00A2599A" w:rsidRDefault="00EE5F25" w:rsidP="00856101">
            <w:pPr>
              <w:spacing w:after="0" w:line="240" w:lineRule="auto"/>
              <w:jc w:val="right"/>
              <w:rPr>
                <w:rFonts w:ascii="Times New Roman" w:eastAsia="Times New Roman" w:hAnsi="Times New Roman" w:cs="Times New Roman"/>
                <w:color w:val="auto"/>
                <w:sz w:val="20"/>
                <w:szCs w:val="20"/>
                <w:lang w:eastAsia="en-AU"/>
              </w:rPr>
            </w:pPr>
          </w:p>
        </w:tc>
        <w:tc>
          <w:tcPr>
            <w:tcW w:w="1294" w:type="dxa"/>
            <w:tcBorders>
              <w:top w:val="nil"/>
              <w:left w:val="nil"/>
              <w:bottom w:val="nil"/>
              <w:right w:val="nil"/>
            </w:tcBorders>
            <w:noWrap/>
            <w:vAlign w:val="bottom"/>
            <w:hideMark/>
          </w:tcPr>
          <w:p w14:paraId="2BD3A8E9" w14:textId="77777777" w:rsidR="00EE5F25" w:rsidRPr="00A2599A" w:rsidRDefault="00EE5F25" w:rsidP="00856101">
            <w:pPr>
              <w:spacing w:after="0" w:line="240" w:lineRule="auto"/>
              <w:jc w:val="right"/>
              <w:rPr>
                <w:rFonts w:ascii="Times New Roman" w:eastAsia="Times New Roman" w:hAnsi="Times New Roman" w:cs="Times New Roman"/>
                <w:color w:val="auto"/>
                <w:sz w:val="20"/>
                <w:szCs w:val="20"/>
                <w:lang w:eastAsia="en-AU"/>
              </w:rPr>
            </w:pPr>
          </w:p>
        </w:tc>
      </w:tr>
      <w:tr w:rsidR="00EE5F25" w:rsidRPr="00A2599A" w14:paraId="3BFB9D0A" w14:textId="77777777" w:rsidTr="00856101">
        <w:trPr>
          <w:trHeight w:val="238"/>
        </w:trPr>
        <w:tc>
          <w:tcPr>
            <w:tcW w:w="11319" w:type="dxa"/>
            <w:gridSpan w:val="6"/>
            <w:tcBorders>
              <w:top w:val="nil"/>
              <w:left w:val="nil"/>
              <w:bottom w:val="nil"/>
              <w:right w:val="nil"/>
            </w:tcBorders>
            <w:hideMark/>
          </w:tcPr>
          <w:p w14:paraId="13CEC4FE" w14:textId="77777777" w:rsidR="00EE5F25" w:rsidRPr="00A2599A" w:rsidRDefault="00EE5F25" w:rsidP="00856101">
            <w:pPr>
              <w:spacing w:after="0" w:line="240" w:lineRule="auto"/>
              <w:rPr>
                <w:rFonts w:ascii="Cambria" w:eastAsia="Times New Roman" w:hAnsi="Cambria" w:cs="Calibri"/>
                <w:color w:val="auto"/>
                <w:sz w:val="18"/>
                <w:szCs w:val="18"/>
                <w:lang w:eastAsia="en-AU"/>
              </w:rPr>
            </w:pPr>
            <w:r w:rsidRPr="00A2599A">
              <w:rPr>
                <w:rFonts w:ascii="Cambria" w:eastAsia="Times New Roman" w:hAnsi="Cambria" w:cs="Calibri"/>
                <w:color w:val="auto"/>
                <w:sz w:val="18"/>
                <w:szCs w:val="18"/>
                <w:lang w:eastAsia="en-AU"/>
              </w:rPr>
              <w:t>No indicators of impairment were found for property, plant and equipment or intangibles.</w:t>
            </w:r>
          </w:p>
        </w:tc>
        <w:tc>
          <w:tcPr>
            <w:tcW w:w="1507" w:type="dxa"/>
            <w:tcBorders>
              <w:top w:val="nil"/>
              <w:left w:val="nil"/>
              <w:bottom w:val="nil"/>
              <w:right w:val="nil"/>
            </w:tcBorders>
            <w:noWrap/>
            <w:vAlign w:val="bottom"/>
            <w:hideMark/>
          </w:tcPr>
          <w:p w14:paraId="7E680947" w14:textId="77777777" w:rsidR="00EE5F25" w:rsidRPr="00A2599A" w:rsidRDefault="00EE5F25" w:rsidP="00856101">
            <w:pPr>
              <w:spacing w:after="0" w:line="240" w:lineRule="auto"/>
              <w:rPr>
                <w:rFonts w:ascii="Cambria" w:eastAsia="Times New Roman" w:hAnsi="Cambria" w:cs="Calibri"/>
                <w:color w:val="auto"/>
                <w:sz w:val="18"/>
                <w:szCs w:val="18"/>
                <w:lang w:eastAsia="en-AU"/>
              </w:rPr>
            </w:pPr>
          </w:p>
        </w:tc>
        <w:tc>
          <w:tcPr>
            <w:tcW w:w="1294" w:type="dxa"/>
            <w:tcBorders>
              <w:top w:val="nil"/>
              <w:left w:val="nil"/>
              <w:bottom w:val="nil"/>
              <w:right w:val="nil"/>
            </w:tcBorders>
            <w:noWrap/>
            <w:vAlign w:val="bottom"/>
            <w:hideMark/>
          </w:tcPr>
          <w:p w14:paraId="7838F428" w14:textId="77777777" w:rsidR="00EE5F25" w:rsidRPr="00A2599A" w:rsidRDefault="00EE5F25" w:rsidP="00856101">
            <w:pPr>
              <w:spacing w:after="0" w:line="240" w:lineRule="auto"/>
              <w:rPr>
                <w:rFonts w:ascii="Times New Roman" w:eastAsia="Times New Roman" w:hAnsi="Times New Roman" w:cs="Times New Roman"/>
                <w:color w:val="auto"/>
                <w:sz w:val="20"/>
                <w:szCs w:val="20"/>
                <w:lang w:eastAsia="en-AU"/>
              </w:rPr>
            </w:pPr>
          </w:p>
        </w:tc>
      </w:tr>
      <w:tr w:rsidR="00EE5F25" w:rsidRPr="00A2599A" w14:paraId="384A2E58" w14:textId="77777777" w:rsidTr="00856101">
        <w:trPr>
          <w:trHeight w:val="214"/>
        </w:trPr>
        <w:tc>
          <w:tcPr>
            <w:tcW w:w="11319" w:type="dxa"/>
            <w:gridSpan w:val="6"/>
            <w:tcBorders>
              <w:top w:val="nil"/>
              <w:left w:val="nil"/>
              <w:bottom w:val="nil"/>
              <w:right w:val="nil"/>
            </w:tcBorders>
            <w:hideMark/>
          </w:tcPr>
          <w:p w14:paraId="3EC461DF" w14:textId="77777777" w:rsidR="00EE5F25" w:rsidRPr="00A2599A" w:rsidRDefault="00EE5F25" w:rsidP="00856101">
            <w:pPr>
              <w:spacing w:after="0" w:line="240" w:lineRule="auto"/>
              <w:rPr>
                <w:rFonts w:ascii="Cambria" w:eastAsia="Times New Roman" w:hAnsi="Cambria" w:cs="Calibri"/>
                <w:color w:val="auto"/>
                <w:sz w:val="18"/>
                <w:szCs w:val="18"/>
                <w:lang w:eastAsia="en-AU"/>
              </w:rPr>
            </w:pPr>
            <w:r w:rsidRPr="00A2599A">
              <w:rPr>
                <w:rFonts w:ascii="Cambria" w:eastAsia="Times New Roman" w:hAnsi="Cambria" w:cs="Calibri"/>
                <w:color w:val="auto"/>
                <w:sz w:val="18"/>
                <w:szCs w:val="18"/>
                <w:lang w:eastAsia="en-AU"/>
              </w:rPr>
              <w:t>The balances detailed above are rounded which may result in discrepancies between totals and the sum of components.</w:t>
            </w:r>
          </w:p>
        </w:tc>
        <w:tc>
          <w:tcPr>
            <w:tcW w:w="1507" w:type="dxa"/>
            <w:tcBorders>
              <w:top w:val="nil"/>
              <w:left w:val="nil"/>
              <w:bottom w:val="nil"/>
              <w:right w:val="nil"/>
            </w:tcBorders>
            <w:noWrap/>
            <w:vAlign w:val="bottom"/>
            <w:hideMark/>
          </w:tcPr>
          <w:p w14:paraId="0EEB8EAB" w14:textId="77777777" w:rsidR="00EE5F25" w:rsidRPr="00A2599A" w:rsidRDefault="00EE5F25" w:rsidP="00856101">
            <w:pPr>
              <w:spacing w:after="0" w:line="240" w:lineRule="auto"/>
              <w:rPr>
                <w:rFonts w:ascii="Cambria" w:eastAsia="Times New Roman" w:hAnsi="Cambria" w:cs="Calibri"/>
                <w:color w:val="auto"/>
                <w:sz w:val="18"/>
                <w:szCs w:val="18"/>
                <w:lang w:eastAsia="en-AU"/>
              </w:rPr>
            </w:pPr>
          </w:p>
        </w:tc>
        <w:tc>
          <w:tcPr>
            <w:tcW w:w="1294" w:type="dxa"/>
            <w:tcBorders>
              <w:top w:val="nil"/>
              <w:left w:val="nil"/>
              <w:bottom w:val="nil"/>
              <w:right w:val="nil"/>
            </w:tcBorders>
            <w:noWrap/>
            <w:vAlign w:val="bottom"/>
            <w:hideMark/>
          </w:tcPr>
          <w:p w14:paraId="7DCCE3C0" w14:textId="77777777" w:rsidR="00EE5F25" w:rsidRPr="00A2599A" w:rsidRDefault="00EE5F25" w:rsidP="00856101">
            <w:pPr>
              <w:spacing w:after="0" w:line="240" w:lineRule="auto"/>
              <w:rPr>
                <w:rFonts w:ascii="Times New Roman" w:eastAsia="Times New Roman" w:hAnsi="Times New Roman" w:cs="Times New Roman"/>
                <w:color w:val="auto"/>
                <w:sz w:val="20"/>
                <w:szCs w:val="20"/>
                <w:lang w:eastAsia="en-AU"/>
              </w:rPr>
            </w:pPr>
          </w:p>
        </w:tc>
      </w:tr>
    </w:tbl>
    <w:p w14:paraId="37EE8EE6" w14:textId="0E07D3A1" w:rsidR="00377CCF" w:rsidRDefault="00AB2CE3" w:rsidP="00EB0D85">
      <w:pPr>
        <w:pStyle w:val="Sectionnumber"/>
        <w:jc w:val="left"/>
        <w:rPr>
          <w:rFonts w:ascii="Arial" w:hAnsi="Arial" w:cs="Arial"/>
          <w:color w:val="15272F" w:themeColor="text1"/>
        </w:rPr>
      </w:pPr>
      <w:r w:rsidRPr="00A2599A">
        <w:rPr>
          <w:rFonts w:ascii="Calibri" w:eastAsia="Times New Roman" w:hAnsi="Calibri" w:cs="Calibri"/>
          <w:noProof/>
          <w:color w:val="000000"/>
          <w:lang w:eastAsia="en-AU"/>
        </w:rPr>
        <mc:AlternateContent>
          <mc:Choice Requires="wps">
            <w:drawing>
              <wp:anchor distT="0" distB="0" distL="114300" distR="114300" simplePos="0" relativeHeight="251699200" behindDoc="0" locked="0" layoutInCell="1" allowOverlap="1" wp14:anchorId="5D4E8D3F" wp14:editId="3C7A1091">
                <wp:simplePos x="0" y="0"/>
                <wp:positionH relativeFrom="margin">
                  <wp:posOffset>93980</wp:posOffset>
                </wp:positionH>
                <wp:positionV relativeFrom="paragraph">
                  <wp:posOffset>214630</wp:posOffset>
                </wp:positionV>
                <wp:extent cx="4716780" cy="560070"/>
                <wp:effectExtent l="0" t="0" r="26670" b="11430"/>
                <wp:wrapSquare wrapText="bothSides"/>
                <wp:docPr id="618320291" name="Text Box 65">
                  <a:extLst xmlns:a="http://schemas.openxmlformats.org/drawingml/2006/main">
                    <a:ext uri="{FF2B5EF4-FFF2-40B4-BE49-F238E27FC236}">
                      <a16:creationId xmlns:a16="http://schemas.microsoft.com/office/drawing/2014/main" id="{00000000-0008-0000-0D00-000002000000}"/>
                    </a:ext>
                  </a:extLst>
                </wp:docPr>
                <wp:cNvGraphicFramePr/>
                <a:graphic xmlns:a="http://schemas.openxmlformats.org/drawingml/2006/main">
                  <a:graphicData uri="http://schemas.microsoft.com/office/word/2010/wordprocessingShape">
                    <wps:wsp>
                      <wps:cNvSpPr txBox="1"/>
                      <wps:spPr>
                        <a:xfrm>
                          <a:off x="0" y="0"/>
                          <a:ext cx="4716780" cy="560070"/>
                        </a:xfrm>
                        <a:prstGeom prst="rect">
                          <a:avLst/>
                        </a:prstGeom>
                        <a:noFill/>
                        <a:ln w="12700" cap="flat" cmpd="sng" algn="ctr">
                          <a:solidFill>
                            <a:srgbClr val="009560"/>
                          </a:solidFill>
                          <a:prstDash val="solid"/>
                          <a:round/>
                          <a:headEnd type="none" w="med" len="med"/>
                          <a:tailEnd type="none" w="med" len="med"/>
                        </a:ln>
                        <a:effectLst/>
                      </wps:spPr>
                      <wps:txbx>
                        <w:txbxContent>
                          <w:p w14:paraId="481EEC08" w14:textId="77777777" w:rsidR="00AB2CE3" w:rsidRPr="00FB5935" w:rsidRDefault="00AB2CE3" w:rsidP="00AB2CE3">
                            <w:pPr>
                              <w:spacing w:after="0"/>
                              <w:textAlignment w:val="baseline"/>
                              <w:rPr>
                                <w:rFonts w:cs="Arial"/>
                                <w:b/>
                                <w:bCs/>
                                <w:sz w:val="18"/>
                                <w:szCs w:val="18"/>
                              </w:rPr>
                            </w:pPr>
                            <w:r w:rsidRPr="00FB5935">
                              <w:rPr>
                                <w:rFonts w:cs="Arial"/>
                                <w:b/>
                                <w:bCs/>
                                <w:sz w:val="18"/>
                                <w:szCs w:val="18"/>
                              </w:rPr>
                              <w:t>Summary of asset movements:</w:t>
                            </w:r>
                          </w:p>
                          <w:p w14:paraId="6551CBE4" w14:textId="77777777" w:rsidR="00AB2CE3" w:rsidRPr="00FB5935" w:rsidRDefault="00AB2CE3" w:rsidP="00AB2CE3">
                            <w:pPr>
                              <w:spacing w:after="0"/>
                              <w:textAlignment w:val="baseline"/>
                              <w:rPr>
                                <w:rFonts w:cs="Arial"/>
                                <w:sz w:val="18"/>
                                <w:szCs w:val="18"/>
                              </w:rPr>
                            </w:pPr>
                            <w:r w:rsidRPr="00FB5935">
                              <w:rPr>
                                <w:rFonts w:cs="Arial"/>
                                <w:sz w:val="18"/>
                                <w:szCs w:val="18"/>
                              </w:rPr>
                              <w:t>During the period, $0.121m of additional office fit-out costs were capitalised.</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5D4E8D3F" id="Text Box 65" o:spid="_x0000_s1037" type="#_x0000_t202" style="position:absolute;margin-left:7.4pt;margin-top:16.9pt;width:371.4pt;height:44.1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" filled="f" strokecolor="#009560" strokeweight="1pt">
                <v:stroke joinstyle="round"/>
                <v:textbox>
                  <w:txbxContent>
                    <w:p w14:paraId="481EEC08" w14:textId="77777777" w:rsidR="00AB2CE3" w:rsidRPr="00FB5935" w:rsidRDefault="00AB2CE3" w:rsidP="00AB2CE3">
                      <w:pPr>
                        <w:spacing w:after="0"/>
                        <w:textAlignment w:val="baseline"/>
                        <w:rPr>
                          <w:rFonts w:cs="Arial"/>
                          <w:b/>
                          <w:bCs/>
                          <w:sz w:val="18"/>
                          <w:szCs w:val="18"/>
                        </w:rPr>
                      </w:pPr>
                      <w:r w:rsidRPr="00FB5935">
                        <w:rPr>
                          <w:rFonts w:cs="Arial"/>
                          <w:b/>
                          <w:bCs/>
                          <w:sz w:val="18"/>
                          <w:szCs w:val="18"/>
                        </w:rPr>
                        <w:t>Summary of asset movements:</w:t>
                      </w:r>
                    </w:p>
                    <w:p w14:paraId="6551CBE4" w14:textId="77777777" w:rsidR="00AB2CE3" w:rsidRPr="00FB5935" w:rsidRDefault="00AB2CE3" w:rsidP="00AB2CE3">
                      <w:pPr>
                        <w:spacing w:after="0"/>
                        <w:textAlignment w:val="baseline"/>
                        <w:rPr>
                          <w:rFonts w:cs="Arial"/>
                          <w:sz w:val="18"/>
                          <w:szCs w:val="18"/>
                        </w:rPr>
                      </w:pPr>
                      <w:r w:rsidRPr="00FB5935">
                        <w:rPr>
                          <w:rFonts w:cs="Arial"/>
                          <w:sz w:val="18"/>
                          <w:szCs w:val="18"/>
                        </w:rPr>
                        <w:t>During the period, $0.121m of additional office fit-out costs were capitalised.</w:t>
                      </w:r>
                    </w:p>
                  </w:txbxContent>
                </v:textbox>
                <w10:wrap type="square" anchorx="margin"/>
              </v:shape>
            </w:pict>
          </mc:Fallback>
        </mc:AlternateContent>
      </w:r>
    </w:p>
    <w:p w14:paraId="5134C26E" w14:textId="28BD4FF1" w:rsidR="00EE5F25" w:rsidRDefault="00AB2CE3" w:rsidP="00EB0D85">
      <w:pPr>
        <w:pStyle w:val="Sectionnumber"/>
        <w:jc w:val="left"/>
        <w:rPr>
          <w:rFonts w:ascii="Arial" w:hAnsi="Arial" w:cs="Arial"/>
          <w:color w:val="15272F" w:themeColor="text1"/>
        </w:rPr>
      </w:pPr>
      <w:r>
        <w:rPr>
          <w:noProof/>
        </w:rPr>
        <w:lastRenderedPageBreak/>
        <mc:AlternateContent>
          <mc:Choice Requires="wps">
            <w:drawing>
              <wp:anchor distT="0" distB="0" distL="114300" distR="114300" simplePos="0" relativeHeight="251701248" behindDoc="0" locked="0" layoutInCell="1" allowOverlap="1" wp14:anchorId="01B0ABBE" wp14:editId="71B94DAB">
                <wp:simplePos x="0" y="0"/>
                <wp:positionH relativeFrom="margin">
                  <wp:posOffset>0</wp:posOffset>
                </wp:positionH>
                <wp:positionV relativeFrom="paragraph">
                  <wp:posOffset>0</wp:posOffset>
                </wp:positionV>
                <wp:extent cx="5995187" cy="8474529"/>
                <wp:effectExtent l="0" t="0" r="24765" b="22225"/>
                <wp:wrapNone/>
                <wp:docPr id="7" name="TextBox 6">
                  <a:extLst xmlns:a="http://schemas.openxmlformats.org/drawingml/2006/main">
                    <a:ext uri="{FF2B5EF4-FFF2-40B4-BE49-F238E27FC236}">
                      <a16:creationId xmlns:a16="http://schemas.microsoft.com/office/drawing/2014/main" id="{00000000-0008-0000-1100-000007000000}"/>
                    </a:ext>
                  </a:extLst>
                </wp:docPr>
                <wp:cNvGraphicFramePr/>
                <a:graphic xmlns:a="http://schemas.openxmlformats.org/drawingml/2006/main">
                  <a:graphicData uri="http://schemas.microsoft.com/office/word/2010/wordprocessingShape">
                    <wps:wsp>
                      <wps:cNvSpPr txBox="1"/>
                      <wps:spPr>
                        <a:xfrm>
                          <a:off x="0" y="0"/>
                          <a:ext cx="5995187" cy="8474529"/>
                        </a:xfrm>
                        <a:prstGeom prst="rect">
                          <a:avLst/>
                        </a:prstGeom>
                        <a:noFill/>
                        <a:ln w="12700" cap="flat" cmpd="sng" algn="ctr">
                          <a:solidFill>
                            <a:srgbClr val="009560"/>
                          </a:solidFill>
                          <a:prstDash val="solid"/>
                          <a:round/>
                          <a:headEnd type="none" w="med" len="med"/>
                          <a:tailEnd type="none" w="med" len="med"/>
                        </a:ln>
                        <a:effectLst/>
                      </wps:spPr>
                      <wps:txbx>
                        <w:txbxContent>
                          <w:p w14:paraId="117A8551" w14:textId="77777777" w:rsidR="00AB2CE3" w:rsidRPr="00F77C0B" w:rsidRDefault="00AB2CE3" w:rsidP="00AB2CE3">
                            <w:pPr>
                              <w:spacing w:after="0"/>
                              <w:rPr>
                                <w:rFonts w:cs="Arial"/>
                                <w:b/>
                                <w:bCs/>
                                <w:sz w:val="18"/>
                                <w:szCs w:val="18"/>
                              </w:rPr>
                            </w:pPr>
                            <w:r w:rsidRPr="00F77C0B">
                              <w:rPr>
                                <w:rFonts w:cs="Arial"/>
                                <w:b/>
                                <w:bCs/>
                                <w:sz w:val="18"/>
                                <w:szCs w:val="18"/>
                              </w:rPr>
                              <w:t>Accounting Policy</w:t>
                            </w:r>
                          </w:p>
                          <w:p w14:paraId="24592D73" w14:textId="77777777" w:rsidR="00AB2CE3" w:rsidRPr="00F77C0B" w:rsidRDefault="00AB2CE3" w:rsidP="00AB2CE3">
                            <w:pPr>
                              <w:spacing w:after="0"/>
                              <w:rPr>
                                <w:rFonts w:cs="Arial"/>
                                <w:b/>
                                <w:bCs/>
                                <w:sz w:val="18"/>
                                <w:szCs w:val="18"/>
                              </w:rPr>
                            </w:pPr>
                            <w:r w:rsidRPr="00F77C0B">
                              <w:rPr>
                                <w:rFonts w:cs="Arial"/>
                                <w:b/>
                                <w:bCs/>
                                <w:sz w:val="18"/>
                                <w:szCs w:val="18"/>
                              </w:rPr>
                              <w:t>Property, plant and equipment, and intangibles</w:t>
                            </w:r>
                          </w:p>
                          <w:p w14:paraId="0C315106" w14:textId="77777777" w:rsidR="00AB2CE3" w:rsidRPr="00F77C0B" w:rsidRDefault="00AB2CE3" w:rsidP="00AB2CE3">
                            <w:pPr>
                              <w:spacing w:after="0"/>
                              <w:rPr>
                                <w:rFonts w:cs="Arial"/>
                                <w:sz w:val="18"/>
                                <w:szCs w:val="18"/>
                              </w:rPr>
                            </w:pPr>
                            <w:r w:rsidRPr="00F77C0B">
                              <w:rPr>
                                <w:rFonts w:cs="Arial"/>
                                <w:sz w:val="18"/>
                                <w:szCs w:val="18"/>
                              </w:rPr>
                              <w:t xml:space="preserve">Assets are recorded at cost on acquisition except as stated below. The cost on acquisition includes the fair value of assets transferred in exchange and liabilities undertaken. Financial assets are initially measured at their fair value plus transaction costs where appropriate. </w:t>
                            </w:r>
                          </w:p>
                          <w:p w14:paraId="5AFE0827" w14:textId="77777777" w:rsidR="00AB2CE3" w:rsidRDefault="00AB2CE3" w:rsidP="00AB2CE3">
                            <w:pPr>
                              <w:rPr>
                                <w:rFonts w:cs="Arial"/>
                                <w:sz w:val="18"/>
                                <w:szCs w:val="18"/>
                              </w:rPr>
                            </w:pPr>
                          </w:p>
                          <w:p w14:paraId="5E8BAA1D" w14:textId="77777777" w:rsidR="00AB2CE3" w:rsidRPr="00F77C0B" w:rsidRDefault="00AB2CE3" w:rsidP="00AB2CE3">
                            <w:pPr>
                              <w:rPr>
                                <w:rFonts w:cs="Arial"/>
                                <w:sz w:val="18"/>
                                <w:szCs w:val="18"/>
                              </w:rPr>
                            </w:pPr>
                            <w:r w:rsidRPr="00F77C0B">
                              <w:rPr>
                                <w:rFonts w:cs="Arial"/>
                                <w:sz w:val="18"/>
                                <w:szCs w:val="18"/>
                              </w:rPr>
                              <w:t xml:space="preserve">Assets acquired at no cost, or for nominal consideration, are initially recognised as assets and income at their fair value at the date of acquisition, unless acquired as a consequence of restructuring of administrative arrangements.  In the latter case, assets are initially recognised as contributions by owners at the amounts at which they were recognised in the transferor’s accounts immediately prior to the restructuring.  </w:t>
                            </w:r>
                          </w:p>
                          <w:p w14:paraId="2F0A1498" w14:textId="77777777" w:rsidR="00AB2CE3" w:rsidRPr="00F77C0B" w:rsidRDefault="00AB2CE3" w:rsidP="00AB2CE3">
                            <w:pPr>
                              <w:spacing w:after="0"/>
                              <w:rPr>
                                <w:rFonts w:cs="Arial"/>
                                <w:b/>
                                <w:bCs/>
                                <w:sz w:val="18"/>
                                <w:szCs w:val="18"/>
                              </w:rPr>
                            </w:pPr>
                            <w:r w:rsidRPr="00F77C0B">
                              <w:rPr>
                                <w:rFonts w:cs="Arial"/>
                                <w:b/>
                                <w:bCs/>
                                <w:sz w:val="18"/>
                                <w:szCs w:val="18"/>
                              </w:rPr>
                              <w:t>Asset recognition threshold</w:t>
                            </w:r>
                          </w:p>
                          <w:p w14:paraId="30C4E0F0" w14:textId="77777777" w:rsidR="00AB2CE3" w:rsidRPr="00F77C0B" w:rsidRDefault="00AB2CE3" w:rsidP="00AB2CE3">
                            <w:pPr>
                              <w:spacing w:after="0"/>
                              <w:rPr>
                                <w:rFonts w:cs="Arial"/>
                                <w:sz w:val="18"/>
                                <w:szCs w:val="18"/>
                              </w:rPr>
                            </w:pPr>
                            <w:r w:rsidRPr="00F77C0B">
                              <w:rPr>
                                <w:rFonts w:cs="Arial"/>
                                <w:sz w:val="18"/>
                                <w:szCs w:val="18"/>
                              </w:rPr>
                              <w:t>Purchases of property, plant and equipment are recognised initially at cost in the statement of financial position, except for purchases costing less than $10,000 (2025: $10,000), which are expensed in the year of acquisition (other than where they form part of a group of similar items which are significant in total).</w:t>
                            </w:r>
                          </w:p>
                          <w:p w14:paraId="0BF6293D" w14:textId="77777777" w:rsidR="00AB2CE3" w:rsidRDefault="00AB2CE3" w:rsidP="00AB2CE3">
                            <w:pPr>
                              <w:rPr>
                                <w:rFonts w:cs="Arial"/>
                                <w:b/>
                                <w:bCs/>
                                <w:sz w:val="18"/>
                                <w:szCs w:val="18"/>
                              </w:rPr>
                            </w:pPr>
                          </w:p>
                          <w:p w14:paraId="7D98B8A9" w14:textId="77777777" w:rsidR="00AB2CE3" w:rsidRPr="00F77C0B" w:rsidRDefault="00AB2CE3" w:rsidP="00AB2CE3">
                            <w:pPr>
                              <w:spacing w:after="0"/>
                              <w:rPr>
                                <w:rFonts w:cs="Arial"/>
                                <w:b/>
                                <w:bCs/>
                                <w:sz w:val="18"/>
                                <w:szCs w:val="18"/>
                              </w:rPr>
                            </w:pPr>
                            <w:r w:rsidRPr="00F77C0B">
                              <w:rPr>
                                <w:rFonts w:cs="Arial"/>
                                <w:b/>
                                <w:bCs/>
                                <w:sz w:val="18"/>
                                <w:szCs w:val="18"/>
                              </w:rPr>
                              <w:t>Lease right-of-use (ROU) assets</w:t>
                            </w:r>
                          </w:p>
                          <w:p w14:paraId="66F131BD" w14:textId="77777777" w:rsidR="00AB2CE3" w:rsidRPr="00F77C0B" w:rsidRDefault="00AB2CE3" w:rsidP="00AB2CE3">
                            <w:pPr>
                              <w:spacing w:after="0"/>
                              <w:rPr>
                                <w:rFonts w:cs="Arial"/>
                                <w:sz w:val="18"/>
                                <w:szCs w:val="18"/>
                              </w:rPr>
                            </w:pPr>
                            <w:r w:rsidRPr="00F77C0B">
                              <w:rPr>
                                <w:rFonts w:cs="Arial"/>
                                <w:sz w:val="18"/>
                                <w:szCs w:val="18"/>
                              </w:rPr>
                              <w:t xml:space="preserve">Leased ROU assets are capitalised at the commencement date of the lease and comprise of the initial lease liability amount, initial direct costs incurred when entering into the lease less any lease incentives received. These assets are accounted for by Commonwealth lessees as separate asset classes to corresponding assets owned outright, but included in the same column as where the corresponding underlying assets would be presented if they were owned. Lease ROU assets continue to be measured at cost after initial recognition. </w:t>
                            </w:r>
                            <w:r w:rsidRPr="00F77C0B">
                              <w:rPr>
                                <w:rFonts w:cs="Arial"/>
                              </w:rPr>
                              <w:tab/>
                            </w:r>
                          </w:p>
                          <w:p w14:paraId="4E0E13B9" w14:textId="77777777" w:rsidR="00AB2CE3" w:rsidRDefault="00AB2CE3" w:rsidP="00AB2CE3">
                            <w:pPr>
                              <w:rPr>
                                <w:rFonts w:cs="Arial"/>
                                <w:b/>
                                <w:bCs/>
                                <w:sz w:val="18"/>
                                <w:szCs w:val="18"/>
                              </w:rPr>
                            </w:pPr>
                          </w:p>
                          <w:p w14:paraId="0D1787E9" w14:textId="77777777" w:rsidR="00AB2CE3" w:rsidRPr="00F77C0B" w:rsidRDefault="00AB2CE3" w:rsidP="00AB2CE3">
                            <w:pPr>
                              <w:spacing w:after="0"/>
                              <w:rPr>
                                <w:rFonts w:cs="Arial"/>
                                <w:b/>
                                <w:bCs/>
                                <w:sz w:val="18"/>
                                <w:szCs w:val="18"/>
                              </w:rPr>
                            </w:pPr>
                            <w:r w:rsidRPr="00F77C0B">
                              <w:rPr>
                                <w:rFonts w:cs="Arial"/>
                                <w:b/>
                                <w:bCs/>
                                <w:sz w:val="18"/>
                                <w:szCs w:val="18"/>
                              </w:rPr>
                              <w:t>Revaluations</w:t>
                            </w:r>
                          </w:p>
                          <w:p w14:paraId="5AC5B81B" w14:textId="77777777" w:rsidR="00AB2CE3" w:rsidRPr="00F77C0B" w:rsidRDefault="00AB2CE3" w:rsidP="00AB2CE3">
                            <w:pPr>
                              <w:spacing w:after="0"/>
                              <w:rPr>
                                <w:rFonts w:cs="Arial"/>
                                <w:sz w:val="18"/>
                                <w:szCs w:val="18"/>
                              </w:rPr>
                            </w:pPr>
                            <w:r w:rsidRPr="00F77C0B">
                              <w:rPr>
                                <w:rFonts w:cs="Arial"/>
                                <w:sz w:val="18"/>
                                <w:szCs w:val="18"/>
                              </w:rPr>
                              <w:t xml:space="preserve">Following initial recognition at cost, property, plant and equipment (excluding ROU assets) are carried at fair value less subsequent accumulated depreciation and accumulated impairment losses. Valuations are conducted with sufficient frequency to ensure that the carrying amounts of assets did not differ materially from the assets’ fair values as at the reporting date.  The regularity of independent valuations depended upon the volatility of movements in market values for the relevant assets. </w:t>
                            </w:r>
                          </w:p>
                          <w:p w14:paraId="6E34C211" w14:textId="77777777" w:rsidR="00AB2CE3" w:rsidRDefault="00AB2CE3" w:rsidP="00AB2CE3">
                            <w:pPr>
                              <w:rPr>
                                <w:rFonts w:cs="Arial"/>
                                <w:sz w:val="18"/>
                                <w:szCs w:val="18"/>
                              </w:rPr>
                            </w:pPr>
                          </w:p>
                          <w:p w14:paraId="7905F358" w14:textId="77777777" w:rsidR="00AB2CE3" w:rsidRPr="00F77C0B" w:rsidRDefault="00AB2CE3" w:rsidP="00AB2CE3">
                            <w:pPr>
                              <w:rPr>
                                <w:rFonts w:cs="Arial"/>
                                <w:sz w:val="18"/>
                                <w:szCs w:val="18"/>
                              </w:rPr>
                            </w:pPr>
                            <w:r w:rsidRPr="00F77C0B">
                              <w:rPr>
                                <w:rFonts w:cs="Arial"/>
                                <w:sz w:val="18"/>
                                <w:szCs w:val="18"/>
                              </w:rPr>
                              <w:t xml:space="preserve">Revaluation adjustments are made on a class basis. Any revaluation increment is credited to equity under the heading of asset revaluation reserve except to the extent that it reversed a previous revaluation decrement of the same asset class that was previously recognised in the surplus/deficit.  Revaluation decrements for a class of assets are recognised directly in the surplus/deficit except to the extent that they reversed a previous revaluation increment for that class. </w:t>
                            </w:r>
                          </w:p>
                          <w:p w14:paraId="745569D5" w14:textId="77777777" w:rsidR="00AB2CE3" w:rsidRPr="00F77C0B" w:rsidRDefault="00AB2CE3" w:rsidP="00AB2CE3">
                            <w:pPr>
                              <w:rPr>
                                <w:rFonts w:cs="Arial"/>
                                <w:sz w:val="18"/>
                                <w:szCs w:val="18"/>
                              </w:rPr>
                            </w:pPr>
                            <w:r w:rsidRPr="00F77C0B">
                              <w:rPr>
                                <w:rFonts w:cs="Arial"/>
                                <w:sz w:val="18"/>
                                <w:szCs w:val="18"/>
                              </w:rPr>
                              <w:t>Any accumulated depreciation as at the revaluation date is eliminated against the gross carrying amount of the asset and the asset restated to the revalued amount.</w:t>
                            </w:r>
                          </w:p>
                          <w:p w14:paraId="0BC9FBC1" w14:textId="77777777" w:rsidR="00AB2CE3" w:rsidRPr="00F77C0B" w:rsidRDefault="00AB2CE3" w:rsidP="00AB2CE3">
                            <w:pPr>
                              <w:spacing w:after="0"/>
                              <w:rPr>
                                <w:rFonts w:cs="Arial"/>
                                <w:b/>
                                <w:bCs/>
                                <w:sz w:val="18"/>
                                <w:szCs w:val="18"/>
                              </w:rPr>
                            </w:pPr>
                            <w:r w:rsidRPr="00F77C0B">
                              <w:rPr>
                                <w:rFonts w:cs="Arial"/>
                                <w:b/>
                                <w:bCs/>
                                <w:sz w:val="18"/>
                                <w:szCs w:val="18"/>
                              </w:rPr>
                              <w:t>Depreciation</w:t>
                            </w:r>
                          </w:p>
                          <w:p w14:paraId="5ECBD9D4" w14:textId="77777777" w:rsidR="00AB2CE3" w:rsidRPr="00F77C0B" w:rsidRDefault="00AB2CE3" w:rsidP="00AB2CE3">
                            <w:pPr>
                              <w:spacing w:after="0"/>
                              <w:rPr>
                                <w:rFonts w:cs="Arial"/>
                                <w:sz w:val="18"/>
                                <w:szCs w:val="18"/>
                              </w:rPr>
                            </w:pPr>
                            <w:r w:rsidRPr="00F77C0B">
                              <w:rPr>
                                <w:rFonts w:cs="Arial"/>
                                <w:sz w:val="18"/>
                                <w:szCs w:val="18"/>
                              </w:rPr>
                              <w:t>Depreciable property, plant and equipment assets are written-off to their estimated residual values over their estimated useful lives to the entity using, in all cases, the straight-line method of depreciation. Depreciation rates (useful lives), residual values and methods are reviewed at each reporting date and necessary adjustments are recognised in the current, or current and future reporting periods, as appropriate.</w:t>
                            </w:r>
                          </w:p>
                          <w:p w14:paraId="4D707521" w14:textId="77777777" w:rsidR="00AB2CE3" w:rsidRPr="00F77C0B" w:rsidRDefault="00AB2CE3" w:rsidP="00AB2CE3">
                            <w:pPr>
                              <w:rPr>
                                <w:rFonts w:cs="Arial"/>
                                <w:sz w:val="18"/>
                                <w:szCs w:val="18"/>
                              </w:rPr>
                            </w:pPr>
                            <w:r w:rsidRPr="00F77C0B">
                              <w:rPr>
                                <w:rFonts w:cs="Arial"/>
                                <w:sz w:val="18"/>
                                <w:szCs w:val="18"/>
                              </w:rPr>
                              <w:t>Depreciation rates applying to each class of depreciable asset are based on the following useful lives:</w:t>
                            </w:r>
                          </w:p>
                          <w:p w14:paraId="6E4A4808" w14:textId="77777777" w:rsidR="00AB2CE3" w:rsidRPr="00F77C0B" w:rsidRDefault="00AB2CE3" w:rsidP="00AB2CE3">
                            <w:pPr>
                              <w:textAlignment w:val="baseline"/>
                              <w:rPr>
                                <w:rFonts w:cs="Arial"/>
                                <w:sz w:val="18"/>
                                <w:szCs w:val="18"/>
                              </w:rPr>
                            </w:pPr>
                            <w:r w:rsidRPr="00F77C0B">
                              <w:rPr>
                                <w:rFonts w:cs="Arial"/>
                                <w:sz w:val="18"/>
                                <w:szCs w:val="18"/>
                              </w:rPr>
                              <w:t xml:space="preserve">        </w:t>
                            </w:r>
                            <w:r w:rsidRPr="00F77C0B">
                              <w:rPr>
                                <w:rFonts w:cs="Arial"/>
                                <w:sz w:val="18"/>
                                <w:szCs w:val="18"/>
                              </w:rPr>
                              <w:tab/>
                            </w:r>
                            <w:r w:rsidRPr="00F77C0B">
                              <w:rPr>
                                <w:rFonts w:cs="Arial"/>
                                <w:sz w:val="18"/>
                                <w:szCs w:val="18"/>
                              </w:rPr>
                              <w:tab/>
                              <w:t xml:space="preserve">      </w:t>
                            </w:r>
                            <w:r w:rsidRPr="00F77C0B">
                              <w:rPr>
                                <w:rFonts w:cs="Arial"/>
                                <w:sz w:val="18"/>
                                <w:szCs w:val="18"/>
                              </w:rPr>
                              <w:tab/>
                            </w:r>
                            <w:r w:rsidRPr="00F77C0B">
                              <w:rPr>
                                <w:rFonts w:cs="Arial"/>
                                <w:sz w:val="18"/>
                                <w:szCs w:val="18"/>
                              </w:rPr>
                              <w:tab/>
                            </w:r>
                            <w:r w:rsidRPr="00F77C0B">
                              <w:rPr>
                                <w:rFonts w:cs="Arial"/>
                                <w:sz w:val="18"/>
                                <w:szCs w:val="18"/>
                              </w:rPr>
                              <w:tab/>
                              <w:t>2026</w:t>
                            </w:r>
                            <w:r w:rsidRPr="00F77C0B">
                              <w:rPr>
                                <w:rFonts w:cs="Arial"/>
                                <w:sz w:val="18"/>
                                <w:szCs w:val="18"/>
                              </w:rPr>
                              <w:tab/>
                              <w:t xml:space="preserve">     </w:t>
                            </w:r>
                            <w:r w:rsidRPr="00F77C0B">
                              <w:rPr>
                                <w:rFonts w:cs="Arial"/>
                                <w:sz w:val="18"/>
                                <w:szCs w:val="18"/>
                              </w:rPr>
                              <w:tab/>
                              <w:t>2025</w:t>
                            </w:r>
                          </w:p>
                          <w:p w14:paraId="32BA3AF7" w14:textId="77777777" w:rsidR="00AB2CE3" w:rsidRPr="00F77C0B" w:rsidRDefault="00AB2CE3" w:rsidP="00AB2CE3">
                            <w:pPr>
                              <w:textAlignment w:val="baseline"/>
                              <w:rPr>
                                <w:rFonts w:cs="Arial"/>
                                <w:sz w:val="18"/>
                                <w:szCs w:val="18"/>
                              </w:rPr>
                            </w:pPr>
                            <w:r w:rsidRPr="00F77C0B">
                              <w:rPr>
                                <w:rFonts w:cs="Arial"/>
                                <w:sz w:val="18"/>
                                <w:szCs w:val="18"/>
                              </w:rPr>
                              <w:t xml:space="preserve">        Leasehold improvements</w:t>
                            </w:r>
                            <w:r w:rsidRPr="00F77C0B">
                              <w:rPr>
                                <w:rFonts w:cs="Arial"/>
                                <w:sz w:val="18"/>
                                <w:szCs w:val="18"/>
                              </w:rPr>
                              <w:tab/>
                            </w:r>
                            <w:r w:rsidRPr="00F77C0B">
                              <w:rPr>
                                <w:rFonts w:cs="Arial"/>
                                <w:sz w:val="18"/>
                                <w:szCs w:val="18"/>
                              </w:rPr>
                              <w:tab/>
                              <w:t>Lease terms</w:t>
                            </w:r>
                            <w:r w:rsidRPr="00F77C0B">
                              <w:rPr>
                                <w:rFonts w:cs="Arial"/>
                                <w:sz w:val="18"/>
                                <w:szCs w:val="18"/>
                              </w:rPr>
                              <w:tab/>
                              <w:t>Lease terms</w:t>
                            </w:r>
                            <w:r w:rsidRPr="00F77C0B">
                              <w:rPr>
                                <w:rFonts w:cs="Arial"/>
                                <w:sz w:val="18"/>
                                <w:szCs w:val="18"/>
                              </w:rPr>
                              <w:tab/>
                            </w:r>
                          </w:p>
                          <w:p w14:paraId="2D74EA7A" w14:textId="77777777" w:rsidR="00AB2CE3" w:rsidRPr="00F77C0B" w:rsidRDefault="00AB2CE3" w:rsidP="00AB2CE3">
                            <w:pPr>
                              <w:textAlignment w:val="baseline"/>
                              <w:rPr>
                                <w:rFonts w:cs="Arial"/>
                                <w:sz w:val="18"/>
                                <w:szCs w:val="18"/>
                              </w:rPr>
                            </w:pPr>
                            <w:r w:rsidRPr="00F77C0B">
                              <w:rPr>
                                <w:rFonts w:cs="Arial"/>
                                <w:sz w:val="18"/>
                                <w:szCs w:val="18"/>
                              </w:rPr>
                              <w:t xml:space="preserve">        Plant and equipment</w:t>
                            </w:r>
                            <w:r w:rsidRPr="00F77C0B">
                              <w:rPr>
                                <w:rFonts w:cs="Arial"/>
                                <w:sz w:val="18"/>
                                <w:szCs w:val="18"/>
                              </w:rPr>
                              <w:tab/>
                              <w:t xml:space="preserve"> </w:t>
                            </w:r>
                            <w:r w:rsidRPr="00F77C0B">
                              <w:rPr>
                                <w:rFonts w:cs="Arial"/>
                                <w:sz w:val="18"/>
                                <w:szCs w:val="18"/>
                              </w:rPr>
                              <w:tab/>
                            </w:r>
                            <w:r w:rsidRPr="00F77C0B">
                              <w:rPr>
                                <w:rFonts w:cs="Arial"/>
                                <w:sz w:val="18"/>
                                <w:szCs w:val="18"/>
                              </w:rPr>
                              <w:tab/>
                              <w:t>3 to 6 years</w:t>
                            </w:r>
                            <w:r w:rsidRPr="00F77C0B">
                              <w:rPr>
                                <w:rFonts w:cs="Arial"/>
                                <w:sz w:val="18"/>
                                <w:szCs w:val="18"/>
                              </w:rPr>
                              <w:tab/>
                              <w:t>3 to 6 years</w:t>
                            </w:r>
                            <w:r w:rsidRPr="00F77C0B">
                              <w:rPr>
                                <w:rFonts w:cs="Arial"/>
                              </w:rPr>
                              <w:tab/>
                            </w:r>
                          </w:p>
                          <w:p w14:paraId="79540E80" w14:textId="77777777" w:rsidR="00AB2CE3" w:rsidRDefault="00AB2CE3" w:rsidP="00AB2CE3">
                            <w:pPr>
                              <w:rPr>
                                <w:rFonts w:asciiTheme="minorHAnsi" w:hAnsi="Fira Sans regular"/>
                                <w:color w:val="15272F" w:themeColor="dark1"/>
                                <w:sz w:val="18"/>
                                <w:szCs w:val="18"/>
                              </w:rPr>
                            </w:pPr>
                            <w:r>
                              <w:rPr>
                                <w:rFonts w:asciiTheme="minorHAnsi" w:hAnsi="Fira Sans regular"/>
                                <w:color w:val="15272F" w:themeColor="dark1"/>
                                <w:sz w:val="18"/>
                                <w:szCs w:val="18"/>
                              </w:rPr>
                              <w:t> </w:t>
                            </w:r>
                          </w:p>
                        </w:txbxContent>
                      </wps:txbx>
                      <wps:bodyPr vertOverflow="clip" horzOverflow="clip" wrap="square" rtlCol="0" anchor="t">
                        <a:noAutofit/>
                      </wps:bodyPr>
                    </wps:wsp>
                  </a:graphicData>
                </a:graphic>
                <wp14:sizeRelV relativeFrom="margin">
                  <wp14:pctHeight>0</wp14:pctHeight>
                </wp14:sizeRelV>
              </wp:anchor>
            </w:drawing>
          </mc:Choice>
          <mc:Fallback>
            <w:pict>
              <v:shape w14:anchorId="01B0ABBE" id="TextBox 6" o:spid="_x0000_s1038" type="#_x0000_t202" style="position:absolute;margin-left:0;margin-top:0;width:472.05pt;height:667.3pt;z-index:2517012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" filled="f" strokecolor="#009560" strokeweight="1pt">
                <v:stroke joinstyle="round"/>
                <v:textbox>
                  <w:txbxContent>
                    <w:p w14:paraId="117A8551" w14:textId="77777777" w:rsidR="00AB2CE3" w:rsidRPr="00F77C0B" w:rsidRDefault="00AB2CE3" w:rsidP="00AB2CE3">
                      <w:pPr>
                        <w:spacing w:after="0"/>
                        <w:rPr>
                          <w:rFonts w:cs="Arial"/>
                          <w:b/>
                          <w:bCs/>
                          <w:sz w:val="18"/>
                          <w:szCs w:val="18"/>
                        </w:rPr>
                      </w:pPr>
                      <w:r w:rsidRPr="00F77C0B">
                        <w:rPr>
                          <w:rFonts w:cs="Arial"/>
                          <w:b/>
                          <w:bCs/>
                          <w:sz w:val="18"/>
                          <w:szCs w:val="18"/>
                        </w:rPr>
                        <w:t>Accounting Policy</w:t>
                      </w:r>
                    </w:p>
                    <w:p w14:paraId="24592D73" w14:textId="77777777" w:rsidR="00AB2CE3" w:rsidRPr="00F77C0B" w:rsidRDefault="00AB2CE3" w:rsidP="00AB2CE3">
                      <w:pPr>
                        <w:spacing w:after="0"/>
                        <w:rPr>
                          <w:rFonts w:cs="Arial"/>
                          <w:b/>
                          <w:bCs/>
                          <w:sz w:val="18"/>
                          <w:szCs w:val="18"/>
                        </w:rPr>
                      </w:pPr>
                      <w:r w:rsidRPr="00F77C0B">
                        <w:rPr>
                          <w:rFonts w:cs="Arial"/>
                          <w:b/>
                          <w:bCs/>
                          <w:sz w:val="18"/>
                          <w:szCs w:val="18"/>
                        </w:rPr>
                        <w:t>Property, plant and equipment, and intangibles</w:t>
                      </w:r>
                    </w:p>
                    <w:p w14:paraId="0C315106" w14:textId="77777777" w:rsidR="00AB2CE3" w:rsidRPr="00F77C0B" w:rsidRDefault="00AB2CE3" w:rsidP="00AB2CE3">
                      <w:pPr>
                        <w:spacing w:after="0"/>
                        <w:rPr>
                          <w:rFonts w:cs="Arial"/>
                          <w:sz w:val="18"/>
                          <w:szCs w:val="18"/>
                        </w:rPr>
                      </w:pPr>
                      <w:r w:rsidRPr="00F77C0B">
                        <w:rPr>
                          <w:rFonts w:cs="Arial"/>
                          <w:sz w:val="18"/>
                          <w:szCs w:val="18"/>
                        </w:rPr>
                        <w:t xml:space="preserve">Assets are recorded at cost on acquisition except as stated below. The cost on acquisition includes the fair value of assets transferred in exchange and liabilities undertaken. Financial assets are initially measured at their fair value plus transaction costs where appropriate. </w:t>
                      </w:r>
                    </w:p>
                    <w:p w14:paraId="5AFE0827" w14:textId="77777777" w:rsidR="00AB2CE3" w:rsidRDefault="00AB2CE3" w:rsidP="00AB2CE3">
                      <w:pPr>
                        <w:rPr>
                          <w:rFonts w:cs="Arial"/>
                          <w:sz w:val="18"/>
                          <w:szCs w:val="18"/>
                        </w:rPr>
                      </w:pPr>
                    </w:p>
                    <w:p w14:paraId="5E8BAA1D" w14:textId="77777777" w:rsidR="00AB2CE3" w:rsidRPr="00F77C0B" w:rsidRDefault="00AB2CE3" w:rsidP="00AB2CE3">
                      <w:pPr>
                        <w:rPr>
                          <w:rFonts w:cs="Arial"/>
                          <w:sz w:val="18"/>
                          <w:szCs w:val="18"/>
                        </w:rPr>
                      </w:pPr>
                      <w:r w:rsidRPr="00F77C0B">
                        <w:rPr>
                          <w:rFonts w:cs="Arial"/>
                          <w:sz w:val="18"/>
                          <w:szCs w:val="18"/>
                        </w:rPr>
                        <w:t xml:space="preserve">Assets acquired at no cost, or for nominal consideration, are initially recognised as assets and income at their fair value at the date of acquisition, unless acquired as a consequence of restructuring of administrative arrangements.  In the latter case, assets are initially recognised as contributions by owners at the amounts at which they were recognised in the transferor’s accounts immediately prior to the restructuring.  </w:t>
                      </w:r>
                    </w:p>
                    <w:p w14:paraId="2F0A1498" w14:textId="77777777" w:rsidR="00AB2CE3" w:rsidRPr="00F77C0B" w:rsidRDefault="00AB2CE3" w:rsidP="00AB2CE3">
                      <w:pPr>
                        <w:spacing w:after="0"/>
                        <w:rPr>
                          <w:rFonts w:cs="Arial"/>
                          <w:b/>
                          <w:bCs/>
                          <w:sz w:val="18"/>
                          <w:szCs w:val="18"/>
                        </w:rPr>
                      </w:pPr>
                      <w:r w:rsidRPr="00F77C0B">
                        <w:rPr>
                          <w:rFonts w:cs="Arial"/>
                          <w:b/>
                          <w:bCs/>
                          <w:sz w:val="18"/>
                          <w:szCs w:val="18"/>
                        </w:rPr>
                        <w:t>Asset recognition threshold</w:t>
                      </w:r>
                    </w:p>
                    <w:p w14:paraId="30C4E0F0" w14:textId="77777777" w:rsidR="00AB2CE3" w:rsidRPr="00F77C0B" w:rsidRDefault="00AB2CE3" w:rsidP="00AB2CE3">
                      <w:pPr>
                        <w:spacing w:after="0"/>
                        <w:rPr>
                          <w:rFonts w:cs="Arial"/>
                          <w:sz w:val="18"/>
                          <w:szCs w:val="18"/>
                        </w:rPr>
                      </w:pPr>
                      <w:r w:rsidRPr="00F77C0B">
                        <w:rPr>
                          <w:rFonts w:cs="Arial"/>
                          <w:sz w:val="18"/>
                          <w:szCs w:val="18"/>
                        </w:rPr>
                        <w:t>Purchases of property, plant and equipment are recognised initially at cost in the statement of financial position, except for purchases costing less than $10,000 (2025: $10,000), which are expensed in the year of acquisition (other than where they form part of a group of similar items which are significant in total).</w:t>
                      </w:r>
                    </w:p>
                    <w:p w14:paraId="0BF6293D" w14:textId="77777777" w:rsidR="00AB2CE3" w:rsidRDefault="00AB2CE3" w:rsidP="00AB2CE3">
                      <w:pPr>
                        <w:rPr>
                          <w:rFonts w:cs="Arial"/>
                          <w:b/>
                          <w:bCs/>
                          <w:sz w:val="18"/>
                          <w:szCs w:val="18"/>
                        </w:rPr>
                      </w:pPr>
                    </w:p>
                    <w:p w14:paraId="7D98B8A9" w14:textId="77777777" w:rsidR="00AB2CE3" w:rsidRPr="00F77C0B" w:rsidRDefault="00AB2CE3" w:rsidP="00AB2CE3">
                      <w:pPr>
                        <w:spacing w:after="0"/>
                        <w:rPr>
                          <w:rFonts w:cs="Arial"/>
                          <w:b/>
                          <w:bCs/>
                          <w:sz w:val="18"/>
                          <w:szCs w:val="18"/>
                        </w:rPr>
                      </w:pPr>
                      <w:r w:rsidRPr="00F77C0B">
                        <w:rPr>
                          <w:rFonts w:cs="Arial"/>
                          <w:b/>
                          <w:bCs/>
                          <w:sz w:val="18"/>
                          <w:szCs w:val="18"/>
                        </w:rPr>
                        <w:t>Lease right-of-use (ROU) assets</w:t>
                      </w:r>
                    </w:p>
                    <w:p w14:paraId="66F131BD" w14:textId="77777777" w:rsidR="00AB2CE3" w:rsidRPr="00F77C0B" w:rsidRDefault="00AB2CE3" w:rsidP="00AB2CE3">
                      <w:pPr>
                        <w:spacing w:after="0"/>
                        <w:rPr>
                          <w:rFonts w:cs="Arial"/>
                          <w:sz w:val="18"/>
                          <w:szCs w:val="18"/>
                        </w:rPr>
                      </w:pPr>
                      <w:r w:rsidRPr="00F77C0B">
                        <w:rPr>
                          <w:rFonts w:cs="Arial"/>
                          <w:sz w:val="18"/>
                          <w:szCs w:val="18"/>
                        </w:rPr>
                        <w:t xml:space="preserve">Leased ROU assets are capitalised at the commencement date of the lease and comprise of the initial lease liability amount, initial direct costs incurred when entering into the lease less any lease incentives received. These assets are accounted for by Commonwealth lessees as separate asset classes to corresponding assets owned outright, but included in the same column as where the corresponding underlying assets would be presented if they were owned. Lease ROU assets continue to be measured at cost after initial recognition. </w:t>
                      </w:r>
                      <w:r w:rsidRPr="00F77C0B">
                        <w:rPr>
                          <w:rFonts w:cs="Arial"/>
                        </w:rPr>
                        <w:tab/>
                      </w:r>
                    </w:p>
                    <w:p w14:paraId="4E0E13B9" w14:textId="77777777" w:rsidR="00AB2CE3" w:rsidRDefault="00AB2CE3" w:rsidP="00AB2CE3">
                      <w:pPr>
                        <w:rPr>
                          <w:rFonts w:cs="Arial"/>
                          <w:b/>
                          <w:bCs/>
                          <w:sz w:val="18"/>
                          <w:szCs w:val="18"/>
                        </w:rPr>
                      </w:pPr>
                    </w:p>
                    <w:p w14:paraId="0D1787E9" w14:textId="77777777" w:rsidR="00AB2CE3" w:rsidRPr="00F77C0B" w:rsidRDefault="00AB2CE3" w:rsidP="00AB2CE3">
                      <w:pPr>
                        <w:spacing w:after="0"/>
                        <w:rPr>
                          <w:rFonts w:cs="Arial"/>
                          <w:b/>
                          <w:bCs/>
                          <w:sz w:val="18"/>
                          <w:szCs w:val="18"/>
                        </w:rPr>
                      </w:pPr>
                      <w:r w:rsidRPr="00F77C0B">
                        <w:rPr>
                          <w:rFonts w:cs="Arial"/>
                          <w:b/>
                          <w:bCs/>
                          <w:sz w:val="18"/>
                          <w:szCs w:val="18"/>
                        </w:rPr>
                        <w:t>Revaluations</w:t>
                      </w:r>
                    </w:p>
                    <w:p w14:paraId="5AC5B81B" w14:textId="77777777" w:rsidR="00AB2CE3" w:rsidRPr="00F77C0B" w:rsidRDefault="00AB2CE3" w:rsidP="00AB2CE3">
                      <w:pPr>
                        <w:spacing w:after="0"/>
                        <w:rPr>
                          <w:rFonts w:cs="Arial"/>
                          <w:sz w:val="18"/>
                          <w:szCs w:val="18"/>
                        </w:rPr>
                      </w:pPr>
                      <w:r w:rsidRPr="00F77C0B">
                        <w:rPr>
                          <w:rFonts w:cs="Arial"/>
                          <w:sz w:val="18"/>
                          <w:szCs w:val="18"/>
                        </w:rPr>
                        <w:t xml:space="preserve">Following initial recognition at cost, property, plant and equipment (excluding ROU assets) are carried at fair value less subsequent accumulated depreciation and accumulated impairment losses. Valuations are conducted with sufficient frequency to ensure that the carrying amounts of assets did not differ materially from the assets’ fair values as at the reporting date.  The regularity of independent valuations depended upon the volatility of movements in market values for the relevant assets. </w:t>
                      </w:r>
                    </w:p>
                    <w:p w14:paraId="6E34C211" w14:textId="77777777" w:rsidR="00AB2CE3" w:rsidRDefault="00AB2CE3" w:rsidP="00AB2CE3">
                      <w:pPr>
                        <w:rPr>
                          <w:rFonts w:cs="Arial"/>
                          <w:sz w:val="18"/>
                          <w:szCs w:val="18"/>
                        </w:rPr>
                      </w:pPr>
                    </w:p>
                    <w:p w14:paraId="7905F358" w14:textId="77777777" w:rsidR="00AB2CE3" w:rsidRPr="00F77C0B" w:rsidRDefault="00AB2CE3" w:rsidP="00AB2CE3">
                      <w:pPr>
                        <w:rPr>
                          <w:rFonts w:cs="Arial"/>
                          <w:sz w:val="18"/>
                          <w:szCs w:val="18"/>
                        </w:rPr>
                      </w:pPr>
                      <w:r w:rsidRPr="00F77C0B">
                        <w:rPr>
                          <w:rFonts w:cs="Arial"/>
                          <w:sz w:val="18"/>
                          <w:szCs w:val="18"/>
                        </w:rPr>
                        <w:t xml:space="preserve">Revaluation adjustments are made on a class basis. Any revaluation increment is credited to equity under the heading of asset revaluation reserve except to the extent that it reversed a previous revaluation decrement of the same asset class that was previously recognised in the surplus/deficit.  Revaluation decrements for a class of assets are recognised directly in the surplus/deficit except to the extent that they reversed a previous revaluation increment for that class. </w:t>
                      </w:r>
                    </w:p>
                    <w:p w14:paraId="745569D5" w14:textId="77777777" w:rsidR="00AB2CE3" w:rsidRPr="00F77C0B" w:rsidRDefault="00AB2CE3" w:rsidP="00AB2CE3">
                      <w:pPr>
                        <w:rPr>
                          <w:rFonts w:cs="Arial"/>
                          <w:sz w:val="18"/>
                          <w:szCs w:val="18"/>
                        </w:rPr>
                      </w:pPr>
                      <w:r w:rsidRPr="00F77C0B">
                        <w:rPr>
                          <w:rFonts w:cs="Arial"/>
                          <w:sz w:val="18"/>
                          <w:szCs w:val="18"/>
                        </w:rPr>
                        <w:t>Any accumulated depreciation as at the revaluation date is eliminated against the gross carrying amount of the asset and the asset restated to the revalued amount.</w:t>
                      </w:r>
                    </w:p>
                    <w:p w14:paraId="0BC9FBC1" w14:textId="77777777" w:rsidR="00AB2CE3" w:rsidRPr="00F77C0B" w:rsidRDefault="00AB2CE3" w:rsidP="00AB2CE3">
                      <w:pPr>
                        <w:spacing w:after="0"/>
                        <w:rPr>
                          <w:rFonts w:cs="Arial"/>
                          <w:b/>
                          <w:bCs/>
                          <w:sz w:val="18"/>
                          <w:szCs w:val="18"/>
                        </w:rPr>
                      </w:pPr>
                      <w:r w:rsidRPr="00F77C0B">
                        <w:rPr>
                          <w:rFonts w:cs="Arial"/>
                          <w:b/>
                          <w:bCs/>
                          <w:sz w:val="18"/>
                          <w:szCs w:val="18"/>
                        </w:rPr>
                        <w:t>Depreciation</w:t>
                      </w:r>
                    </w:p>
                    <w:p w14:paraId="5ECBD9D4" w14:textId="77777777" w:rsidR="00AB2CE3" w:rsidRPr="00F77C0B" w:rsidRDefault="00AB2CE3" w:rsidP="00AB2CE3">
                      <w:pPr>
                        <w:spacing w:after="0"/>
                        <w:rPr>
                          <w:rFonts w:cs="Arial"/>
                          <w:sz w:val="18"/>
                          <w:szCs w:val="18"/>
                        </w:rPr>
                      </w:pPr>
                      <w:r w:rsidRPr="00F77C0B">
                        <w:rPr>
                          <w:rFonts w:cs="Arial"/>
                          <w:sz w:val="18"/>
                          <w:szCs w:val="18"/>
                        </w:rPr>
                        <w:t>Depreciable property, plant and equipment assets are written-off to their estimated residual values over their estimated useful lives to the entity using, in all cases, the straight-line method of depreciation. Depreciation rates (useful lives), residual values and methods are reviewed at each reporting date and necessary adjustments are recognised in the current, or current and future reporting periods, as appropriate.</w:t>
                      </w:r>
                    </w:p>
                    <w:p w14:paraId="4D707521" w14:textId="77777777" w:rsidR="00AB2CE3" w:rsidRPr="00F77C0B" w:rsidRDefault="00AB2CE3" w:rsidP="00AB2CE3">
                      <w:pPr>
                        <w:rPr>
                          <w:rFonts w:cs="Arial"/>
                          <w:sz w:val="18"/>
                          <w:szCs w:val="18"/>
                        </w:rPr>
                      </w:pPr>
                      <w:r w:rsidRPr="00F77C0B">
                        <w:rPr>
                          <w:rFonts w:cs="Arial"/>
                          <w:sz w:val="18"/>
                          <w:szCs w:val="18"/>
                        </w:rPr>
                        <w:t>Depreciation rates applying to each class of depreciable asset are based on the following useful lives:</w:t>
                      </w:r>
                    </w:p>
                    <w:p w14:paraId="6E4A4808" w14:textId="77777777" w:rsidR="00AB2CE3" w:rsidRPr="00F77C0B" w:rsidRDefault="00AB2CE3" w:rsidP="00AB2CE3">
                      <w:pPr>
                        <w:textAlignment w:val="baseline"/>
                        <w:rPr>
                          <w:rFonts w:cs="Arial"/>
                          <w:sz w:val="18"/>
                          <w:szCs w:val="18"/>
                        </w:rPr>
                      </w:pPr>
                      <w:r w:rsidRPr="00F77C0B">
                        <w:rPr>
                          <w:rFonts w:cs="Arial"/>
                          <w:sz w:val="18"/>
                          <w:szCs w:val="18"/>
                        </w:rPr>
                        <w:t xml:space="preserve">        </w:t>
                      </w:r>
                      <w:r w:rsidRPr="00F77C0B">
                        <w:rPr>
                          <w:rFonts w:cs="Arial"/>
                          <w:sz w:val="18"/>
                          <w:szCs w:val="18"/>
                        </w:rPr>
                        <w:tab/>
                      </w:r>
                      <w:r w:rsidRPr="00F77C0B">
                        <w:rPr>
                          <w:rFonts w:cs="Arial"/>
                          <w:sz w:val="18"/>
                          <w:szCs w:val="18"/>
                        </w:rPr>
                        <w:tab/>
                        <w:t xml:space="preserve">      </w:t>
                      </w:r>
                      <w:r w:rsidRPr="00F77C0B">
                        <w:rPr>
                          <w:rFonts w:cs="Arial"/>
                          <w:sz w:val="18"/>
                          <w:szCs w:val="18"/>
                        </w:rPr>
                        <w:tab/>
                      </w:r>
                      <w:r w:rsidRPr="00F77C0B">
                        <w:rPr>
                          <w:rFonts w:cs="Arial"/>
                          <w:sz w:val="18"/>
                          <w:szCs w:val="18"/>
                        </w:rPr>
                        <w:tab/>
                      </w:r>
                      <w:r w:rsidRPr="00F77C0B">
                        <w:rPr>
                          <w:rFonts w:cs="Arial"/>
                          <w:sz w:val="18"/>
                          <w:szCs w:val="18"/>
                        </w:rPr>
                        <w:tab/>
                        <w:t>2026</w:t>
                      </w:r>
                      <w:r w:rsidRPr="00F77C0B">
                        <w:rPr>
                          <w:rFonts w:cs="Arial"/>
                          <w:sz w:val="18"/>
                          <w:szCs w:val="18"/>
                        </w:rPr>
                        <w:tab/>
                        <w:t xml:space="preserve">     </w:t>
                      </w:r>
                      <w:r w:rsidRPr="00F77C0B">
                        <w:rPr>
                          <w:rFonts w:cs="Arial"/>
                          <w:sz w:val="18"/>
                          <w:szCs w:val="18"/>
                        </w:rPr>
                        <w:tab/>
                        <w:t>2025</w:t>
                      </w:r>
                    </w:p>
                    <w:p w14:paraId="32BA3AF7" w14:textId="77777777" w:rsidR="00AB2CE3" w:rsidRPr="00F77C0B" w:rsidRDefault="00AB2CE3" w:rsidP="00AB2CE3">
                      <w:pPr>
                        <w:textAlignment w:val="baseline"/>
                        <w:rPr>
                          <w:rFonts w:cs="Arial"/>
                          <w:sz w:val="18"/>
                          <w:szCs w:val="18"/>
                        </w:rPr>
                      </w:pPr>
                      <w:r w:rsidRPr="00F77C0B">
                        <w:rPr>
                          <w:rFonts w:cs="Arial"/>
                          <w:sz w:val="18"/>
                          <w:szCs w:val="18"/>
                        </w:rPr>
                        <w:t xml:space="preserve">        Leasehold improvements</w:t>
                      </w:r>
                      <w:r w:rsidRPr="00F77C0B">
                        <w:rPr>
                          <w:rFonts w:cs="Arial"/>
                          <w:sz w:val="18"/>
                          <w:szCs w:val="18"/>
                        </w:rPr>
                        <w:tab/>
                      </w:r>
                      <w:r w:rsidRPr="00F77C0B">
                        <w:rPr>
                          <w:rFonts w:cs="Arial"/>
                          <w:sz w:val="18"/>
                          <w:szCs w:val="18"/>
                        </w:rPr>
                        <w:tab/>
                        <w:t>Lease terms</w:t>
                      </w:r>
                      <w:r w:rsidRPr="00F77C0B">
                        <w:rPr>
                          <w:rFonts w:cs="Arial"/>
                          <w:sz w:val="18"/>
                          <w:szCs w:val="18"/>
                        </w:rPr>
                        <w:tab/>
                        <w:t>Lease terms</w:t>
                      </w:r>
                      <w:r w:rsidRPr="00F77C0B">
                        <w:rPr>
                          <w:rFonts w:cs="Arial"/>
                          <w:sz w:val="18"/>
                          <w:szCs w:val="18"/>
                        </w:rPr>
                        <w:tab/>
                      </w:r>
                    </w:p>
                    <w:p w14:paraId="2D74EA7A" w14:textId="77777777" w:rsidR="00AB2CE3" w:rsidRPr="00F77C0B" w:rsidRDefault="00AB2CE3" w:rsidP="00AB2CE3">
                      <w:pPr>
                        <w:textAlignment w:val="baseline"/>
                        <w:rPr>
                          <w:rFonts w:cs="Arial"/>
                          <w:sz w:val="18"/>
                          <w:szCs w:val="18"/>
                        </w:rPr>
                      </w:pPr>
                      <w:r w:rsidRPr="00F77C0B">
                        <w:rPr>
                          <w:rFonts w:cs="Arial"/>
                          <w:sz w:val="18"/>
                          <w:szCs w:val="18"/>
                        </w:rPr>
                        <w:t xml:space="preserve">        Plant and equipment</w:t>
                      </w:r>
                      <w:r w:rsidRPr="00F77C0B">
                        <w:rPr>
                          <w:rFonts w:cs="Arial"/>
                          <w:sz w:val="18"/>
                          <w:szCs w:val="18"/>
                        </w:rPr>
                        <w:tab/>
                        <w:t xml:space="preserve"> </w:t>
                      </w:r>
                      <w:r w:rsidRPr="00F77C0B">
                        <w:rPr>
                          <w:rFonts w:cs="Arial"/>
                          <w:sz w:val="18"/>
                          <w:szCs w:val="18"/>
                        </w:rPr>
                        <w:tab/>
                      </w:r>
                      <w:r w:rsidRPr="00F77C0B">
                        <w:rPr>
                          <w:rFonts w:cs="Arial"/>
                          <w:sz w:val="18"/>
                          <w:szCs w:val="18"/>
                        </w:rPr>
                        <w:tab/>
                        <w:t>3 to 6 years</w:t>
                      </w:r>
                      <w:r w:rsidRPr="00F77C0B">
                        <w:rPr>
                          <w:rFonts w:cs="Arial"/>
                          <w:sz w:val="18"/>
                          <w:szCs w:val="18"/>
                        </w:rPr>
                        <w:tab/>
                        <w:t>3 to 6 years</w:t>
                      </w:r>
                      <w:r w:rsidRPr="00F77C0B">
                        <w:rPr>
                          <w:rFonts w:cs="Arial"/>
                        </w:rPr>
                        <w:tab/>
                      </w:r>
                    </w:p>
                    <w:p w14:paraId="79540E80" w14:textId="77777777" w:rsidR="00AB2CE3" w:rsidRDefault="00AB2CE3" w:rsidP="00AB2CE3">
                      <w:pPr>
                        <w:rPr>
                          <w:rFonts w:asciiTheme="minorHAnsi" w:hAnsi="Fira Sans regular"/>
                          <w:color w:val="15272F" w:themeColor="dark1"/>
                          <w:sz w:val="18"/>
                          <w:szCs w:val="18"/>
                        </w:rPr>
                      </w:pPr>
                      <w:r>
                        <w:rPr>
                          <w:rFonts w:asciiTheme="minorHAnsi" w:hAnsi="Fira Sans regular"/>
                          <w:color w:val="15272F" w:themeColor="dark1"/>
                          <w:sz w:val="18"/>
                          <w:szCs w:val="18"/>
                        </w:rPr>
                        <w:t> </w:t>
                      </w:r>
                    </w:p>
                  </w:txbxContent>
                </v:textbox>
                <w10:wrap anchorx="margin"/>
              </v:shape>
            </w:pict>
          </mc:Fallback>
        </mc:AlternateContent>
      </w:r>
    </w:p>
    <w:p w14:paraId="1750CAA3" w14:textId="77777777" w:rsidR="00AB2CE3" w:rsidRDefault="00AB2CE3" w:rsidP="00EB0D85">
      <w:pPr>
        <w:pStyle w:val="Sectionnumber"/>
        <w:jc w:val="left"/>
        <w:rPr>
          <w:rFonts w:ascii="Arial" w:hAnsi="Arial" w:cs="Arial"/>
          <w:color w:val="15272F" w:themeColor="text1"/>
        </w:rPr>
      </w:pPr>
    </w:p>
    <w:p w14:paraId="3EDBC102" w14:textId="09E5DB7A" w:rsidR="005E7495" w:rsidRDefault="005E7495" w:rsidP="00724246">
      <w:pPr>
        <w:pStyle w:val="Sectionnumber"/>
        <w:rPr>
          <w:rFonts w:ascii="Arial" w:hAnsi="Arial" w:cs="Arial"/>
          <w:color w:val="15272F" w:themeColor="text1"/>
        </w:rPr>
      </w:pPr>
      <w:r>
        <w:rPr>
          <w:noProof/>
        </w:rPr>
        <w:lastRenderedPageBreak/>
        <mc:AlternateContent>
          <mc:Choice Requires="wps">
            <w:drawing>
              <wp:anchor distT="0" distB="0" distL="114300" distR="114300" simplePos="0" relativeHeight="251703296" behindDoc="0" locked="0" layoutInCell="1" allowOverlap="1" wp14:anchorId="52218806" wp14:editId="6B6C2A90">
                <wp:simplePos x="0" y="0"/>
                <wp:positionH relativeFrom="margin">
                  <wp:posOffset>0</wp:posOffset>
                </wp:positionH>
                <wp:positionV relativeFrom="paragraph">
                  <wp:posOffset>0</wp:posOffset>
                </wp:positionV>
                <wp:extent cx="5995187" cy="3853543"/>
                <wp:effectExtent l="0" t="0" r="24765" b="13970"/>
                <wp:wrapNone/>
                <wp:docPr id="13" name="TextBox 12">
                  <a:extLst xmlns:a="http://schemas.openxmlformats.org/drawingml/2006/main">
                    <a:ext uri="{FF2B5EF4-FFF2-40B4-BE49-F238E27FC236}">
                      <a16:creationId xmlns:a16="http://schemas.microsoft.com/office/drawing/2014/main" id="{00000000-0008-0000-1100-00000D000000}"/>
                    </a:ext>
                  </a:extLst>
                </wp:docPr>
                <wp:cNvGraphicFramePr/>
                <a:graphic xmlns:a="http://schemas.openxmlformats.org/drawingml/2006/main">
                  <a:graphicData uri="http://schemas.microsoft.com/office/word/2010/wordprocessingShape">
                    <wps:wsp>
                      <wps:cNvSpPr txBox="1"/>
                      <wps:spPr>
                        <a:xfrm>
                          <a:off x="0" y="0"/>
                          <a:ext cx="5995187" cy="3853543"/>
                        </a:xfrm>
                        <a:prstGeom prst="rect">
                          <a:avLst/>
                        </a:prstGeom>
                        <a:noFill/>
                        <a:ln w="12700" cap="flat" cmpd="sng" algn="ctr">
                          <a:solidFill>
                            <a:srgbClr val="009560"/>
                          </a:solidFill>
                          <a:prstDash val="solid"/>
                          <a:round/>
                          <a:headEnd type="none" w="med" len="med"/>
                          <a:tailEnd type="none" w="med" len="med"/>
                        </a:ln>
                        <a:effectLst/>
                      </wps:spPr>
                      <wps:txbx>
                        <w:txbxContent>
                          <w:p w14:paraId="6A7EE6EC" w14:textId="77777777" w:rsidR="005E7495" w:rsidRPr="00FB5935" w:rsidRDefault="005E7495" w:rsidP="005E7495">
                            <w:pPr>
                              <w:spacing w:after="0"/>
                              <w:rPr>
                                <w:rFonts w:cs="Arial"/>
                                <w:sz w:val="18"/>
                                <w:szCs w:val="18"/>
                              </w:rPr>
                            </w:pPr>
                            <w:r w:rsidRPr="00FB5935">
                              <w:rPr>
                                <w:rFonts w:cs="Arial"/>
                                <w:b/>
                                <w:bCs/>
                                <w:sz w:val="18"/>
                                <w:szCs w:val="18"/>
                              </w:rPr>
                              <w:t>Impairment</w:t>
                            </w:r>
                          </w:p>
                          <w:p w14:paraId="216DD9F5" w14:textId="77777777" w:rsidR="005E7495" w:rsidRPr="00FB5935" w:rsidRDefault="005E7495" w:rsidP="005E7495">
                            <w:pPr>
                              <w:spacing w:after="0"/>
                              <w:rPr>
                                <w:rFonts w:cs="Arial"/>
                                <w:sz w:val="18"/>
                                <w:szCs w:val="18"/>
                              </w:rPr>
                            </w:pPr>
                            <w:r w:rsidRPr="00FB5935">
                              <w:rPr>
                                <w:rFonts w:cs="Arial"/>
                                <w:sz w:val="18"/>
                                <w:szCs w:val="18"/>
                              </w:rPr>
                              <w:t xml:space="preserve">All assets were assessed for impairment at 30 June 2026.  Where indications of impairment exist, the assets recoverable amount is estimated and an impairment adjustment made if the asset’s recoverable amount is less than its carrying amount. </w:t>
                            </w:r>
                          </w:p>
                          <w:p w14:paraId="0E4F46E7" w14:textId="77777777" w:rsidR="005E7495" w:rsidRDefault="005E7495" w:rsidP="005E7495">
                            <w:pPr>
                              <w:rPr>
                                <w:rFonts w:cs="Arial"/>
                                <w:sz w:val="18"/>
                                <w:szCs w:val="18"/>
                              </w:rPr>
                            </w:pPr>
                          </w:p>
                          <w:p w14:paraId="125FB68E" w14:textId="77777777" w:rsidR="005E7495" w:rsidRPr="00FB5935" w:rsidRDefault="005E7495" w:rsidP="005E7495">
                            <w:pPr>
                              <w:rPr>
                                <w:rFonts w:cs="Arial"/>
                                <w:sz w:val="18"/>
                                <w:szCs w:val="18"/>
                              </w:rPr>
                            </w:pPr>
                            <w:r w:rsidRPr="00FB5935">
                              <w:rPr>
                                <w:rFonts w:cs="Arial"/>
                                <w:sz w:val="18"/>
                                <w:szCs w:val="18"/>
                              </w:rPr>
                              <w:t>The recoverable amount of an asset is the higher of its fair value less costs of disposal and its value in use. Value in use is the present value of the future cash flows expected to be derived from the asset. Where the future economic benefit of an asset is not primarily dependent on the asset’s ability to generate future cash flows, and the asset would be replaced if the entity were deprived of the asset, its value in use is taken to be its depreciated replacement cost.</w:t>
                            </w:r>
                          </w:p>
                          <w:p w14:paraId="7CEB269F" w14:textId="77777777" w:rsidR="005E7495" w:rsidRPr="00FB5935" w:rsidRDefault="005E7495" w:rsidP="005E7495">
                            <w:pPr>
                              <w:spacing w:after="0"/>
                              <w:rPr>
                                <w:rFonts w:cs="Arial"/>
                                <w:sz w:val="18"/>
                                <w:szCs w:val="18"/>
                              </w:rPr>
                            </w:pPr>
                            <w:r w:rsidRPr="00FB5935">
                              <w:rPr>
                                <w:rFonts w:cs="Arial"/>
                                <w:b/>
                                <w:bCs/>
                                <w:sz w:val="18"/>
                                <w:szCs w:val="18"/>
                              </w:rPr>
                              <w:t>Derecognition</w:t>
                            </w:r>
                          </w:p>
                          <w:p w14:paraId="64359513" w14:textId="77777777" w:rsidR="005E7495" w:rsidRPr="00FB5935" w:rsidRDefault="005E7495" w:rsidP="005E7495">
                            <w:pPr>
                              <w:spacing w:after="0"/>
                              <w:rPr>
                                <w:rFonts w:cs="Arial"/>
                                <w:sz w:val="18"/>
                                <w:szCs w:val="18"/>
                              </w:rPr>
                            </w:pPr>
                            <w:r w:rsidRPr="00FB5935">
                              <w:rPr>
                                <w:rFonts w:cs="Arial"/>
                                <w:sz w:val="18"/>
                                <w:szCs w:val="18"/>
                              </w:rPr>
                              <w:t>An item of property, plant and equipment is derecognised upon disposal or when no further future economic benefits are expected from its use or disposal.</w:t>
                            </w:r>
                          </w:p>
                          <w:p w14:paraId="76A4E8B8" w14:textId="77777777" w:rsidR="005E7495" w:rsidRDefault="005E7495" w:rsidP="005E7495">
                            <w:pPr>
                              <w:rPr>
                                <w:rFonts w:cs="Arial"/>
                                <w:b/>
                                <w:bCs/>
                                <w:sz w:val="18"/>
                                <w:szCs w:val="18"/>
                              </w:rPr>
                            </w:pPr>
                          </w:p>
                          <w:p w14:paraId="2F80CD7C" w14:textId="77777777" w:rsidR="005E7495" w:rsidRPr="00FB5935" w:rsidRDefault="005E7495" w:rsidP="005E7495">
                            <w:pPr>
                              <w:spacing w:after="0"/>
                              <w:rPr>
                                <w:rFonts w:cs="Arial"/>
                                <w:sz w:val="18"/>
                                <w:szCs w:val="18"/>
                              </w:rPr>
                            </w:pPr>
                            <w:r w:rsidRPr="00FB5935">
                              <w:rPr>
                                <w:rFonts w:cs="Arial"/>
                                <w:b/>
                                <w:bCs/>
                                <w:sz w:val="18"/>
                                <w:szCs w:val="18"/>
                              </w:rPr>
                              <w:t>Intangibles</w:t>
                            </w:r>
                          </w:p>
                          <w:p w14:paraId="7B57E496" w14:textId="77777777" w:rsidR="005E7495" w:rsidRPr="00FB5935" w:rsidRDefault="005E7495" w:rsidP="005E7495">
                            <w:pPr>
                              <w:spacing w:after="0"/>
                              <w:rPr>
                                <w:rFonts w:cs="Arial"/>
                                <w:sz w:val="18"/>
                                <w:szCs w:val="18"/>
                              </w:rPr>
                            </w:pPr>
                            <w:r w:rsidRPr="00FB5935">
                              <w:rPr>
                                <w:rFonts w:cs="Arial"/>
                                <w:sz w:val="18"/>
                                <w:szCs w:val="18"/>
                              </w:rPr>
                              <w:t xml:space="preserve">The entity's intangibles comprise internally developed software for internal use.  These assets are carried at cost less accumulated amortisation and accumulated impairment losses. </w:t>
                            </w:r>
                          </w:p>
                          <w:p w14:paraId="75E946D3" w14:textId="77777777" w:rsidR="005E7495" w:rsidRDefault="005E7495" w:rsidP="005E7495">
                            <w:pPr>
                              <w:rPr>
                                <w:rFonts w:cs="Arial"/>
                                <w:sz w:val="18"/>
                                <w:szCs w:val="18"/>
                              </w:rPr>
                            </w:pPr>
                          </w:p>
                          <w:p w14:paraId="114F0211" w14:textId="77777777" w:rsidR="005E7495" w:rsidRPr="00FB5935" w:rsidRDefault="005E7495" w:rsidP="005E7495">
                            <w:pPr>
                              <w:rPr>
                                <w:rFonts w:cs="Arial"/>
                                <w:sz w:val="18"/>
                                <w:szCs w:val="18"/>
                              </w:rPr>
                            </w:pPr>
                            <w:r w:rsidRPr="00FB5935">
                              <w:rPr>
                                <w:rFonts w:cs="Arial"/>
                                <w:sz w:val="18"/>
                                <w:szCs w:val="18"/>
                              </w:rPr>
                              <w:t xml:space="preserve">Software is amortised on a straight-line basis over its anticipated useful life.  The useful lives of the entity's software are 1 to 6 years (2025: 1 to 6 years). All software assets were assessed for indications of impairment as at 30 June 2026. </w:t>
                            </w:r>
                          </w:p>
                          <w:p w14:paraId="1F0F11EE" w14:textId="77777777" w:rsidR="005E7495" w:rsidRPr="00CA2143" w:rsidRDefault="005E7495" w:rsidP="005E7495">
                            <w:pPr>
                              <w:rPr>
                                <w:rFonts w:cs="Arial"/>
                                <w:color w:val="15272F" w:themeColor="dark1"/>
                                <w:sz w:val="18"/>
                                <w:szCs w:val="18"/>
                              </w:rPr>
                            </w:pPr>
                          </w:p>
                          <w:p w14:paraId="202FA371" w14:textId="77777777" w:rsidR="005E7495" w:rsidRPr="00CA2143" w:rsidRDefault="005E7495" w:rsidP="005E7495">
                            <w:pPr>
                              <w:rPr>
                                <w:rFonts w:asciiTheme="minorHAnsi" w:hAnsi="Fira Sans regular"/>
                                <w:color w:val="15272F" w:themeColor="dark1"/>
                                <w:sz w:val="18"/>
                                <w:szCs w:val="18"/>
                              </w:rPr>
                            </w:pPr>
                            <w:r w:rsidRPr="00CA2143">
                              <w:rPr>
                                <w:rFonts w:asciiTheme="minorHAnsi" w:hAnsi="Fira Sans regular"/>
                                <w:color w:val="15272F" w:themeColor="dark1"/>
                                <w:sz w:val="18"/>
                                <w:szCs w:val="18"/>
                              </w:rPr>
                              <w:t> </w:t>
                            </w:r>
                          </w:p>
                          <w:p w14:paraId="5E9DE091" w14:textId="77777777" w:rsidR="005E7495" w:rsidRPr="00B273C6" w:rsidRDefault="005E7495" w:rsidP="005E7495">
                            <w:pPr>
                              <w:rPr>
                                <w:rFonts w:cs="Arial"/>
                                <w:color w:val="15272F" w:themeColor="dark1"/>
                                <w:sz w:val="18"/>
                                <w:szCs w:val="18"/>
                              </w:rPr>
                            </w:pPr>
                          </w:p>
                          <w:p w14:paraId="69BD158E" w14:textId="77777777" w:rsidR="005E7495" w:rsidRDefault="005E7495" w:rsidP="005E7495">
                            <w:pPr>
                              <w:rPr>
                                <w:rFonts w:cs="Arial"/>
                                <w:b/>
                                <w:bCs/>
                                <w:color w:val="15272F" w:themeColor="dark1"/>
                                <w:sz w:val="18"/>
                                <w:szCs w:val="18"/>
                              </w:rPr>
                            </w:pPr>
                          </w:p>
                          <w:p w14:paraId="15F0E498" w14:textId="77777777" w:rsidR="005E7495" w:rsidRDefault="005E7495" w:rsidP="005E7495">
                            <w:pPr>
                              <w:rPr>
                                <w:rFonts w:cs="Arial"/>
                                <w:b/>
                                <w:bCs/>
                                <w:color w:val="15272F" w:themeColor="dark1"/>
                                <w:sz w:val="18"/>
                                <w:szCs w:val="18"/>
                              </w:rPr>
                            </w:pPr>
                          </w:p>
                          <w:p w14:paraId="557E664C" w14:textId="77777777" w:rsidR="005E7495" w:rsidRDefault="005E7495" w:rsidP="005E7495">
                            <w:pPr>
                              <w:rPr>
                                <w:rFonts w:cs="Arial"/>
                                <w:b/>
                                <w:bCs/>
                                <w:color w:val="15272F" w:themeColor="dark1"/>
                                <w:sz w:val="18"/>
                                <w:szCs w:val="18"/>
                              </w:rPr>
                            </w:pPr>
                          </w:p>
                          <w:p w14:paraId="6D274B99" w14:textId="77777777" w:rsidR="005E7495" w:rsidRPr="00B273C6" w:rsidRDefault="005E7495" w:rsidP="005E7495">
                            <w:pPr>
                              <w:rPr>
                                <w:rFonts w:cs="Arial"/>
                                <w:b/>
                                <w:bCs/>
                                <w:color w:val="15272F" w:themeColor="dark1"/>
                                <w:sz w:val="18"/>
                                <w:szCs w:val="18"/>
                              </w:rPr>
                            </w:pPr>
                            <w:r w:rsidRPr="00B273C6">
                              <w:rPr>
                                <w:rFonts w:cs="Arial"/>
                                <w:b/>
                                <w:bCs/>
                                <w:color w:val="15272F" w:themeColor="dark1"/>
                                <w:sz w:val="18"/>
                                <w:szCs w:val="18"/>
                              </w:rPr>
                              <w:t>Intangibles</w:t>
                            </w:r>
                          </w:p>
                          <w:p w14:paraId="178C0C31" w14:textId="77777777" w:rsidR="005E7495" w:rsidRPr="00B273C6" w:rsidRDefault="005E7495" w:rsidP="005E7495">
                            <w:pPr>
                              <w:rPr>
                                <w:rFonts w:cs="Arial"/>
                                <w:color w:val="15272F" w:themeColor="dark1"/>
                                <w:sz w:val="18"/>
                                <w:szCs w:val="18"/>
                              </w:rPr>
                            </w:pPr>
                            <w:r w:rsidRPr="00B273C6">
                              <w:rPr>
                                <w:rFonts w:cs="Arial"/>
                                <w:color w:val="15272F" w:themeColor="dark1"/>
                                <w:sz w:val="18"/>
                                <w:szCs w:val="18"/>
                              </w:rPr>
                              <w:t xml:space="preserve">The entity's intangibles comprise internally developed software for internal use.  These assets are carried at cost less accumulated amortisation and accumulated impairment losses. </w:t>
                            </w:r>
                          </w:p>
                          <w:p w14:paraId="72BC84F2" w14:textId="77777777" w:rsidR="005E7495" w:rsidRPr="00B273C6" w:rsidRDefault="005E7495" w:rsidP="005E7495">
                            <w:pPr>
                              <w:rPr>
                                <w:rFonts w:cs="Arial"/>
                                <w:color w:val="15272F" w:themeColor="dark1"/>
                                <w:sz w:val="18"/>
                                <w:szCs w:val="18"/>
                              </w:rPr>
                            </w:pPr>
                            <w:r w:rsidRPr="00B273C6">
                              <w:rPr>
                                <w:rFonts w:cs="Arial"/>
                                <w:color w:val="15272F" w:themeColor="dark1"/>
                                <w:sz w:val="18"/>
                                <w:szCs w:val="18"/>
                              </w:rPr>
                              <w:tab/>
                            </w:r>
                          </w:p>
                          <w:p w14:paraId="45452D40" w14:textId="77777777" w:rsidR="005E7495" w:rsidRPr="00B273C6" w:rsidRDefault="005E7495" w:rsidP="005E7495">
                            <w:pPr>
                              <w:rPr>
                                <w:rFonts w:cs="Arial"/>
                                <w:color w:val="15272F" w:themeColor="dark1"/>
                                <w:sz w:val="18"/>
                                <w:szCs w:val="18"/>
                              </w:rPr>
                            </w:pPr>
                            <w:r w:rsidRPr="00B273C6">
                              <w:rPr>
                                <w:rFonts w:cs="Arial"/>
                                <w:color w:val="15272F" w:themeColor="dark1"/>
                                <w:sz w:val="18"/>
                                <w:szCs w:val="18"/>
                              </w:rPr>
                              <w:t xml:space="preserve">Software is amortised on a straight-line basis over its anticipated useful life.  The useful lives of the entity's software are 1 to 6 years (2025: 1 to 6 years). All software assets were assessed for indications of impairment as at 30 June 2026. </w:t>
                            </w:r>
                          </w:p>
                        </w:txbxContent>
                      </wps:txbx>
                      <wps:bodyPr vertOverflow="clip" horzOverflow="clip" wrap="square" rtlCol="0" anchor="t">
                        <a:noAutofit/>
                      </wps:bodyPr>
                    </wps:wsp>
                  </a:graphicData>
                </a:graphic>
                <wp14:sizeRelV relativeFrom="margin">
                  <wp14:pctHeight>0</wp14:pctHeight>
                </wp14:sizeRelV>
              </wp:anchor>
            </w:drawing>
          </mc:Choice>
          <mc:Fallback>
            <w:pict>
              <v:shape w14:anchorId="52218806" id="TextBox 12" o:spid="_x0000_s1039" type="#_x0000_t202" style="position:absolute;left:0;text-align:left;margin-left:0;margin-top:0;width:472.05pt;height:303.45pt;z-index:2517032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" filled="f" strokecolor="#009560" strokeweight="1pt">
                <v:stroke joinstyle="round"/>
                <v:textbox>
                  <w:txbxContent>
                    <w:p w14:paraId="6A7EE6EC" w14:textId="77777777" w:rsidR="005E7495" w:rsidRPr="00FB5935" w:rsidRDefault="005E7495" w:rsidP="005E7495">
                      <w:pPr>
                        <w:spacing w:after="0"/>
                        <w:rPr>
                          <w:rFonts w:cs="Arial"/>
                          <w:sz w:val="18"/>
                          <w:szCs w:val="18"/>
                        </w:rPr>
                      </w:pPr>
                      <w:r w:rsidRPr="00FB5935">
                        <w:rPr>
                          <w:rFonts w:cs="Arial"/>
                          <w:b/>
                          <w:bCs/>
                          <w:sz w:val="18"/>
                          <w:szCs w:val="18"/>
                        </w:rPr>
                        <w:t>Impairment</w:t>
                      </w:r>
                    </w:p>
                    <w:p w14:paraId="216DD9F5" w14:textId="77777777" w:rsidR="005E7495" w:rsidRPr="00FB5935" w:rsidRDefault="005E7495" w:rsidP="005E7495">
                      <w:pPr>
                        <w:spacing w:after="0"/>
                        <w:rPr>
                          <w:rFonts w:cs="Arial"/>
                          <w:sz w:val="18"/>
                          <w:szCs w:val="18"/>
                        </w:rPr>
                      </w:pPr>
                      <w:r w:rsidRPr="00FB5935">
                        <w:rPr>
                          <w:rFonts w:cs="Arial"/>
                          <w:sz w:val="18"/>
                          <w:szCs w:val="18"/>
                        </w:rPr>
                        <w:t xml:space="preserve">All assets were assessed for impairment at 30 June 2026.  Where indications of impairment exist, the assets recoverable amount is estimated and an impairment adjustment made if the asset’s recoverable amount is less than its carrying amount. </w:t>
                      </w:r>
                    </w:p>
                    <w:p w14:paraId="0E4F46E7" w14:textId="77777777" w:rsidR="005E7495" w:rsidRDefault="005E7495" w:rsidP="005E7495">
                      <w:pPr>
                        <w:rPr>
                          <w:rFonts w:cs="Arial"/>
                          <w:sz w:val="18"/>
                          <w:szCs w:val="18"/>
                        </w:rPr>
                      </w:pPr>
                    </w:p>
                    <w:p w14:paraId="125FB68E" w14:textId="77777777" w:rsidR="005E7495" w:rsidRPr="00FB5935" w:rsidRDefault="005E7495" w:rsidP="005E7495">
                      <w:pPr>
                        <w:rPr>
                          <w:rFonts w:cs="Arial"/>
                          <w:sz w:val="18"/>
                          <w:szCs w:val="18"/>
                        </w:rPr>
                      </w:pPr>
                      <w:r w:rsidRPr="00FB5935">
                        <w:rPr>
                          <w:rFonts w:cs="Arial"/>
                          <w:sz w:val="18"/>
                          <w:szCs w:val="18"/>
                        </w:rPr>
                        <w:t>The recoverable amount of an asset is the higher of its fair value less costs of disposal and its value in use. Value in use is the present value of the future cash flows expected to be derived from the asset. Where the future economic benefit of an asset is not primarily dependent on the asset’s ability to generate future cash flows, and the asset would be replaced if the entity were deprived of the asset, its value in use is taken to be its depreciated replacement cost.</w:t>
                      </w:r>
                    </w:p>
                    <w:p w14:paraId="7CEB269F" w14:textId="77777777" w:rsidR="005E7495" w:rsidRPr="00FB5935" w:rsidRDefault="005E7495" w:rsidP="005E7495">
                      <w:pPr>
                        <w:spacing w:after="0"/>
                        <w:rPr>
                          <w:rFonts w:cs="Arial"/>
                          <w:sz w:val="18"/>
                          <w:szCs w:val="18"/>
                        </w:rPr>
                      </w:pPr>
                      <w:r w:rsidRPr="00FB5935">
                        <w:rPr>
                          <w:rFonts w:cs="Arial"/>
                          <w:b/>
                          <w:bCs/>
                          <w:sz w:val="18"/>
                          <w:szCs w:val="18"/>
                        </w:rPr>
                        <w:t>Derecognition</w:t>
                      </w:r>
                    </w:p>
                    <w:p w14:paraId="64359513" w14:textId="77777777" w:rsidR="005E7495" w:rsidRPr="00FB5935" w:rsidRDefault="005E7495" w:rsidP="005E7495">
                      <w:pPr>
                        <w:spacing w:after="0"/>
                        <w:rPr>
                          <w:rFonts w:cs="Arial"/>
                          <w:sz w:val="18"/>
                          <w:szCs w:val="18"/>
                        </w:rPr>
                      </w:pPr>
                      <w:r w:rsidRPr="00FB5935">
                        <w:rPr>
                          <w:rFonts w:cs="Arial"/>
                          <w:sz w:val="18"/>
                          <w:szCs w:val="18"/>
                        </w:rPr>
                        <w:t>An item of property, plant and equipment is derecognised upon disposal or when no further future economic benefits are expected from its use or disposal.</w:t>
                      </w:r>
                    </w:p>
                    <w:p w14:paraId="76A4E8B8" w14:textId="77777777" w:rsidR="005E7495" w:rsidRDefault="005E7495" w:rsidP="005E7495">
                      <w:pPr>
                        <w:rPr>
                          <w:rFonts w:cs="Arial"/>
                          <w:b/>
                          <w:bCs/>
                          <w:sz w:val="18"/>
                          <w:szCs w:val="18"/>
                        </w:rPr>
                      </w:pPr>
                    </w:p>
                    <w:p w14:paraId="2F80CD7C" w14:textId="77777777" w:rsidR="005E7495" w:rsidRPr="00FB5935" w:rsidRDefault="005E7495" w:rsidP="005E7495">
                      <w:pPr>
                        <w:spacing w:after="0"/>
                        <w:rPr>
                          <w:rFonts w:cs="Arial"/>
                          <w:sz w:val="18"/>
                          <w:szCs w:val="18"/>
                        </w:rPr>
                      </w:pPr>
                      <w:r w:rsidRPr="00FB5935">
                        <w:rPr>
                          <w:rFonts w:cs="Arial"/>
                          <w:b/>
                          <w:bCs/>
                          <w:sz w:val="18"/>
                          <w:szCs w:val="18"/>
                        </w:rPr>
                        <w:t>Intangibles</w:t>
                      </w:r>
                    </w:p>
                    <w:p w14:paraId="7B57E496" w14:textId="77777777" w:rsidR="005E7495" w:rsidRPr="00FB5935" w:rsidRDefault="005E7495" w:rsidP="005E7495">
                      <w:pPr>
                        <w:spacing w:after="0"/>
                        <w:rPr>
                          <w:rFonts w:cs="Arial"/>
                          <w:sz w:val="18"/>
                          <w:szCs w:val="18"/>
                        </w:rPr>
                      </w:pPr>
                      <w:r w:rsidRPr="00FB5935">
                        <w:rPr>
                          <w:rFonts w:cs="Arial"/>
                          <w:sz w:val="18"/>
                          <w:szCs w:val="18"/>
                        </w:rPr>
                        <w:t xml:space="preserve">The entity's intangibles comprise internally developed software for internal use.  These assets are carried at cost less accumulated amortisation and accumulated impairment losses. </w:t>
                      </w:r>
                    </w:p>
                    <w:p w14:paraId="75E946D3" w14:textId="77777777" w:rsidR="005E7495" w:rsidRDefault="005E7495" w:rsidP="005E7495">
                      <w:pPr>
                        <w:rPr>
                          <w:rFonts w:cs="Arial"/>
                          <w:sz w:val="18"/>
                          <w:szCs w:val="18"/>
                        </w:rPr>
                      </w:pPr>
                    </w:p>
                    <w:p w14:paraId="114F0211" w14:textId="77777777" w:rsidR="005E7495" w:rsidRPr="00FB5935" w:rsidRDefault="005E7495" w:rsidP="005E7495">
                      <w:pPr>
                        <w:rPr>
                          <w:rFonts w:cs="Arial"/>
                          <w:sz w:val="18"/>
                          <w:szCs w:val="18"/>
                        </w:rPr>
                      </w:pPr>
                      <w:r w:rsidRPr="00FB5935">
                        <w:rPr>
                          <w:rFonts w:cs="Arial"/>
                          <w:sz w:val="18"/>
                          <w:szCs w:val="18"/>
                        </w:rPr>
                        <w:t xml:space="preserve">Software is amortised on a straight-line basis over its anticipated useful life.  The useful lives of the entity's software are 1 to 6 years (2025: 1 to 6 years). All software assets were assessed for indications of impairment as at 30 June 2026. </w:t>
                      </w:r>
                    </w:p>
                    <w:p w14:paraId="1F0F11EE" w14:textId="77777777" w:rsidR="005E7495" w:rsidRPr="00CA2143" w:rsidRDefault="005E7495" w:rsidP="005E7495">
                      <w:pPr>
                        <w:rPr>
                          <w:rFonts w:cs="Arial"/>
                          <w:color w:val="15272F" w:themeColor="dark1"/>
                          <w:sz w:val="18"/>
                          <w:szCs w:val="18"/>
                        </w:rPr>
                      </w:pPr>
                    </w:p>
                    <w:p w14:paraId="202FA371" w14:textId="77777777" w:rsidR="005E7495" w:rsidRPr="00CA2143" w:rsidRDefault="005E7495" w:rsidP="005E7495">
                      <w:pPr>
                        <w:rPr>
                          <w:rFonts w:asciiTheme="minorHAnsi" w:hAnsi="Fira Sans regular"/>
                          <w:color w:val="15272F" w:themeColor="dark1"/>
                          <w:sz w:val="18"/>
                          <w:szCs w:val="18"/>
                        </w:rPr>
                      </w:pPr>
                      <w:r w:rsidRPr="00CA2143">
                        <w:rPr>
                          <w:rFonts w:asciiTheme="minorHAnsi" w:hAnsi="Fira Sans regular"/>
                          <w:color w:val="15272F" w:themeColor="dark1"/>
                          <w:sz w:val="18"/>
                          <w:szCs w:val="18"/>
                        </w:rPr>
                        <w:t> </w:t>
                      </w:r>
                    </w:p>
                    <w:p w14:paraId="5E9DE091" w14:textId="77777777" w:rsidR="005E7495" w:rsidRPr="00B273C6" w:rsidRDefault="005E7495" w:rsidP="005E7495">
                      <w:pPr>
                        <w:rPr>
                          <w:rFonts w:cs="Arial"/>
                          <w:color w:val="15272F" w:themeColor="dark1"/>
                          <w:sz w:val="18"/>
                          <w:szCs w:val="18"/>
                        </w:rPr>
                      </w:pPr>
                    </w:p>
                    <w:p w14:paraId="69BD158E" w14:textId="77777777" w:rsidR="005E7495" w:rsidRDefault="005E7495" w:rsidP="005E7495">
                      <w:pPr>
                        <w:rPr>
                          <w:rFonts w:cs="Arial"/>
                          <w:b/>
                          <w:bCs/>
                          <w:color w:val="15272F" w:themeColor="dark1"/>
                          <w:sz w:val="18"/>
                          <w:szCs w:val="18"/>
                        </w:rPr>
                      </w:pPr>
                    </w:p>
                    <w:p w14:paraId="15F0E498" w14:textId="77777777" w:rsidR="005E7495" w:rsidRDefault="005E7495" w:rsidP="005E7495">
                      <w:pPr>
                        <w:rPr>
                          <w:rFonts w:cs="Arial"/>
                          <w:b/>
                          <w:bCs/>
                          <w:color w:val="15272F" w:themeColor="dark1"/>
                          <w:sz w:val="18"/>
                          <w:szCs w:val="18"/>
                        </w:rPr>
                      </w:pPr>
                    </w:p>
                    <w:p w14:paraId="557E664C" w14:textId="77777777" w:rsidR="005E7495" w:rsidRDefault="005E7495" w:rsidP="005E7495">
                      <w:pPr>
                        <w:rPr>
                          <w:rFonts w:cs="Arial"/>
                          <w:b/>
                          <w:bCs/>
                          <w:color w:val="15272F" w:themeColor="dark1"/>
                          <w:sz w:val="18"/>
                          <w:szCs w:val="18"/>
                        </w:rPr>
                      </w:pPr>
                    </w:p>
                    <w:p w14:paraId="6D274B99" w14:textId="77777777" w:rsidR="005E7495" w:rsidRPr="00B273C6" w:rsidRDefault="005E7495" w:rsidP="005E7495">
                      <w:pPr>
                        <w:rPr>
                          <w:rFonts w:cs="Arial"/>
                          <w:b/>
                          <w:bCs/>
                          <w:color w:val="15272F" w:themeColor="dark1"/>
                          <w:sz w:val="18"/>
                          <w:szCs w:val="18"/>
                        </w:rPr>
                      </w:pPr>
                      <w:r w:rsidRPr="00B273C6">
                        <w:rPr>
                          <w:rFonts w:cs="Arial"/>
                          <w:b/>
                          <w:bCs/>
                          <w:color w:val="15272F" w:themeColor="dark1"/>
                          <w:sz w:val="18"/>
                          <w:szCs w:val="18"/>
                        </w:rPr>
                        <w:t>Intangibles</w:t>
                      </w:r>
                    </w:p>
                    <w:p w14:paraId="178C0C31" w14:textId="77777777" w:rsidR="005E7495" w:rsidRPr="00B273C6" w:rsidRDefault="005E7495" w:rsidP="005E7495">
                      <w:pPr>
                        <w:rPr>
                          <w:rFonts w:cs="Arial"/>
                          <w:color w:val="15272F" w:themeColor="dark1"/>
                          <w:sz w:val="18"/>
                          <w:szCs w:val="18"/>
                        </w:rPr>
                      </w:pPr>
                      <w:r w:rsidRPr="00B273C6">
                        <w:rPr>
                          <w:rFonts w:cs="Arial"/>
                          <w:color w:val="15272F" w:themeColor="dark1"/>
                          <w:sz w:val="18"/>
                          <w:szCs w:val="18"/>
                        </w:rPr>
                        <w:t xml:space="preserve">The entity's intangibles comprise internally developed software for internal use.  These assets are carried at cost less accumulated amortisation and accumulated impairment losses. </w:t>
                      </w:r>
                    </w:p>
                    <w:p w14:paraId="72BC84F2" w14:textId="77777777" w:rsidR="005E7495" w:rsidRPr="00B273C6" w:rsidRDefault="005E7495" w:rsidP="005E7495">
                      <w:pPr>
                        <w:rPr>
                          <w:rFonts w:cs="Arial"/>
                          <w:color w:val="15272F" w:themeColor="dark1"/>
                          <w:sz w:val="18"/>
                          <w:szCs w:val="18"/>
                        </w:rPr>
                      </w:pPr>
                      <w:r w:rsidRPr="00B273C6">
                        <w:rPr>
                          <w:rFonts w:cs="Arial"/>
                          <w:color w:val="15272F" w:themeColor="dark1"/>
                          <w:sz w:val="18"/>
                          <w:szCs w:val="18"/>
                        </w:rPr>
                        <w:tab/>
                      </w:r>
                    </w:p>
                    <w:p w14:paraId="45452D40" w14:textId="77777777" w:rsidR="005E7495" w:rsidRPr="00B273C6" w:rsidRDefault="005E7495" w:rsidP="005E7495">
                      <w:pPr>
                        <w:rPr>
                          <w:rFonts w:cs="Arial"/>
                          <w:color w:val="15272F" w:themeColor="dark1"/>
                          <w:sz w:val="18"/>
                          <w:szCs w:val="18"/>
                        </w:rPr>
                      </w:pPr>
                      <w:r w:rsidRPr="00B273C6">
                        <w:rPr>
                          <w:rFonts w:cs="Arial"/>
                          <w:color w:val="15272F" w:themeColor="dark1"/>
                          <w:sz w:val="18"/>
                          <w:szCs w:val="18"/>
                        </w:rPr>
                        <w:t xml:space="preserve">Software is amortised on a straight-line basis over its anticipated useful life.  The useful lives of the entity's software are 1 to 6 years (2025: 1 to 6 years). All software assets were assessed for indications of impairment as at 30 June 2026. </w:t>
                      </w:r>
                    </w:p>
                  </w:txbxContent>
                </v:textbox>
                <w10:wrap anchorx="margin"/>
              </v:shape>
            </w:pict>
          </mc:Fallback>
        </mc:AlternateContent>
      </w:r>
    </w:p>
    <w:p w14:paraId="7ADF7479" w14:textId="77777777" w:rsidR="005E7495" w:rsidRDefault="005E7495" w:rsidP="00724246">
      <w:pPr>
        <w:pStyle w:val="Sectionnumber"/>
        <w:rPr>
          <w:rFonts w:ascii="Arial" w:hAnsi="Arial" w:cs="Arial"/>
          <w:color w:val="15272F" w:themeColor="text1"/>
        </w:rPr>
      </w:pPr>
    </w:p>
    <w:tbl>
      <w:tblPr>
        <w:tblW w:w="9048" w:type="dxa"/>
        <w:tblLook w:val="04A0" w:firstRow="1" w:lastRow="0" w:firstColumn="1" w:lastColumn="0" w:noHBand="0" w:noVBand="1"/>
      </w:tblPr>
      <w:tblGrid>
        <w:gridCol w:w="6456"/>
        <w:gridCol w:w="200"/>
        <w:gridCol w:w="996"/>
        <w:gridCol w:w="200"/>
        <w:gridCol w:w="996"/>
        <w:gridCol w:w="200"/>
      </w:tblGrid>
      <w:tr w:rsidR="005E7495" w:rsidRPr="0002384D" w14:paraId="65249EE0" w14:textId="77777777" w:rsidTr="005E7495">
        <w:trPr>
          <w:gridAfter w:val="1"/>
          <w:wAfter w:w="200" w:type="dxa"/>
          <w:trHeight w:val="300"/>
        </w:trPr>
        <w:tc>
          <w:tcPr>
            <w:tcW w:w="6456" w:type="dxa"/>
            <w:tcBorders>
              <w:top w:val="single" w:sz="4" w:space="0" w:color="FFFFFF"/>
              <w:left w:val="nil"/>
              <w:bottom w:val="single" w:sz="4" w:space="0" w:color="FFFFFF"/>
              <w:right w:val="nil"/>
            </w:tcBorders>
            <w:shd w:val="clear" w:color="000000" w:fill="37424A"/>
            <w:noWrap/>
            <w:vAlign w:val="center"/>
            <w:hideMark/>
          </w:tcPr>
          <w:p w14:paraId="51F8695B" w14:textId="77777777" w:rsidR="005E7495" w:rsidRPr="0002384D" w:rsidRDefault="005E7495" w:rsidP="00856101">
            <w:pPr>
              <w:spacing w:after="0" w:line="240" w:lineRule="auto"/>
              <w:rPr>
                <w:rFonts w:ascii="Cambria" w:eastAsia="Times New Roman" w:hAnsi="Cambria" w:cs="Calibri"/>
                <w:b/>
                <w:bCs/>
                <w:color w:val="FFFFFF"/>
                <w:sz w:val="18"/>
                <w:szCs w:val="18"/>
                <w:lang w:eastAsia="en-AU"/>
              </w:rPr>
            </w:pPr>
            <w:r w:rsidRPr="0002384D">
              <w:rPr>
                <w:rFonts w:ascii="Cambria" w:eastAsia="Times New Roman" w:hAnsi="Cambria" w:cs="Calibri"/>
                <w:b/>
                <w:bCs/>
                <w:color w:val="FFFFFF"/>
                <w:sz w:val="18"/>
                <w:szCs w:val="18"/>
                <w:lang w:eastAsia="en-AU"/>
              </w:rPr>
              <w:lastRenderedPageBreak/>
              <w:t>Note 2.3 Payables</w:t>
            </w:r>
          </w:p>
        </w:tc>
        <w:tc>
          <w:tcPr>
            <w:tcW w:w="1196" w:type="dxa"/>
            <w:gridSpan w:val="2"/>
            <w:tcBorders>
              <w:top w:val="single" w:sz="4" w:space="0" w:color="FFFFFF"/>
              <w:left w:val="nil"/>
              <w:bottom w:val="single" w:sz="4" w:space="0" w:color="FFFFFF"/>
              <w:right w:val="nil"/>
            </w:tcBorders>
            <w:shd w:val="clear" w:color="000000" w:fill="37424A"/>
            <w:noWrap/>
            <w:vAlign w:val="center"/>
            <w:hideMark/>
          </w:tcPr>
          <w:p w14:paraId="41EE9C21" w14:textId="77777777" w:rsidR="005E7495" w:rsidRPr="0002384D" w:rsidRDefault="005E7495" w:rsidP="00856101">
            <w:pPr>
              <w:spacing w:after="0" w:line="240" w:lineRule="auto"/>
              <w:rPr>
                <w:rFonts w:ascii="Cambria" w:eastAsia="Times New Roman" w:hAnsi="Cambria" w:cs="Calibri"/>
                <w:b/>
                <w:bCs/>
                <w:color w:val="FFFFFF"/>
                <w:sz w:val="18"/>
                <w:szCs w:val="18"/>
                <w:lang w:eastAsia="en-AU"/>
              </w:rPr>
            </w:pPr>
            <w:r w:rsidRPr="0002384D">
              <w:rPr>
                <w:rFonts w:ascii="Cambria" w:eastAsia="Times New Roman" w:hAnsi="Cambria" w:cs="Calibri"/>
                <w:b/>
                <w:bCs/>
                <w:color w:val="FFFFFF"/>
                <w:sz w:val="18"/>
                <w:szCs w:val="18"/>
                <w:lang w:eastAsia="en-AU"/>
              </w:rPr>
              <w:t> </w:t>
            </w:r>
          </w:p>
        </w:tc>
        <w:tc>
          <w:tcPr>
            <w:tcW w:w="1196" w:type="dxa"/>
            <w:gridSpan w:val="2"/>
            <w:tcBorders>
              <w:top w:val="single" w:sz="4" w:space="0" w:color="FFFFFF"/>
              <w:left w:val="nil"/>
              <w:bottom w:val="single" w:sz="4" w:space="0" w:color="FFFFFF"/>
              <w:right w:val="nil"/>
            </w:tcBorders>
            <w:shd w:val="clear" w:color="000000" w:fill="37424A"/>
            <w:noWrap/>
            <w:vAlign w:val="center"/>
            <w:hideMark/>
          </w:tcPr>
          <w:p w14:paraId="79E8702E" w14:textId="77777777" w:rsidR="005E7495" w:rsidRPr="0002384D" w:rsidRDefault="005E7495" w:rsidP="00856101">
            <w:pPr>
              <w:spacing w:after="0" w:line="240" w:lineRule="auto"/>
              <w:rPr>
                <w:rFonts w:ascii="Cambria" w:eastAsia="Times New Roman" w:hAnsi="Cambria" w:cs="Calibri"/>
                <w:b/>
                <w:bCs/>
                <w:color w:val="FFFFFF"/>
                <w:sz w:val="18"/>
                <w:szCs w:val="18"/>
                <w:lang w:eastAsia="en-AU"/>
              </w:rPr>
            </w:pPr>
            <w:r w:rsidRPr="0002384D">
              <w:rPr>
                <w:rFonts w:ascii="Cambria" w:eastAsia="Times New Roman" w:hAnsi="Cambria" w:cs="Calibri"/>
                <w:b/>
                <w:bCs/>
                <w:color w:val="FFFFFF"/>
                <w:sz w:val="18"/>
                <w:szCs w:val="18"/>
                <w:lang w:eastAsia="en-AU"/>
              </w:rPr>
              <w:t> </w:t>
            </w:r>
          </w:p>
        </w:tc>
      </w:tr>
      <w:tr w:rsidR="005E7495" w:rsidRPr="0002384D" w14:paraId="5EEBEBD0" w14:textId="77777777" w:rsidTr="005E7495">
        <w:trPr>
          <w:gridAfter w:val="1"/>
          <w:wAfter w:w="200" w:type="dxa"/>
          <w:trHeight w:val="264"/>
        </w:trPr>
        <w:tc>
          <w:tcPr>
            <w:tcW w:w="6456" w:type="dxa"/>
            <w:tcBorders>
              <w:top w:val="nil"/>
              <w:left w:val="nil"/>
              <w:bottom w:val="nil"/>
              <w:right w:val="nil"/>
            </w:tcBorders>
            <w:noWrap/>
            <w:vAlign w:val="bottom"/>
            <w:hideMark/>
          </w:tcPr>
          <w:p w14:paraId="48EFF57B" w14:textId="77777777" w:rsidR="005E7495" w:rsidRPr="0002384D" w:rsidRDefault="005E7495" w:rsidP="00856101">
            <w:pPr>
              <w:spacing w:after="0" w:line="240" w:lineRule="auto"/>
              <w:rPr>
                <w:rFonts w:ascii="Cambria" w:eastAsia="Times New Roman" w:hAnsi="Cambria" w:cs="Calibri"/>
                <w:b/>
                <w:bCs/>
                <w:color w:val="FFFFFF"/>
                <w:sz w:val="18"/>
                <w:szCs w:val="18"/>
                <w:lang w:eastAsia="en-AU"/>
              </w:rPr>
            </w:pPr>
          </w:p>
        </w:tc>
        <w:tc>
          <w:tcPr>
            <w:tcW w:w="1196" w:type="dxa"/>
            <w:gridSpan w:val="2"/>
            <w:tcBorders>
              <w:top w:val="nil"/>
              <w:left w:val="nil"/>
              <w:bottom w:val="nil"/>
              <w:right w:val="nil"/>
            </w:tcBorders>
            <w:noWrap/>
            <w:vAlign w:val="bottom"/>
            <w:hideMark/>
          </w:tcPr>
          <w:p w14:paraId="38A93E0F" w14:textId="77777777" w:rsidR="005E7495" w:rsidRPr="0002384D"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4FBE9F23" w14:textId="77777777" w:rsidR="005E7495" w:rsidRPr="0002384D"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02384D" w14:paraId="2B4F3EB3" w14:textId="77777777" w:rsidTr="005E7495">
        <w:trPr>
          <w:gridAfter w:val="1"/>
          <w:wAfter w:w="200" w:type="dxa"/>
          <w:trHeight w:val="255"/>
        </w:trPr>
        <w:tc>
          <w:tcPr>
            <w:tcW w:w="6456" w:type="dxa"/>
            <w:tcBorders>
              <w:top w:val="nil"/>
              <w:left w:val="nil"/>
              <w:bottom w:val="nil"/>
              <w:right w:val="nil"/>
            </w:tcBorders>
            <w:hideMark/>
          </w:tcPr>
          <w:p w14:paraId="1BC26C32" w14:textId="77777777" w:rsidR="005E7495" w:rsidRPr="0002384D"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vAlign w:val="bottom"/>
            <w:hideMark/>
          </w:tcPr>
          <w:p w14:paraId="0CBD87A5" w14:textId="77777777" w:rsidR="005E7495" w:rsidRPr="0002384D" w:rsidRDefault="005E7495" w:rsidP="00856101">
            <w:pPr>
              <w:spacing w:after="0" w:line="240" w:lineRule="auto"/>
              <w:jc w:val="right"/>
              <w:rPr>
                <w:rFonts w:ascii="Cambria" w:eastAsia="Times New Roman" w:hAnsi="Cambria" w:cs="Calibri"/>
                <w:b/>
                <w:bCs/>
                <w:color w:val="auto"/>
                <w:sz w:val="18"/>
                <w:szCs w:val="18"/>
                <w:lang w:eastAsia="en-AU"/>
              </w:rPr>
            </w:pPr>
            <w:r w:rsidRPr="0002384D">
              <w:rPr>
                <w:rFonts w:ascii="Cambria" w:eastAsia="Times New Roman" w:hAnsi="Cambria" w:cs="Calibri"/>
                <w:b/>
                <w:bCs/>
                <w:color w:val="auto"/>
                <w:sz w:val="18"/>
                <w:szCs w:val="18"/>
                <w:lang w:eastAsia="en-AU"/>
              </w:rPr>
              <w:t>2026</w:t>
            </w:r>
          </w:p>
        </w:tc>
        <w:tc>
          <w:tcPr>
            <w:tcW w:w="1196" w:type="dxa"/>
            <w:gridSpan w:val="2"/>
            <w:tcBorders>
              <w:top w:val="nil"/>
              <w:left w:val="nil"/>
              <w:bottom w:val="nil"/>
              <w:right w:val="nil"/>
            </w:tcBorders>
            <w:vAlign w:val="bottom"/>
            <w:hideMark/>
          </w:tcPr>
          <w:p w14:paraId="5E09715F" w14:textId="77777777" w:rsidR="005E7495" w:rsidRPr="0002384D" w:rsidRDefault="005E7495" w:rsidP="00856101">
            <w:pPr>
              <w:spacing w:after="0" w:line="240" w:lineRule="auto"/>
              <w:jc w:val="right"/>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2025</w:t>
            </w:r>
          </w:p>
        </w:tc>
      </w:tr>
      <w:tr w:rsidR="005E7495" w:rsidRPr="0002384D" w14:paraId="4EBC72DB" w14:textId="77777777" w:rsidTr="005E7495">
        <w:trPr>
          <w:gridAfter w:val="1"/>
          <w:wAfter w:w="200" w:type="dxa"/>
          <w:trHeight w:val="255"/>
        </w:trPr>
        <w:tc>
          <w:tcPr>
            <w:tcW w:w="6456" w:type="dxa"/>
            <w:tcBorders>
              <w:top w:val="nil"/>
              <w:left w:val="nil"/>
              <w:bottom w:val="single" w:sz="8" w:space="0" w:color="009560"/>
              <w:right w:val="nil"/>
            </w:tcBorders>
            <w:hideMark/>
          </w:tcPr>
          <w:p w14:paraId="1A25362A" w14:textId="77777777" w:rsidR="005E7495" w:rsidRPr="0002384D" w:rsidRDefault="005E7495" w:rsidP="00856101">
            <w:pPr>
              <w:spacing w:after="0" w:line="240" w:lineRule="auto"/>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 </w:t>
            </w:r>
          </w:p>
        </w:tc>
        <w:tc>
          <w:tcPr>
            <w:tcW w:w="1196" w:type="dxa"/>
            <w:gridSpan w:val="2"/>
            <w:tcBorders>
              <w:top w:val="nil"/>
              <w:left w:val="nil"/>
              <w:bottom w:val="single" w:sz="8" w:space="0" w:color="009560"/>
              <w:right w:val="nil"/>
            </w:tcBorders>
            <w:hideMark/>
          </w:tcPr>
          <w:p w14:paraId="209BBAA2" w14:textId="77777777" w:rsidR="005E7495" w:rsidRPr="0002384D" w:rsidRDefault="005E7495" w:rsidP="00856101">
            <w:pPr>
              <w:spacing w:after="0" w:line="240" w:lineRule="auto"/>
              <w:jc w:val="right"/>
              <w:rPr>
                <w:rFonts w:ascii="Cambria" w:eastAsia="Times New Roman" w:hAnsi="Cambria" w:cs="Calibri"/>
                <w:b/>
                <w:bCs/>
                <w:color w:val="auto"/>
                <w:sz w:val="18"/>
                <w:szCs w:val="18"/>
                <w:lang w:eastAsia="en-AU"/>
              </w:rPr>
            </w:pPr>
            <w:r w:rsidRPr="0002384D">
              <w:rPr>
                <w:rFonts w:ascii="Cambria" w:eastAsia="Times New Roman" w:hAnsi="Cambria" w:cs="Calibri"/>
                <w:b/>
                <w:bCs/>
                <w:color w:val="auto"/>
                <w:sz w:val="18"/>
                <w:szCs w:val="18"/>
                <w:lang w:eastAsia="en-AU"/>
              </w:rPr>
              <w:t>$’000</w:t>
            </w:r>
          </w:p>
        </w:tc>
        <w:tc>
          <w:tcPr>
            <w:tcW w:w="1196" w:type="dxa"/>
            <w:gridSpan w:val="2"/>
            <w:tcBorders>
              <w:top w:val="nil"/>
              <w:left w:val="nil"/>
              <w:bottom w:val="single" w:sz="8" w:space="0" w:color="009560"/>
              <w:right w:val="nil"/>
            </w:tcBorders>
            <w:hideMark/>
          </w:tcPr>
          <w:p w14:paraId="1153965F" w14:textId="77777777" w:rsidR="005E7495" w:rsidRPr="0002384D" w:rsidRDefault="005E7495" w:rsidP="00856101">
            <w:pPr>
              <w:spacing w:after="0" w:line="240" w:lineRule="auto"/>
              <w:jc w:val="right"/>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$’000</w:t>
            </w:r>
          </w:p>
        </w:tc>
      </w:tr>
      <w:tr w:rsidR="005E7495" w:rsidRPr="0002384D" w14:paraId="5D61943B" w14:textId="77777777" w:rsidTr="005E7495">
        <w:trPr>
          <w:gridAfter w:val="1"/>
          <w:wAfter w:w="200" w:type="dxa"/>
          <w:trHeight w:val="255"/>
        </w:trPr>
        <w:tc>
          <w:tcPr>
            <w:tcW w:w="6456" w:type="dxa"/>
            <w:tcBorders>
              <w:top w:val="nil"/>
              <w:left w:val="nil"/>
              <w:bottom w:val="nil"/>
              <w:right w:val="nil"/>
            </w:tcBorders>
            <w:hideMark/>
          </w:tcPr>
          <w:p w14:paraId="2E8F2C2D" w14:textId="77777777" w:rsidR="005E7495" w:rsidRPr="0002384D" w:rsidRDefault="005E7495" w:rsidP="00856101">
            <w:pPr>
              <w:spacing w:after="0" w:line="240" w:lineRule="auto"/>
              <w:jc w:val="right"/>
              <w:rPr>
                <w:rFonts w:ascii="Cambria" w:eastAsia="Times New Roman" w:hAnsi="Cambria" w:cs="Calibri"/>
                <w:color w:val="auto"/>
                <w:sz w:val="18"/>
                <w:szCs w:val="18"/>
                <w:lang w:eastAsia="en-AU"/>
              </w:rPr>
            </w:pPr>
          </w:p>
        </w:tc>
        <w:tc>
          <w:tcPr>
            <w:tcW w:w="1196" w:type="dxa"/>
            <w:gridSpan w:val="2"/>
            <w:tcBorders>
              <w:top w:val="nil"/>
              <w:left w:val="nil"/>
              <w:bottom w:val="nil"/>
              <w:right w:val="nil"/>
            </w:tcBorders>
            <w:hideMark/>
          </w:tcPr>
          <w:p w14:paraId="459E9469" w14:textId="77777777" w:rsidR="005E7495" w:rsidRPr="0002384D"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hideMark/>
          </w:tcPr>
          <w:p w14:paraId="6FB066B8" w14:textId="77777777" w:rsidR="005E7495" w:rsidRPr="0002384D"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02384D" w14:paraId="7EE4C178" w14:textId="77777777" w:rsidTr="005E7495">
        <w:trPr>
          <w:gridAfter w:val="1"/>
          <w:wAfter w:w="200" w:type="dxa"/>
          <w:trHeight w:val="240"/>
        </w:trPr>
        <w:tc>
          <w:tcPr>
            <w:tcW w:w="6456" w:type="dxa"/>
            <w:tcBorders>
              <w:top w:val="nil"/>
              <w:left w:val="nil"/>
              <w:bottom w:val="nil"/>
              <w:right w:val="nil"/>
            </w:tcBorders>
            <w:noWrap/>
            <w:hideMark/>
          </w:tcPr>
          <w:p w14:paraId="03809126" w14:textId="77777777" w:rsidR="005E7495" w:rsidRPr="0002384D" w:rsidRDefault="005E7495" w:rsidP="00856101">
            <w:pPr>
              <w:spacing w:after="0" w:line="240" w:lineRule="auto"/>
              <w:rPr>
                <w:rFonts w:ascii="Cambria" w:eastAsia="Times New Roman" w:hAnsi="Cambria" w:cs="Calibri"/>
                <w:b/>
                <w:bCs/>
                <w:color w:val="auto"/>
                <w:sz w:val="18"/>
                <w:szCs w:val="18"/>
                <w:u w:val="single"/>
                <w:lang w:eastAsia="en-AU"/>
              </w:rPr>
            </w:pPr>
            <w:r w:rsidRPr="0002384D">
              <w:rPr>
                <w:rFonts w:ascii="Cambria" w:eastAsia="Times New Roman" w:hAnsi="Cambria" w:cs="Calibri"/>
                <w:b/>
                <w:bCs/>
                <w:color w:val="auto"/>
                <w:sz w:val="18"/>
                <w:szCs w:val="18"/>
                <w:u w:val="single"/>
                <w:lang w:eastAsia="en-AU"/>
              </w:rPr>
              <w:t>Note 2.3A: Suppliers</w:t>
            </w:r>
          </w:p>
        </w:tc>
        <w:tc>
          <w:tcPr>
            <w:tcW w:w="1196" w:type="dxa"/>
            <w:gridSpan w:val="2"/>
            <w:tcBorders>
              <w:top w:val="nil"/>
              <w:left w:val="nil"/>
              <w:bottom w:val="nil"/>
              <w:right w:val="nil"/>
            </w:tcBorders>
            <w:noWrap/>
            <w:vAlign w:val="bottom"/>
            <w:hideMark/>
          </w:tcPr>
          <w:p w14:paraId="764D1FFD" w14:textId="77777777" w:rsidR="005E7495" w:rsidRPr="0002384D" w:rsidRDefault="005E7495" w:rsidP="00856101">
            <w:pPr>
              <w:spacing w:after="0" w:line="240" w:lineRule="auto"/>
              <w:rPr>
                <w:rFonts w:ascii="Cambria" w:eastAsia="Times New Roman" w:hAnsi="Cambria" w:cs="Calibri"/>
                <w:b/>
                <w:bCs/>
                <w:color w:val="auto"/>
                <w:sz w:val="18"/>
                <w:szCs w:val="18"/>
                <w:u w:val="single"/>
                <w:lang w:eastAsia="en-AU"/>
              </w:rPr>
            </w:pPr>
          </w:p>
        </w:tc>
        <w:tc>
          <w:tcPr>
            <w:tcW w:w="1196" w:type="dxa"/>
            <w:gridSpan w:val="2"/>
            <w:tcBorders>
              <w:top w:val="nil"/>
              <w:left w:val="nil"/>
              <w:bottom w:val="nil"/>
              <w:right w:val="nil"/>
            </w:tcBorders>
            <w:vAlign w:val="bottom"/>
            <w:hideMark/>
          </w:tcPr>
          <w:p w14:paraId="07D12E2A" w14:textId="77777777" w:rsidR="005E7495" w:rsidRPr="0002384D"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02384D" w14:paraId="3A1284EA" w14:textId="77777777" w:rsidTr="005E7495">
        <w:trPr>
          <w:gridAfter w:val="1"/>
          <w:wAfter w:w="200" w:type="dxa"/>
          <w:trHeight w:val="240"/>
        </w:trPr>
        <w:tc>
          <w:tcPr>
            <w:tcW w:w="6456" w:type="dxa"/>
            <w:tcBorders>
              <w:top w:val="nil"/>
              <w:left w:val="nil"/>
              <w:bottom w:val="nil"/>
              <w:right w:val="nil"/>
            </w:tcBorders>
            <w:hideMark/>
          </w:tcPr>
          <w:p w14:paraId="28DF0BFC" w14:textId="77777777" w:rsidR="005E7495" w:rsidRPr="0002384D" w:rsidRDefault="005E7495" w:rsidP="00856101">
            <w:pPr>
              <w:spacing w:after="0" w:line="240" w:lineRule="auto"/>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Trade creditors and accruals</w:t>
            </w:r>
          </w:p>
        </w:tc>
        <w:tc>
          <w:tcPr>
            <w:tcW w:w="1196" w:type="dxa"/>
            <w:gridSpan w:val="2"/>
            <w:tcBorders>
              <w:top w:val="nil"/>
              <w:left w:val="nil"/>
              <w:bottom w:val="nil"/>
              <w:right w:val="nil"/>
            </w:tcBorders>
            <w:noWrap/>
            <w:vAlign w:val="bottom"/>
            <w:hideMark/>
          </w:tcPr>
          <w:p w14:paraId="0FDB91E6" w14:textId="77777777" w:rsidR="005E7495" w:rsidRPr="0002384D" w:rsidRDefault="005E7495" w:rsidP="00856101">
            <w:pPr>
              <w:spacing w:after="0" w:line="240" w:lineRule="auto"/>
              <w:jc w:val="right"/>
              <w:rPr>
                <w:rFonts w:ascii="Cambria" w:eastAsia="Times New Roman" w:hAnsi="Cambria" w:cs="Calibri"/>
                <w:b/>
                <w:bCs/>
                <w:color w:val="auto"/>
                <w:sz w:val="18"/>
                <w:szCs w:val="18"/>
                <w:lang w:eastAsia="en-AU"/>
              </w:rPr>
            </w:pPr>
            <w:r w:rsidRPr="0002384D">
              <w:rPr>
                <w:rFonts w:ascii="Cambria" w:eastAsia="Times New Roman" w:hAnsi="Cambria" w:cs="Calibri"/>
                <w:b/>
                <w:bCs/>
                <w:color w:val="auto"/>
                <w:sz w:val="18"/>
                <w:szCs w:val="18"/>
                <w:lang w:eastAsia="en-AU"/>
              </w:rPr>
              <w:t xml:space="preserve">3,675 </w:t>
            </w:r>
          </w:p>
        </w:tc>
        <w:tc>
          <w:tcPr>
            <w:tcW w:w="1196" w:type="dxa"/>
            <w:gridSpan w:val="2"/>
            <w:tcBorders>
              <w:top w:val="nil"/>
              <w:left w:val="nil"/>
              <w:bottom w:val="nil"/>
              <w:right w:val="nil"/>
            </w:tcBorders>
            <w:noWrap/>
            <w:vAlign w:val="bottom"/>
            <w:hideMark/>
          </w:tcPr>
          <w:p w14:paraId="7578E5BD" w14:textId="77777777" w:rsidR="005E7495" w:rsidRPr="0002384D" w:rsidRDefault="005E7495" w:rsidP="00856101">
            <w:pPr>
              <w:spacing w:after="0" w:line="240" w:lineRule="auto"/>
              <w:jc w:val="right"/>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 xml:space="preserve">2,337 </w:t>
            </w:r>
          </w:p>
        </w:tc>
      </w:tr>
      <w:tr w:rsidR="005E7495" w:rsidRPr="0002384D" w14:paraId="7EB7F87D" w14:textId="77777777" w:rsidTr="005E7495">
        <w:trPr>
          <w:gridAfter w:val="1"/>
          <w:wAfter w:w="200" w:type="dxa"/>
          <w:trHeight w:val="240"/>
        </w:trPr>
        <w:tc>
          <w:tcPr>
            <w:tcW w:w="6456" w:type="dxa"/>
            <w:tcBorders>
              <w:top w:val="nil"/>
              <w:left w:val="nil"/>
              <w:bottom w:val="nil"/>
              <w:right w:val="nil"/>
            </w:tcBorders>
            <w:hideMark/>
          </w:tcPr>
          <w:p w14:paraId="7381C538" w14:textId="77777777" w:rsidR="005E7495" w:rsidRPr="0002384D" w:rsidRDefault="005E7495" w:rsidP="00856101">
            <w:pPr>
              <w:spacing w:after="0" w:line="240" w:lineRule="auto"/>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Contract liabilities from contracts with customers</w:t>
            </w:r>
          </w:p>
        </w:tc>
        <w:tc>
          <w:tcPr>
            <w:tcW w:w="1196" w:type="dxa"/>
            <w:gridSpan w:val="2"/>
            <w:tcBorders>
              <w:top w:val="nil"/>
              <w:left w:val="nil"/>
              <w:bottom w:val="nil"/>
              <w:right w:val="nil"/>
            </w:tcBorders>
            <w:noWrap/>
            <w:vAlign w:val="bottom"/>
            <w:hideMark/>
          </w:tcPr>
          <w:p w14:paraId="5477E8BB" w14:textId="77777777" w:rsidR="005E7495" w:rsidRPr="0002384D" w:rsidRDefault="005E7495" w:rsidP="00856101">
            <w:pPr>
              <w:spacing w:after="0" w:line="240" w:lineRule="auto"/>
              <w:jc w:val="right"/>
              <w:rPr>
                <w:rFonts w:ascii="Cambria" w:eastAsia="Times New Roman" w:hAnsi="Cambria" w:cs="Calibri"/>
                <w:b/>
                <w:bCs/>
                <w:color w:val="auto"/>
                <w:sz w:val="18"/>
                <w:szCs w:val="18"/>
                <w:lang w:eastAsia="en-AU"/>
              </w:rPr>
            </w:pPr>
            <w:r w:rsidRPr="0002384D">
              <w:rPr>
                <w:rFonts w:ascii="Cambria" w:eastAsia="Times New Roman" w:hAnsi="Cambria" w:cs="Calibri"/>
                <w:b/>
                <w:bCs/>
                <w:color w:val="auto"/>
                <w:sz w:val="18"/>
                <w:szCs w:val="18"/>
                <w:lang w:eastAsia="en-AU"/>
              </w:rPr>
              <w:t xml:space="preserve"> - </w:t>
            </w:r>
          </w:p>
        </w:tc>
        <w:tc>
          <w:tcPr>
            <w:tcW w:w="1196" w:type="dxa"/>
            <w:gridSpan w:val="2"/>
            <w:tcBorders>
              <w:top w:val="nil"/>
              <w:left w:val="nil"/>
              <w:bottom w:val="nil"/>
              <w:right w:val="nil"/>
            </w:tcBorders>
            <w:noWrap/>
            <w:vAlign w:val="bottom"/>
            <w:hideMark/>
          </w:tcPr>
          <w:p w14:paraId="172843A6" w14:textId="77777777" w:rsidR="005E7495" w:rsidRPr="0002384D" w:rsidRDefault="005E7495" w:rsidP="00856101">
            <w:pPr>
              <w:spacing w:after="0" w:line="240" w:lineRule="auto"/>
              <w:jc w:val="right"/>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 xml:space="preserve">98 </w:t>
            </w:r>
          </w:p>
        </w:tc>
      </w:tr>
      <w:tr w:rsidR="005E7495" w:rsidRPr="0002384D" w14:paraId="3C34B244" w14:textId="77777777" w:rsidTr="005E7495">
        <w:trPr>
          <w:gridAfter w:val="1"/>
          <w:wAfter w:w="200" w:type="dxa"/>
          <w:trHeight w:val="240"/>
        </w:trPr>
        <w:tc>
          <w:tcPr>
            <w:tcW w:w="6456" w:type="dxa"/>
            <w:tcBorders>
              <w:top w:val="nil"/>
              <w:left w:val="nil"/>
              <w:bottom w:val="nil"/>
              <w:right w:val="nil"/>
            </w:tcBorders>
            <w:hideMark/>
          </w:tcPr>
          <w:p w14:paraId="72C4D4A9" w14:textId="77777777" w:rsidR="005E7495" w:rsidRPr="0002384D" w:rsidRDefault="005E7495" w:rsidP="00856101">
            <w:pPr>
              <w:spacing w:after="0" w:line="240" w:lineRule="auto"/>
              <w:rPr>
                <w:rFonts w:ascii="Cambria" w:eastAsia="Times New Roman" w:hAnsi="Cambria" w:cs="Calibri"/>
                <w:b/>
                <w:bCs/>
                <w:color w:val="auto"/>
                <w:sz w:val="18"/>
                <w:szCs w:val="18"/>
                <w:lang w:eastAsia="en-AU"/>
              </w:rPr>
            </w:pPr>
            <w:r w:rsidRPr="0002384D">
              <w:rPr>
                <w:rFonts w:ascii="Cambria" w:eastAsia="Times New Roman" w:hAnsi="Cambria" w:cs="Calibri"/>
                <w:b/>
                <w:bCs/>
                <w:color w:val="auto"/>
                <w:sz w:val="18"/>
                <w:szCs w:val="18"/>
                <w:lang w:eastAsia="en-AU"/>
              </w:rPr>
              <w:t>Total suppliers</w:t>
            </w:r>
          </w:p>
        </w:tc>
        <w:tc>
          <w:tcPr>
            <w:tcW w:w="1196" w:type="dxa"/>
            <w:gridSpan w:val="2"/>
            <w:tcBorders>
              <w:top w:val="single" w:sz="4" w:space="0" w:color="auto"/>
              <w:left w:val="nil"/>
              <w:bottom w:val="single" w:sz="4" w:space="0" w:color="auto"/>
              <w:right w:val="nil"/>
            </w:tcBorders>
            <w:noWrap/>
            <w:vAlign w:val="bottom"/>
            <w:hideMark/>
          </w:tcPr>
          <w:p w14:paraId="041F3DFA" w14:textId="77777777" w:rsidR="005E7495" w:rsidRPr="0002384D" w:rsidRDefault="005E7495" w:rsidP="00856101">
            <w:pPr>
              <w:spacing w:after="0" w:line="240" w:lineRule="auto"/>
              <w:jc w:val="right"/>
              <w:rPr>
                <w:rFonts w:ascii="Cambria" w:eastAsia="Times New Roman" w:hAnsi="Cambria" w:cs="Calibri"/>
                <w:b/>
                <w:bCs/>
                <w:color w:val="auto"/>
                <w:sz w:val="18"/>
                <w:szCs w:val="18"/>
                <w:lang w:eastAsia="en-AU"/>
              </w:rPr>
            </w:pPr>
            <w:r w:rsidRPr="0002384D">
              <w:rPr>
                <w:rFonts w:ascii="Cambria" w:eastAsia="Times New Roman" w:hAnsi="Cambria" w:cs="Calibri"/>
                <w:b/>
                <w:bCs/>
                <w:color w:val="auto"/>
                <w:sz w:val="18"/>
                <w:szCs w:val="18"/>
                <w:lang w:eastAsia="en-AU"/>
              </w:rPr>
              <w:t xml:space="preserve">3,675 </w:t>
            </w:r>
          </w:p>
        </w:tc>
        <w:tc>
          <w:tcPr>
            <w:tcW w:w="1196" w:type="dxa"/>
            <w:gridSpan w:val="2"/>
            <w:tcBorders>
              <w:top w:val="single" w:sz="4" w:space="0" w:color="auto"/>
              <w:left w:val="nil"/>
              <w:bottom w:val="single" w:sz="4" w:space="0" w:color="auto"/>
              <w:right w:val="nil"/>
            </w:tcBorders>
            <w:noWrap/>
            <w:vAlign w:val="bottom"/>
            <w:hideMark/>
          </w:tcPr>
          <w:p w14:paraId="3D99468F" w14:textId="77777777" w:rsidR="005E7495" w:rsidRPr="0002384D" w:rsidRDefault="005E7495" w:rsidP="00856101">
            <w:pPr>
              <w:spacing w:after="0" w:line="240" w:lineRule="auto"/>
              <w:jc w:val="right"/>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 xml:space="preserve">2,435 </w:t>
            </w:r>
          </w:p>
        </w:tc>
      </w:tr>
      <w:tr w:rsidR="005E7495" w:rsidRPr="0002384D" w14:paraId="53397445" w14:textId="77777777" w:rsidTr="005E7495">
        <w:trPr>
          <w:gridAfter w:val="1"/>
          <w:wAfter w:w="200" w:type="dxa"/>
          <w:trHeight w:val="240"/>
        </w:trPr>
        <w:tc>
          <w:tcPr>
            <w:tcW w:w="6456" w:type="dxa"/>
            <w:tcBorders>
              <w:top w:val="nil"/>
              <w:left w:val="nil"/>
              <w:bottom w:val="nil"/>
              <w:right w:val="nil"/>
            </w:tcBorders>
            <w:hideMark/>
          </w:tcPr>
          <w:p w14:paraId="4CA7BE22" w14:textId="77777777" w:rsidR="005E7495" w:rsidRPr="0002384D" w:rsidRDefault="005E7495" w:rsidP="00856101">
            <w:pPr>
              <w:spacing w:after="0" w:line="240" w:lineRule="auto"/>
              <w:jc w:val="right"/>
              <w:rPr>
                <w:rFonts w:ascii="Cambria" w:eastAsia="Times New Roman" w:hAnsi="Cambria" w:cs="Calibri"/>
                <w:color w:val="auto"/>
                <w:sz w:val="18"/>
                <w:szCs w:val="18"/>
                <w:lang w:eastAsia="en-AU"/>
              </w:rPr>
            </w:pPr>
          </w:p>
        </w:tc>
        <w:tc>
          <w:tcPr>
            <w:tcW w:w="1196" w:type="dxa"/>
            <w:gridSpan w:val="2"/>
            <w:tcBorders>
              <w:top w:val="nil"/>
              <w:left w:val="nil"/>
              <w:bottom w:val="nil"/>
              <w:right w:val="nil"/>
            </w:tcBorders>
            <w:noWrap/>
            <w:vAlign w:val="bottom"/>
            <w:hideMark/>
          </w:tcPr>
          <w:p w14:paraId="5A35F99D" w14:textId="77777777" w:rsidR="005E7495" w:rsidRPr="0002384D"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63B5DF03" w14:textId="77777777" w:rsidR="005E7495" w:rsidRPr="0002384D"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02384D" w14:paraId="74BF57F6" w14:textId="77777777" w:rsidTr="005E7495">
        <w:trPr>
          <w:gridAfter w:val="1"/>
          <w:wAfter w:w="200" w:type="dxa"/>
          <w:trHeight w:val="240"/>
        </w:trPr>
        <w:tc>
          <w:tcPr>
            <w:tcW w:w="6456" w:type="dxa"/>
            <w:tcBorders>
              <w:top w:val="nil"/>
              <w:left w:val="nil"/>
              <w:bottom w:val="nil"/>
              <w:right w:val="nil"/>
            </w:tcBorders>
            <w:hideMark/>
          </w:tcPr>
          <w:p w14:paraId="5E2E5069" w14:textId="77777777" w:rsidR="005E7495" w:rsidRPr="0002384D" w:rsidRDefault="005E7495" w:rsidP="00856101">
            <w:pPr>
              <w:spacing w:after="0" w:line="240" w:lineRule="auto"/>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Trade creditors settlement terms are 30 days.</w:t>
            </w:r>
          </w:p>
        </w:tc>
        <w:tc>
          <w:tcPr>
            <w:tcW w:w="1196" w:type="dxa"/>
            <w:gridSpan w:val="2"/>
            <w:tcBorders>
              <w:top w:val="nil"/>
              <w:left w:val="nil"/>
              <w:bottom w:val="nil"/>
              <w:right w:val="nil"/>
            </w:tcBorders>
            <w:noWrap/>
            <w:vAlign w:val="bottom"/>
            <w:hideMark/>
          </w:tcPr>
          <w:p w14:paraId="31CFA1B7" w14:textId="77777777" w:rsidR="005E7495" w:rsidRPr="0002384D" w:rsidRDefault="005E7495" w:rsidP="00856101">
            <w:pPr>
              <w:spacing w:after="0" w:line="240" w:lineRule="auto"/>
              <w:rPr>
                <w:rFonts w:ascii="Cambria" w:eastAsia="Times New Roman" w:hAnsi="Cambria" w:cs="Calibri"/>
                <w:color w:val="auto"/>
                <w:sz w:val="18"/>
                <w:szCs w:val="18"/>
                <w:lang w:eastAsia="en-AU"/>
              </w:rPr>
            </w:pPr>
          </w:p>
        </w:tc>
        <w:tc>
          <w:tcPr>
            <w:tcW w:w="1196" w:type="dxa"/>
            <w:gridSpan w:val="2"/>
            <w:tcBorders>
              <w:top w:val="nil"/>
              <w:left w:val="nil"/>
              <w:bottom w:val="nil"/>
              <w:right w:val="nil"/>
            </w:tcBorders>
            <w:noWrap/>
            <w:vAlign w:val="bottom"/>
            <w:hideMark/>
          </w:tcPr>
          <w:p w14:paraId="057BAD98" w14:textId="77777777" w:rsidR="005E7495" w:rsidRPr="0002384D"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02384D" w14:paraId="3A53417A" w14:textId="77777777" w:rsidTr="005E7495">
        <w:trPr>
          <w:gridAfter w:val="1"/>
          <w:wAfter w:w="200" w:type="dxa"/>
          <w:trHeight w:val="240"/>
        </w:trPr>
        <w:tc>
          <w:tcPr>
            <w:tcW w:w="8848" w:type="dxa"/>
            <w:gridSpan w:val="5"/>
            <w:tcBorders>
              <w:top w:val="nil"/>
              <w:left w:val="nil"/>
              <w:bottom w:val="nil"/>
              <w:right w:val="nil"/>
            </w:tcBorders>
            <w:noWrap/>
            <w:hideMark/>
          </w:tcPr>
          <w:p w14:paraId="6B9E7DF6" w14:textId="77777777" w:rsidR="005E7495" w:rsidRPr="0002384D" w:rsidRDefault="005E7495" w:rsidP="00856101">
            <w:pPr>
              <w:spacing w:after="0" w:line="240" w:lineRule="auto"/>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The contract liabilities from contracts with customers are associated with prepaid conference revenue.</w:t>
            </w:r>
          </w:p>
        </w:tc>
      </w:tr>
      <w:tr w:rsidR="005E7495" w:rsidRPr="0002384D" w14:paraId="4B88C501" w14:textId="77777777" w:rsidTr="005E7495">
        <w:trPr>
          <w:gridAfter w:val="1"/>
          <w:wAfter w:w="200" w:type="dxa"/>
          <w:trHeight w:val="240"/>
        </w:trPr>
        <w:tc>
          <w:tcPr>
            <w:tcW w:w="6456" w:type="dxa"/>
            <w:tcBorders>
              <w:top w:val="nil"/>
              <w:left w:val="nil"/>
              <w:bottom w:val="nil"/>
              <w:right w:val="nil"/>
            </w:tcBorders>
            <w:hideMark/>
          </w:tcPr>
          <w:p w14:paraId="2703A995" w14:textId="77777777" w:rsidR="005E7495" w:rsidRPr="0002384D" w:rsidRDefault="005E7495" w:rsidP="00856101">
            <w:pPr>
              <w:spacing w:after="0" w:line="240" w:lineRule="auto"/>
              <w:rPr>
                <w:rFonts w:ascii="Cambria" w:eastAsia="Times New Roman" w:hAnsi="Cambria" w:cs="Calibri"/>
                <w:color w:val="auto"/>
                <w:sz w:val="18"/>
                <w:szCs w:val="18"/>
                <w:lang w:eastAsia="en-AU"/>
              </w:rPr>
            </w:pPr>
          </w:p>
        </w:tc>
        <w:tc>
          <w:tcPr>
            <w:tcW w:w="1196" w:type="dxa"/>
            <w:gridSpan w:val="2"/>
            <w:tcBorders>
              <w:top w:val="nil"/>
              <w:left w:val="nil"/>
              <w:bottom w:val="nil"/>
              <w:right w:val="nil"/>
            </w:tcBorders>
            <w:noWrap/>
            <w:vAlign w:val="bottom"/>
            <w:hideMark/>
          </w:tcPr>
          <w:p w14:paraId="528D7ED0" w14:textId="77777777" w:rsidR="005E7495" w:rsidRPr="0002384D"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1946C88F" w14:textId="77777777" w:rsidR="005E7495" w:rsidRPr="0002384D"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02384D" w14:paraId="6919F8EA" w14:textId="77777777" w:rsidTr="005E7495">
        <w:trPr>
          <w:gridAfter w:val="1"/>
          <w:wAfter w:w="200" w:type="dxa"/>
          <w:trHeight w:val="240"/>
        </w:trPr>
        <w:tc>
          <w:tcPr>
            <w:tcW w:w="6456" w:type="dxa"/>
            <w:tcBorders>
              <w:top w:val="nil"/>
              <w:left w:val="nil"/>
              <w:bottom w:val="nil"/>
              <w:right w:val="nil"/>
            </w:tcBorders>
            <w:noWrap/>
            <w:hideMark/>
          </w:tcPr>
          <w:p w14:paraId="58FA93E6" w14:textId="77777777" w:rsidR="005E7495" w:rsidRPr="0002384D" w:rsidRDefault="005E7495" w:rsidP="00856101">
            <w:pPr>
              <w:spacing w:after="0" w:line="240" w:lineRule="auto"/>
              <w:rPr>
                <w:rFonts w:ascii="Cambria" w:eastAsia="Times New Roman" w:hAnsi="Cambria" w:cs="Calibri"/>
                <w:b/>
                <w:bCs/>
                <w:color w:val="auto"/>
                <w:sz w:val="18"/>
                <w:szCs w:val="18"/>
                <w:u w:val="single"/>
                <w:lang w:eastAsia="en-AU"/>
              </w:rPr>
            </w:pPr>
            <w:r w:rsidRPr="0002384D">
              <w:rPr>
                <w:rFonts w:ascii="Cambria" w:eastAsia="Times New Roman" w:hAnsi="Cambria" w:cs="Calibri"/>
                <w:b/>
                <w:bCs/>
                <w:color w:val="auto"/>
                <w:sz w:val="18"/>
                <w:szCs w:val="18"/>
                <w:u w:val="single"/>
                <w:lang w:eastAsia="en-AU"/>
              </w:rPr>
              <w:t>Note 2.3B: Other Payables</w:t>
            </w:r>
          </w:p>
        </w:tc>
        <w:tc>
          <w:tcPr>
            <w:tcW w:w="1196" w:type="dxa"/>
            <w:gridSpan w:val="2"/>
            <w:tcBorders>
              <w:top w:val="nil"/>
              <w:left w:val="nil"/>
              <w:bottom w:val="nil"/>
              <w:right w:val="nil"/>
            </w:tcBorders>
            <w:noWrap/>
            <w:vAlign w:val="bottom"/>
            <w:hideMark/>
          </w:tcPr>
          <w:p w14:paraId="2008C4E9" w14:textId="77777777" w:rsidR="005E7495" w:rsidRPr="0002384D" w:rsidRDefault="005E7495" w:rsidP="00856101">
            <w:pPr>
              <w:spacing w:after="0" w:line="240" w:lineRule="auto"/>
              <w:rPr>
                <w:rFonts w:ascii="Cambria" w:eastAsia="Times New Roman" w:hAnsi="Cambria" w:cs="Calibri"/>
                <w:b/>
                <w:bCs/>
                <w:color w:val="auto"/>
                <w:sz w:val="18"/>
                <w:szCs w:val="18"/>
                <w:u w:val="single"/>
                <w:lang w:eastAsia="en-AU"/>
              </w:rPr>
            </w:pPr>
          </w:p>
        </w:tc>
        <w:tc>
          <w:tcPr>
            <w:tcW w:w="1196" w:type="dxa"/>
            <w:gridSpan w:val="2"/>
            <w:tcBorders>
              <w:top w:val="nil"/>
              <w:left w:val="nil"/>
              <w:bottom w:val="nil"/>
              <w:right w:val="nil"/>
            </w:tcBorders>
            <w:noWrap/>
            <w:vAlign w:val="bottom"/>
            <w:hideMark/>
          </w:tcPr>
          <w:p w14:paraId="0B76D6C5" w14:textId="77777777" w:rsidR="005E7495" w:rsidRPr="0002384D"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02384D" w14:paraId="758173E6" w14:textId="77777777" w:rsidTr="005E7495">
        <w:trPr>
          <w:gridAfter w:val="1"/>
          <w:wAfter w:w="200" w:type="dxa"/>
          <w:trHeight w:val="270"/>
        </w:trPr>
        <w:tc>
          <w:tcPr>
            <w:tcW w:w="6456" w:type="dxa"/>
            <w:tcBorders>
              <w:top w:val="nil"/>
              <w:left w:val="nil"/>
              <w:bottom w:val="nil"/>
              <w:right w:val="nil"/>
            </w:tcBorders>
            <w:hideMark/>
          </w:tcPr>
          <w:p w14:paraId="246F0F70" w14:textId="77777777" w:rsidR="005E7495" w:rsidRPr="0002384D" w:rsidRDefault="005E7495" w:rsidP="00856101">
            <w:pPr>
              <w:spacing w:after="0" w:line="240" w:lineRule="auto"/>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Salaries and wages</w:t>
            </w:r>
          </w:p>
        </w:tc>
        <w:tc>
          <w:tcPr>
            <w:tcW w:w="1196" w:type="dxa"/>
            <w:gridSpan w:val="2"/>
            <w:tcBorders>
              <w:top w:val="nil"/>
              <w:left w:val="nil"/>
              <w:bottom w:val="nil"/>
              <w:right w:val="nil"/>
            </w:tcBorders>
            <w:noWrap/>
            <w:vAlign w:val="bottom"/>
            <w:hideMark/>
          </w:tcPr>
          <w:p w14:paraId="53AFFAC7" w14:textId="77777777" w:rsidR="005E7495" w:rsidRPr="0002384D" w:rsidRDefault="005E7495" w:rsidP="00856101">
            <w:pPr>
              <w:spacing w:after="0" w:line="240" w:lineRule="auto"/>
              <w:jc w:val="right"/>
              <w:rPr>
                <w:rFonts w:ascii="Cambria" w:eastAsia="Times New Roman" w:hAnsi="Cambria" w:cs="Calibri"/>
                <w:b/>
                <w:bCs/>
                <w:color w:val="auto"/>
                <w:sz w:val="18"/>
                <w:szCs w:val="18"/>
                <w:lang w:eastAsia="en-AU"/>
              </w:rPr>
            </w:pPr>
            <w:r w:rsidRPr="0002384D">
              <w:rPr>
                <w:rFonts w:ascii="Cambria" w:eastAsia="Times New Roman" w:hAnsi="Cambria" w:cs="Calibri"/>
                <w:b/>
                <w:bCs/>
                <w:color w:val="auto"/>
                <w:sz w:val="18"/>
                <w:szCs w:val="18"/>
                <w:lang w:eastAsia="en-AU"/>
              </w:rPr>
              <w:t xml:space="preserve">20 </w:t>
            </w:r>
          </w:p>
        </w:tc>
        <w:tc>
          <w:tcPr>
            <w:tcW w:w="1196" w:type="dxa"/>
            <w:gridSpan w:val="2"/>
            <w:tcBorders>
              <w:top w:val="nil"/>
              <w:left w:val="nil"/>
              <w:bottom w:val="nil"/>
              <w:right w:val="nil"/>
            </w:tcBorders>
            <w:noWrap/>
            <w:vAlign w:val="bottom"/>
            <w:hideMark/>
          </w:tcPr>
          <w:p w14:paraId="21347BE3" w14:textId="77777777" w:rsidR="005E7495" w:rsidRPr="0002384D" w:rsidRDefault="005E7495" w:rsidP="00856101">
            <w:pPr>
              <w:spacing w:after="0" w:line="240" w:lineRule="auto"/>
              <w:jc w:val="right"/>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 xml:space="preserve">17 </w:t>
            </w:r>
          </w:p>
        </w:tc>
      </w:tr>
      <w:tr w:rsidR="005E7495" w:rsidRPr="0002384D" w14:paraId="76FC5C2E" w14:textId="77777777" w:rsidTr="005E7495">
        <w:trPr>
          <w:gridAfter w:val="1"/>
          <w:wAfter w:w="200" w:type="dxa"/>
          <w:trHeight w:val="240"/>
        </w:trPr>
        <w:tc>
          <w:tcPr>
            <w:tcW w:w="6456" w:type="dxa"/>
            <w:tcBorders>
              <w:top w:val="nil"/>
              <w:left w:val="nil"/>
              <w:bottom w:val="nil"/>
              <w:right w:val="nil"/>
            </w:tcBorders>
            <w:hideMark/>
          </w:tcPr>
          <w:p w14:paraId="024846DA" w14:textId="77777777" w:rsidR="005E7495" w:rsidRPr="0002384D" w:rsidRDefault="005E7495" w:rsidP="00856101">
            <w:pPr>
              <w:spacing w:after="0" w:line="240" w:lineRule="auto"/>
              <w:rPr>
                <w:rFonts w:ascii="Cambria" w:eastAsia="Times New Roman" w:hAnsi="Cambria" w:cs="Calibri"/>
                <w:b/>
                <w:bCs/>
                <w:color w:val="auto"/>
                <w:sz w:val="18"/>
                <w:szCs w:val="18"/>
                <w:lang w:eastAsia="en-AU"/>
              </w:rPr>
            </w:pPr>
            <w:r w:rsidRPr="0002384D">
              <w:rPr>
                <w:rFonts w:ascii="Cambria" w:eastAsia="Times New Roman" w:hAnsi="Cambria" w:cs="Calibri"/>
                <w:b/>
                <w:bCs/>
                <w:color w:val="auto"/>
                <w:sz w:val="18"/>
                <w:szCs w:val="18"/>
                <w:lang w:eastAsia="en-AU"/>
              </w:rPr>
              <w:t>Total other payables</w:t>
            </w:r>
          </w:p>
        </w:tc>
        <w:tc>
          <w:tcPr>
            <w:tcW w:w="1196" w:type="dxa"/>
            <w:gridSpan w:val="2"/>
            <w:tcBorders>
              <w:top w:val="single" w:sz="4" w:space="0" w:color="auto"/>
              <w:left w:val="nil"/>
              <w:bottom w:val="single" w:sz="4" w:space="0" w:color="auto"/>
              <w:right w:val="nil"/>
            </w:tcBorders>
            <w:noWrap/>
            <w:vAlign w:val="bottom"/>
            <w:hideMark/>
          </w:tcPr>
          <w:p w14:paraId="29D2DC42" w14:textId="77777777" w:rsidR="005E7495" w:rsidRPr="0002384D" w:rsidRDefault="005E7495" w:rsidP="00856101">
            <w:pPr>
              <w:spacing w:after="0" w:line="240" w:lineRule="auto"/>
              <w:jc w:val="right"/>
              <w:rPr>
                <w:rFonts w:ascii="Cambria" w:eastAsia="Times New Roman" w:hAnsi="Cambria" w:cs="Calibri"/>
                <w:b/>
                <w:bCs/>
                <w:color w:val="auto"/>
                <w:sz w:val="18"/>
                <w:szCs w:val="18"/>
                <w:lang w:eastAsia="en-AU"/>
              </w:rPr>
            </w:pPr>
            <w:r w:rsidRPr="0002384D">
              <w:rPr>
                <w:rFonts w:ascii="Cambria" w:eastAsia="Times New Roman" w:hAnsi="Cambria" w:cs="Calibri"/>
                <w:b/>
                <w:bCs/>
                <w:color w:val="auto"/>
                <w:sz w:val="18"/>
                <w:szCs w:val="18"/>
                <w:lang w:eastAsia="en-AU"/>
              </w:rPr>
              <w:t xml:space="preserve">20 </w:t>
            </w:r>
          </w:p>
        </w:tc>
        <w:tc>
          <w:tcPr>
            <w:tcW w:w="1196" w:type="dxa"/>
            <w:gridSpan w:val="2"/>
            <w:tcBorders>
              <w:top w:val="single" w:sz="4" w:space="0" w:color="auto"/>
              <w:left w:val="nil"/>
              <w:bottom w:val="single" w:sz="4" w:space="0" w:color="auto"/>
              <w:right w:val="nil"/>
            </w:tcBorders>
            <w:noWrap/>
            <w:vAlign w:val="bottom"/>
            <w:hideMark/>
          </w:tcPr>
          <w:p w14:paraId="19589943" w14:textId="77777777" w:rsidR="005E7495" w:rsidRPr="0002384D" w:rsidRDefault="005E7495" w:rsidP="00856101">
            <w:pPr>
              <w:spacing w:after="0" w:line="240" w:lineRule="auto"/>
              <w:jc w:val="right"/>
              <w:rPr>
                <w:rFonts w:ascii="Cambria" w:eastAsia="Times New Roman" w:hAnsi="Cambria" w:cs="Calibri"/>
                <w:color w:val="auto"/>
                <w:sz w:val="18"/>
                <w:szCs w:val="18"/>
                <w:lang w:eastAsia="en-AU"/>
              </w:rPr>
            </w:pPr>
            <w:r w:rsidRPr="0002384D">
              <w:rPr>
                <w:rFonts w:ascii="Cambria" w:eastAsia="Times New Roman" w:hAnsi="Cambria" w:cs="Calibri"/>
                <w:color w:val="auto"/>
                <w:sz w:val="18"/>
                <w:szCs w:val="18"/>
                <w:lang w:eastAsia="en-AU"/>
              </w:rPr>
              <w:t xml:space="preserve">17 </w:t>
            </w:r>
          </w:p>
        </w:tc>
      </w:tr>
      <w:tr w:rsidR="005E7495" w:rsidRPr="0002384D" w14:paraId="4F159557" w14:textId="77777777" w:rsidTr="005E7495">
        <w:trPr>
          <w:gridAfter w:val="1"/>
          <w:wAfter w:w="200" w:type="dxa"/>
          <w:trHeight w:val="240"/>
        </w:trPr>
        <w:tc>
          <w:tcPr>
            <w:tcW w:w="6456" w:type="dxa"/>
            <w:tcBorders>
              <w:top w:val="nil"/>
              <w:left w:val="nil"/>
              <w:bottom w:val="nil"/>
              <w:right w:val="nil"/>
            </w:tcBorders>
            <w:hideMark/>
          </w:tcPr>
          <w:p w14:paraId="4A693D6E" w14:textId="77777777" w:rsidR="005E7495" w:rsidRPr="0002384D" w:rsidRDefault="005E7495" w:rsidP="00856101">
            <w:pPr>
              <w:spacing w:after="0" w:line="240" w:lineRule="auto"/>
              <w:jc w:val="right"/>
              <w:rPr>
                <w:rFonts w:ascii="Cambria" w:eastAsia="Times New Roman" w:hAnsi="Cambria" w:cs="Calibri"/>
                <w:color w:val="auto"/>
                <w:sz w:val="18"/>
                <w:szCs w:val="18"/>
                <w:lang w:eastAsia="en-AU"/>
              </w:rPr>
            </w:pPr>
          </w:p>
        </w:tc>
        <w:tc>
          <w:tcPr>
            <w:tcW w:w="1196" w:type="dxa"/>
            <w:gridSpan w:val="2"/>
            <w:tcBorders>
              <w:top w:val="nil"/>
              <w:left w:val="nil"/>
              <w:bottom w:val="nil"/>
              <w:right w:val="nil"/>
            </w:tcBorders>
            <w:noWrap/>
            <w:vAlign w:val="bottom"/>
            <w:hideMark/>
          </w:tcPr>
          <w:p w14:paraId="42669461" w14:textId="77777777" w:rsidR="005E7495" w:rsidRPr="0002384D"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74572AE5" w14:textId="77777777" w:rsidR="005E7495" w:rsidRPr="0002384D"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4A37F2" w14:paraId="40AA2B84" w14:textId="77777777" w:rsidTr="005E7495">
        <w:trPr>
          <w:trHeight w:val="255"/>
        </w:trPr>
        <w:tc>
          <w:tcPr>
            <w:tcW w:w="6656" w:type="dxa"/>
            <w:gridSpan w:val="2"/>
            <w:tcBorders>
              <w:top w:val="single" w:sz="4" w:space="0" w:color="FFFFFF"/>
              <w:left w:val="nil"/>
              <w:bottom w:val="single" w:sz="4" w:space="0" w:color="FFFFFF"/>
              <w:right w:val="nil"/>
            </w:tcBorders>
            <w:shd w:val="clear" w:color="000000" w:fill="37424A"/>
            <w:noWrap/>
            <w:vAlign w:val="center"/>
            <w:hideMark/>
          </w:tcPr>
          <w:p w14:paraId="7098D7AF" w14:textId="77777777" w:rsidR="005E7495" w:rsidRPr="004A37F2" w:rsidRDefault="005E7495" w:rsidP="00856101">
            <w:pPr>
              <w:spacing w:after="0" w:line="240" w:lineRule="auto"/>
              <w:rPr>
                <w:rFonts w:ascii="Cambria" w:eastAsia="Times New Roman" w:hAnsi="Cambria" w:cs="Calibri"/>
                <w:b/>
                <w:bCs/>
                <w:color w:val="FFFFFF"/>
                <w:sz w:val="18"/>
                <w:szCs w:val="18"/>
                <w:lang w:eastAsia="en-AU"/>
              </w:rPr>
            </w:pPr>
            <w:r w:rsidRPr="004A37F2">
              <w:rPr>
                <w:rFonts w:ascii="Cambria" w:eastAsia="Times New Roman" w:hAnsi="Cambria" w:cs="Calibri"/>
                <w:b/>
                <w:bCs/>
                <w:color w:val="FFFFFF"/>
                <w:sz w:val="18"/>
                <w:szCs w:val="18"/>
                <w:lang w:eastAsia="en-AU"/>
              </w:rPr>
              <w:t>Note 2.4 Interest bearing liabilities</w:t>
            </w:r>
          </w:p>
        </w:tc>
        <w:tc>
          <w:tcPr>
            <w:tcW w:w="1196" w:type="dxa"/>
            <w:gridSpan w:val="2"/>
            <w:tcBorders>
              <w:top w:val="single" w:sz="4" w:space="0" w:color="FFFFFF"/>
              <w:left w:val="nil"/>
              <w:bottom w:val="single" w:sz="4" w:space="0" w:color="FFFFFF"/>
              <w:right w:val="nil"/>
            </w:tcBorders>
            <w:shd w:val="clear" w:color="000000" w:fill="37424A"/>
            <w:noWrap/>
            <w:vAlign w:val="center"/>
            <w:hideMark/>
          </w:tcPr>
          <w:p w14:paraId="32974A23" w14:textId="77777777" w:rsidR="005E7495" w:rsidRPr="004A37F2" w:rsidRDefault="005E7495" w:rsidP="00856101">
            <w:pPr>
              <w:spacing w:after="0" w:line="240" w:lineRule="auto"/>
              <w:rPr>
                <w:rFonts w:ascii="Cambria" w:eastAsia="Times New Roman" w:hAnsi="Cambria" w:cs="Calibri"/>
                <w:b/>
                <w:bCs/>
                <w:color w:val="FFFFFF"/>
                <w:sz w:val="18"/>
                <w:szCs w:val="18"/>
                <w:lang w:eastAsia="en-AU"/>
              </w:rPr>
            </w:pPr>
            <w:r w:rsidRPr="004A37F2">
              <w:rPr>
                <w:rFonts w:ascii="Cambria" w:eastAsia="Times New Roman" w:hAnsi="Cambria" w:cs="Calibri"/>
                <w:b/>
                <w:bCs/>
                <w:color w:val="FFFFFF"/>
                <w:sz w:val="18"/>
                <w:szCs w:val="18"/>
                <w:lang w:eastAsia="en-AU"/>
              </w:rPr>
              <w:t> </w:t>
            </w:r>
          </w:p>
        </w:tc>
        <w:tc>
          <w:tcPr>
            <w:tcW w:w="1196" w:type="dxa"/>
            <w:gridSpan w:val="2"/>
            <w:tcBorders>
              <w:top w:val="single" w:sz="4" w:space="0" w:color="FFFFFF"/>
              <w:left w:val="nil"/>
              <w:bottom w:val="single" w:sz="4" w:space="0" w:color="FFFFFF"/>
              <w:right w:val="nil"/>
            </w:tcBorders>
            <w:shd w:val="clear" w:color="000000" w:fill="37424A"/>
            <w:noWrap/>
            <w:vAlign w:val="center"/>
            <w:hideMark/>
          </w:tcPr>
          <w:p w14:paraId="7103FA67" w14:textId="77777777" w:rsidR="005E7495" w:rsidRPr="004A37F2" w:rsidRDefault="005E7495" w:rsidP="00856101">
            <w:pPr>
              <w:spacing w:after="0" w:line="240" w:lineRule="auto"/>
              <w:rPr>
                <w:rFonts w:ascii="Cambria" w:eastAsia="Times New Roman" w:hAnsi="Cambria" w:cs="Calibri"/>
                <w:b/>
                <w:bCs/>
                <w:color w:val="FFFFFF"/>
                <w:sz w:val="18"/>
                <w:szCs w:val="18"/>
                <w:lang w:eastAsia="en-AU"/>
              </w:rPr>
            </w:pPr>
            <w:r w:rsidRPr="004A37F2">
              <w:rPr>
                <w:rFonts w:ascii="Cambria" w:eastAsia="Times New Roman" w:hAnsi="Cambria" w:cs="Calibri"/>
                <w:b/>
                <w:bCs/>
                <w:color w:val="FFFFFF"/>
                <w:sz w:val="18"/>
                <w:szCs w:val="18"/>
                <w:lang w:eastAsia="en-AU"/>
              </w:rPr>
              <w:t> </w:t>
            </w:r>
          </w:p>
        </w:tc>
      </w:tr>
      <w:tr w:rsidR="005E7495" w:rsidRPr="004A37F2" w14:paraId="33C2ACA7" w14:textId="77777777" w:rsidTr="005E7495">
        <w:trPr>
          <w:trHeight w:val="240"/>
        </w:trPr>
        <w:tc>
          <w:tcPr>
            <w:tcW w:w="6656" w:type="dxa"/>
            <w:gridSpan w:val="2"/>
            <w:tcBorders>
              <w:top w:val="nil"/>
              <w:left w:val="nil"/>
              <w:bottom w:val="nil"/>
              <w:right w:val="nil"/>
            </w:tcBorders>
            <w:hideMark/>
          </w:tcPr>
          <w:p w14:paraId="5B544895" w14:textId="77777777" w:rsidR="005E7495" w:rsidRPr="004A37F2" w:rsidRDefault="005E7495" w:rsidP="00856101">
            <w:pPr>
              <w:spacing w:after="0" w:line="240" w:lineRule="auto"/>
              <w:rPr>
                <w:rFonts w:ascii="Cambria" w:eastAsia="Times New Roman" w:hAnsi="Cambria" w:cs="Calibri"/>
                <w:b/>
                <w:bCs/>
                <w:i/>
                <w:iCs/>
                <w:color w:val="FFFFFF"/>
                <w:sz w:val="18"/>
                <w:szCs w:val="18"/>
                <w:lang w:eastAsia="en-AU"/>
              </w:rPr>
            </w:pPr>
          </w:p>
        </w:tc>
        <w:tc>
          <w:tcPr>
            <w:tcW w:w="1196" w:type="dxa"/>
            <w:gridSpan w:val="2"/>
            <w:tcBorders>
              <w:top w:val="nil"/>
              <w:left w:val="nil"/>
              <w:bottom w:val="nil"/>
              <w:right w:val="nil"/>
            </w:tcBorders>
            <w:hideMark/>
          </w:tcPr>
          <w:p w14:paraId="4B716FF8"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hideMark/>
          </w:tcPr>
          <w:p w14:paraId="59E14FE3"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4A37F2" w14:paraId="3EB66310" w14:textId="77777777" w:rsidTr="005E7495">
        <w:trPr>
          <w:trHeight w:val="240"/>
        </w:trPr>
        <w:tc>
          <w:tcPr>
            <w:tcW w:w="6656" w:type="dxa"/>
            <w:gridSpan w:val="2"/>
            <w:tcBorders>
              <w:top w:val="nil"/>
              <w:left w:val="nil"/>
              <w:bottom w:val="nil"/>
              <w:right w:val="nil"/>
            </w:tcBorders>
            <w:hideMark/>
          </w:tcPr>
          <w:p w14:paraId="4E665FCE"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vAlign w:val="bottom"/>
            <w:hideMark/>
          </w:tcPr>
          <w:p w14:paraId="48763335"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2026</w:t>
            </w:r>
          </w:p>
        </w:tc>
        <w:tc>
          <w:tcPr>
            <w:tcW w:w="1196" w:type="dxa"/>
            <w:gridSpan w:val="2"/>
            <w:tcBorders>
              <w:top w:val="nil"/>
              <w:left w:val="nil"/>
              <w:bottom w:val="nil"/>
              <w:right w:val="nil"/>
            </w:tcBorders>
            <w:vAlign w:val="bottom"/>
            <w:hideMark/>
          </w:tcPr>
          <w:p w14:paraId="79975C21"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2025</w:t>
            </w:r>
          </w:p>
        </w:tc>
      </w:tr>
      <w:tr w:rsidR="005E7495" w:rsidRPr="004A37F2" w14:paraId="58995A80" w14:textId="77777777" w:rsidTr="005E7495">
        <w:trPr>
          <w:trHeight w:val="240"/>
        </w:trPr>
        <w:tc>
          <w:tcPr>
            <w:tcW w:w="6656" w:type="dxa"/>
            <w:gridSpan w:val="2"/>
            <w:tcBorders>
              <w:top w:val="nil"/>
              <w:left w:val="nil"/>
              <w:bottom w:val="single" w:sz="8" w:space="0" w:color="009560"/>
              <w:right w:val="nil"/>
            </w:tcBorders>
            <w:hideMark/>
          </w:tcPr>
          <w:p w14:paraId="76032710" w14:textId="77777777" w:rsidR="005E7495" w:rsidRPr="004A37F2" w:rsidRDefault="005E7495" w:rsidP="00856101">
            <w:pPr>
              <w:spacing w:after="0" w:line="240" w:lineRule="auto"/>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w:t>
            </w:r>
          </w:p>
        </w:tc>
        <w:tc>
          <w:tcPr>
            <w:tcW w:w="1196" w:type="dxa"/>
            <w:gridSpan w:val="2"/>
            <w:tcBorders>
              <w:top w:val="nil"/>
              <w:left w:val="nil"/>
              <w:bottom w:val="single" w:sz="8" w:space="0" w:color="009560"/>
              <w:right w:val="nil"/>
            </w:tcBorders>
            <w:hideMark/>
          </w:tcPr>
          <w:p w14:paraId="71FE913D"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$’000</w:t>
            </w:r>
          </w:p>
        </w:tc>
        <w:tc>
          <w:tcPr>
            <w:tcW w:w="1196" w:type="dxa"/>
            <w:gridSpan w:val="2"/>
            <w:tcBorders>
              <w:top w:val="nil"/>
              <w:left w:val="nil"/>
              <w:bottom w:val="single" w:sz="8" w:space="0" w:color="009560"/>
              <w:right w:val="nil"/>
            </w:tcBorders>
            <w:hideMark/>
          </w:tcPr>
          <w:p w14:paraId="4E16B7E3"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$’000</w:t>
            </w:r>
          </w:p>
        </w:tc>
      </w:tr>
      <w:tr w:rsidR="005E7495" w:rsidRPr="004A37F2" w14:paraId="33420F48" w14:textId="77777777" w:rsidTr="005E7495">
        <w:trPr>
          <w:trHeight w:val="255"/>
        </w:trPr>
        <w:tc>
          <w:tcPr>
            <w:tcW w:w="6656" w:type="dxa"/>
            <w:gridSpan w:val="2"/>
            <w:tcBorders>
              <w:top w:val="nil"/>
              <w:left w:val="nil"/>
              <w:bottom w:val="nil"/>
              <w:right w:val="nil"/>
            </w:tcBorders>
            <w:noWrap/>
            <w:vAlign w:val="bottom"/>
            <w:hideMark/>
          </w:tcPr>
          <w:p w14:paraId="0E31D4F1" w14:textId="77777777" w:rsidR="005E7495" w:rsidRPr="004A37F2" w:rsidRDefault="005E7495" w:rsidP="00856101">
            <w:pPr>
              <w:spacing w:after="0" w:line="240" w:lineRule="auto"/>
              <w:rPr>
                <w:rFonts w:ascii="Cambria" w:eastAsia="Times New Roman" w:hAnsi="Cambria" w:cs="Calibri"/>
                <w:b/>
                <w:bCs/>
                <w:color w:val="auto"/>
                <w:sz w:val="18"/>
                <w:szCs w:val="18"/>
                <w:u w:val="single"/>
                <w:lang w:eastAsia="en-AU"/>
              </w:rPr>
            </w:pPr>
            <w:r w:rsidRPr="004A37F2">
              <w:rPr>
                <w:rFonts w:ascii="Cambria" w:eastAsia="Times New Roman" w:hAnsi="Cambria" w:cs="Calibri"/>
                <w:b/>
                <w:bCs/>
                <w:color w:val="auto"/>
                <w:sz w:val="18"/>
                <w:szCs w:val="18"/>
                <w:u w:val="single"/>
                <w:lang w:eastAsia="en-AU"/>
              </w:rPr>
              <w:t>Note 2.4A: Lease liabilities</w:t>
            </w:r>
          </w:p>
        </w:tc>
        <w:tc>
          <w:tcPr>
            <w:tcW w:w="1196" w:type="dxa"/>
            <w:gridSpan w:val="2"/>
            <w:tcBorders>
              <w:top w:val="nil"/>
              <w:left w:val="nil"/>
              <w:bottom w:val="nil"/>
              <w:right w:val="nil"/>
            </w:tcBorders>
            <w:noWrap/>
            <w:vAlign w:val="bottom"/>
            <w:hideMark/>
          </w:tcPr>
          <w:p w14:paraId="28C2DF5E" w14:textId="77777777" w:rsidR="005E7495" w:rsidRPr="004A37F2" w:rsidRDefault="005E7495" w:rsidP="00856101">
            <w:pPr>
              <w:spacing w:after="0" w:line="240" w:lineRule="auto"/>
              <w:rPr>
                <w:rFonts w:ascii="Cambria" w:eastAsia="Times New Roman" w:hAnsi="Cambria" w:cs="Calibri"/>
                <w:b/>
                <w:bCs/>
                <w:color w:val="auto"/>
                <w:sz w:val="18"/>
                <w:szCs w:val="18"/>
                <w:u w:val="single"/>
                <w:lang w:eastAsia="en-AU"/>
              </w:rPr>
            </w:pPr>
          </w:p>
        </w:tc>
        <w:tc>
          <w:tcPr>
            <w:tcW w:w="1196" w:type="dxa"/>
            <w:gridSpan w:val="2"/>
            <w:tcBorders>
              <w:top w:val="nil"/>
              <w:left w:val="nil"/>
              <w:bottom w:val="nil"/>
              <w:right w:val="nil"/>
            </w:tcBorders>
            <w:noWrap/>
            <w:vAlign w:val="bottom"/>
            <w:hideMark/>
          </w:tcPr>
          <w:p w14:paraId="56FFED5E" w14:textId="77777777" w:rsidR="005E7495" w:rsidRPr="004A37F2"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4A37F2" w14:paraId="0DC21B3F" w14:textId="77777777" w:rsidTr="005E7495">
        <w:trPr>
          <w:trHeight w:val="255"/>
        </w:trPr>
        <w:tc>
          <w:tcPr>
            <w:tcW w:w="6656" w:type="dxa"/>
            <w:gridSpan w:val="2"/>
            <w:tcBorders>
              <w:top w:val="nil"/>
              <w:left w:val="nil"/>
              <w:bottom w:val="nil"/>
              <w:right w:val="nil"/>
            </w:tcBorders>
            <w:shd w:val="clear" w:color="000000" w:fill="FFFFFF"/>
            <w:hideMark/>
          </w:tcPr>
          <w:p w14:paraId="085118B9" w14:textId="77777777" w:rsidR="005E7495" w:rsidRPr="004A37F2" w:rsidRDefault="005E7495" w:rsidP="00856101">
            <w:pPr>
              <w:spacing w:after="0" w:line="240" w:lineRule="auto"/>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Lease liability (office space)</w:t>
            </w:r>
          </w:p>
        </w:tc>
        <w:tc>
          <w:tcPr>
            <w:tcW w:w="1196" w:type="dxa"/>
            <w:gridSpan w:val="2"/>
            <w:tcBorders>
              <w:top w:val="nil"/>
              <w:left w:val="nil"/>
              <w:bottom w:val="nil"/>
              <w:right w:val="nil"/>
            </w:tcBorders>
            <w:shd w:val="clear" w:color="000000" w:fill="FFFFFF"/>
            <w:noWrap/>
            <w:vAlign w:val="bottom"/>
            <w:hideMark/>
          </w:tcPr>
          <w:p w14:paraId="2A2E2356"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xml:space="preserve">8,821 </w:t>
            </w:r>
          </w:p>
        </w:tc>
        <w:tc>
          <w:tcPr>
            <w:tcW w:w="1196" w:type="dxa"/>
            <w:gridSpan w:val="2"/>
            <w:tcBorders>
              <w:top w:val="nil"/>
              <w:left w:val="nil"/>
              <w:bottom w:val="nil"/>
              <w:right w:val="nil"/>
            </w:tcBorders>
            <w:shd w:val="clear" w:color="000000" w:fill="FFFFFF"/>
            <w:noWrap/>
            <w:vAlign w:val="bottom"/>
            <w:hideMark/>
          </w:tcPr>
          <w:p w14:paraId="470E6193"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xml:space="preserve">9,845 </w:t>
            </w:r>
          </w:p>
        </w:tc>
      </w:tr>
      <w:tr w:rsidR="005E7495" w:rsidRPr="004A37F2" w14:paraId="23984A8F" w14:textId="77777777" w:rsidTr="005E7495">
        <w:trPr>
          <w:trHeight w:val="255"/>
        </w:trPr>
        <w:tc>
          <w:tcPr>
            <w:tcW w:w="6656" w:type="dxa"/>
            <w:gridSpan w:val="2"/>
            <w:tcBorders>
              <w:top w:val="nil"/>
              <w:left w:val="nil"/>
              <w:bottom w:val="nil"/>
              <w:right w:val="nil"/>
            </w:tcBorders>
            <w:shd w:val="clear" w:color="000000" w:fill="FFFFFF"/>
            <w:noWrap/>
            <w:vAlign w:val="center"/>
            <w:hideMark/>
          </w:tcPr>
          <w:p w14:paraId="6A9C075E" w14:textId="77777777" w:rsidR="005E7495" w:rsidRPr="004A37F2" w:rsidRDefault="005E7495" w:rsidP="00856101">
            <w:pPr>
              <w:spacing w:after="0" w:line="240" w:lineRule="auto"/>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Total lease liabilities</w:t>
            </w:r>
          </w:p>
        </w:tc>
        <w:tc>
          <w:tcPr>
            <w:tcW w:w="1196" w:type="dxa"/>
            <w:gridSpan w:val="2"/>
            <w:tcBorders>
              <w:top w:val="single" w:sz="4" w:space="0" w:color="auto"/>
              <w:left w:val="nil"/>
              <w:bottom w:val="single" w:sz="4" w:space="0" w:color="auto"/>
              <w:right w:val="nil"/>
            </w:tcBorders>
            <w:shd w:val="clear" w:color="000000" w:fill="FFFFFF"/>
            <w:noWrap/>
            <w:vAlign w:val="bottom"/>
            <w:hideMark/>
          </w:tcPr>
          <w:p w14:paraId="7ED385EC"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xml:space="preserve">8,821 </w:t>
            </w:r>
          </w:p>
        </w:tc>
        <w:tc>
          <w:tcPr>
            <w:tcW w:w="1196" w:type="dxa"/>
            <w:gridSpan w:val="2"/>
            <w:tcBorders>
              <w:top w:val="single" w:sz="4" w:space="0" w:color="auto"/>
              <w:left w:val="nil"/>
              <w:bottom w:val="single" w:sz="4" w:space="0" w:color="auto"/>
              <w:right w:val="nil"/>
            </w:tcBorders>
            <w:shd w:val="clear" w:color="000000" w:fill="FFFFFF"/>
            <w:noWrap/>
            <w:vAlign w:val="bottom"/>
            <w:hideMark/>
          </w:tcPr>
          <w:p w14:paraId="13C5BAB4"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xml:space="preserve">9,845 </w:t>
            </w:r>
          </w:p>
        </w:tc>
      </w:tr>
      <w:tr w:rsidR="005E7495" w:rsidRPr="004A37F2" w14:paraId="15AE3182" w14:textId="77777777" w:rsidTr="005E7495">
        <w:trPr>
          <w:trHeight w:val="255"/>
        </w:trPr>
        <w:tc>
          <w:tcPr>
            <w:tcW w:w="6656" w:type="dxa"/>
            <w:gridSpan w:val="2"/>
            <w:tcBorders>
              <w:top w:val="nil"/>
              <w:left w:val="nil"/>
              <w:bottom w:val="nil"/>
              <w:right w:val="nil"/>
            </w:tcBorders>
            <w:shd w:val="clear" w:color="000000" w:fill="FFFFFF"/>
            <w:noWrap/>
            <w:vAlign w:val="center"/>
            <w:hideMark/>
          </w:tcPr>
          <w:p w14:paraId="24710826" w14:textId="77777777" w:rsidR="005E7495" w:rsidRPr="004A37F2" w:rsidRDefault="005E7495" w:rsidP="00856101">
            <w:pPr>
              <w:spacing w:after="0" w:line="240" w:lineRule="auto"/>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w:t>
            </w:r>
          </w:p>
        </w:tc>
        <w:tc>
          <w:tcPr>
            <w:tcW w:w="1196" w:type="dxa"/>
            <w:gridSpan w:val="2"/>
            <w:tcBorders>
              <w:top w:val="nil"/>
              <w:left w:val="nil"/>
              <w:bottom w:val="nil"/>
              <w:right w:val="nil"/>
            </w:tcBorders>
            <w:shd w:val="clear" w:color="000000" w:fill="FFFFFF"/>
            <w:noWrap/>
            <w:vAlign w:val="bottom"/>
            <w:hideMark/>
          </w:tcPr>
          <w:p w14:paraId="1F525620"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w:t>
            </w:r>
          </w:p>
        </w:tc>
        <w:tc>
          <w:tcPr>
            <w:tcW w:w="1196" w:type="dxa"/>
            <w:gridSpan w:val="2"/>
            <w:tcBorders>
              <w:top w:val="nil"/>
              <w:left w:val="nil"/>
              <w:bottom w:val="nil"/>
              <w:right w:val="nil"/>
            </w:tcBorders>
            <w:shd w:val="clear" w:color="000000" w:fill="FFFFFF"/>
            <w:noWrap/>
            <w:vAlign w:val="bottom"/>
            <w:hideMark/>
          </w:tcPr>
          <w:p w14:paraId="34BEC592"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w:t>
            </w:r>
          </w:p>
        </w:tc>
      </w:tr>
      <w:tr w:rsidR="005E7495" w:rsidRPr="004A37F2" w14:paraId="7B61379E" w14:textId="77777777" w:rsidTr="005E7495">
        <w:trPr>
          <w:trHeight w:val="255"/>
        </w:trPr>
        <w:tc>
          <w:tcPr>
            <w:tcW w:w="7852" w:type="dxa"/>
            <w:gridSpan w:val="4"/>
            <w:tcBorders>
              <w:top w:val="nil"/>
              <w:left w:val="nil"/>
              <w:bottom w:val="nil"/>
              <w:right w:val="nil"/>
            </w:tcBorders>
            <w:shd w:val="clear" w:color="000000" w:fill="FFFFFF"/>
            <w:noWrap/>
            <w:vAlign w:val="center"/>
            <w:hideMark/>
          </w:tcPr>
          <w:p w14:paraId="56ADF5EF" w14:textId="77777777" w:rsidR="005E7495" w:rsidRPr="004A37F2" w:rsidRDefault="005E7495" w:rsidP="00856101">
            <w:pPr>
              <w:spacing w:after="0" w:line="240" w:lineRule="auto"/>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Total cash outflow for leases for the year ended 30 June 2026 was $1.159m (2025: $1.108m)</w:t>
            </w:r>
          </w:p>
        </w:tc>
        <w:tc>
          <w:tcPr>
            <w:tcW w:w="1196" w:type="dxa"/>
            <w:gridSpan w:val="2"/>
            <w:tcBorders>
              <w:top w:val="nil"/>
              <w:left w:val="nil"/>
              <w:bottom w:val="nil"/>
              <w:right w:val="nil"/>
            </w:tcBorders>
            <w:shd w:val="clear" w:color="000000" w:fill="FFFFFF"/>
            <w:noWrap/>
            <w:vAlign w:val="bottom"/>
            <w:hideMark/>
          </w:tcPr>
          <w:p w14:paraId="6AC0A405"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w:t>
            </w:r>
          </w:p>
        </w:tc>
      </w:tr>
      <w:tr w:rsidR="005E7495" w:rsidRPr="004A37F2" w14:paraId="1CDF7AD3" w14:textId="77777777" w:rsidTr="005E7495">
        <w:trPr>
          <w:trHeight w:val="162"/>
        </w:trPr>
        <w:tc>
          <w:tcPr>
            <w:tcW w:w="6656" w:type="dxa"/>
            <w:gridSpan w:val="2"/>
            <w:tcBorders>
              <w:top w:val="nil"/>
              <w:left w:val="nil"/>
              <w:bottom w:val="nil"/>
              <w:right w:val="nil"/>
            </w:tcBorders>
            <w:shd w:val="clear" w:color="000000" w:fill="FFFFFF"/>
            <w:noWrap/>
            <w:vAlign w:val="center"/>
            <w:hideMark/>
          </w:tcPr>
          <w:p w14:paraId="5B9FA680" w14:textId="77777777" w:rsidR="005E7495" w:rsidRPr="004A37F2" w:rsidRDefault="005E7495" w:rsidP="00856101">
            <w:pPr>
              <w:spacing w:after="0" w:line="240" w:lineRule="auto"/>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w:t>
            </w:r>
          </w:p>
        </w:tc>
        <w:tc>
          <w:tcPr>
            <w:tcW w:w="1196" w:type="dxa"/>
            <w:gridSpan w:val="2"/>
            <w:tcBorders>
              <w:top w:val="nil"/>
              <w:left w:val="nil"/>
              <w:bottom w:val="nil"/>
              <w:right w:val="nil"/>
            </w:tcBorders>
            <w:shd w:val="clear" w:color="000000" w:fill="FFFFFF"/>
            <w:noWrap/>
            <w:vAlign w:val="bottom"/>
            <w:hideMark/>
          </w:tcPr>
          <w:p w14:paraId="16C37151"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w:t>
            </w:r>
          </w:p>
        </w:tc>
        <w:tc>
          <w:tcPr>
            <w:tcW w:w="1196" w:type="dxa"/>
            <w:gridSpan w:val="2"/>
            <w:tcBorders>
              <w:top w:val="nil"/>
              <w:left w:val="nil"/>
              <w:bottom w:val="nil"/>
              <w:right w:val="nil"/>
            </w:tcBorders>
            <w:shd w:val="clear" w:color="000000" w:fill="FFFFFF"/>
            <w:noWrap/>
            <w:vAlign w:val="bottom"/>
            <w:hideMark/>
          </w:tcPr>
          <w:p w14:paraId="62DEEAB8"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w:t>
            </w:r>
          </w:p>
        </w:tc>
      </w:tr>
      <w:tr w:rsidR="005E7495" w:rsidRPr="004A37F2" w14:paraId="5F6E5E58" w14:textId="77777777" w:rsidTr="005E7495">
        <w:trPr>
          <w:trHeight w:val="255"/>
        </w:trPr>
        <w:tc>
          <w:tcPr>
            <w:tcW w:w="6656" w:type="dxa"/>
            <w:gridSpan w:val="2"/>
            <w:tcBorders>
              <w:top w:val="nil"/>
              <w:left w:val="nil"/>
              <w:bottom w:val="nil"/>
              <w:right w:val="nil"/>
            </w:tcBorders>
            <w:shd w:val="clear" w:color="000000" w:fill="FFFFFF"/>
            <w:hideMark/>
          </w:tcPr>
          <w:p w14:paraId="4477AC4C" w14:textId="77777777" w:rsidR="005E7495" w:rsidRPr="004A37F2" w:rsidRDefault="005E7495" w:rsidP="00856101">
            <w:pPr>
              <w:spacing w:after="0" w:line="240" w:lineRule="auto"/>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Maturity analysis - contractual undiscounted cash flows</w:t>
            </w:r>
          </w:p>
        </w:tc>
        <w:tc>
          <w:tcPr>
            <w:tcW w:w="1196" w:type="dxa"/>
            <w:gridSpan w:val="2"/>
            <w:tcBorders>
              <w:top w:val="nil"/>
              <w:left w:val="nil"/>
              <w:bottom w:val="nil"/>
              <w:right w:val="nil"/>
            </w:tcBorders>
            <w:shd w:val="clear" w:color="000000" w:fill="FFFFFF"/>
            <w:noWrap/>
            <w:vAlign w:val="bottom"/>
            <w:hideMark/>
          </w:tcPr>
          <w:p w14:paraId="3E19A990"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w:t>
            </w:r>
          </w:p>
        </w:tc>
        <w:tc>
          <w:tcPr>
            <w:tcW w:w="1196" w:type="dxa"/>
            <w:gridSpan w:val="2"/>
            <w:tcBorders>
              <w:top w:val="nil"/>
              <w:left w:val="nil"/>
              <w:bottom w:val="nil"/>
              <w:right w:val="nil"/>
            </w:tcBorders>
            <w:shd w:val="clear" w:color="000000" w:fill="FFFFFF"/>
            <w:noWrap/>
            <w:vAlign w:val="bottom"/>
            <w:hideMark/>
          </w:tcPr>
          <w:p w14:paraId="798ADDDD"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w:t>
            </w:r>
          </w:p>
        </w:tc>
      </w:tr>
      <w:tr w:rsidR="005E7495" w:rsidRPr="004A37F2" w14:paraId="35DFC3EF" w14:textId="77777777" w:rsidTr="005E7495">
        <w:trPr>
          <w:trHeight w:val="264"/>
        </w:trPr>
        <w:tc>
          <w:tcPr>
            <w:tcW w:w="6656" w:type="dxa"/>
            <w:gridSpan w:val="2"/>
            <w:tcBorders>
              <w:top w:val="nil"/>
              <w:left w:val="nil"/>
              <w:bottom w:val="nil"/>
              <w:right w:val="nil"/>
            </w:tcBorders>
            <w:hideMark/>
          </w:tcPr>
          <w:p w14:paraId="282647F0" w14:textId="77777777" w:rsidR="005E7495" w:rsidRPr="004A37F2" w:rsidRDefault="005E7495" w:rsidP="00856101">
            <w:pPr>
              <w:spacing w:after="0" w:line="240" w:lineRule="auto"/>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Within 1 year</w:t>
            </w:r>
          </w:p>
        </w:tc>
        <w:tc>
          <w:tcPr>
            <w:tcW w:w="1196" w:type="dxa"/>
            <w:gridSpan w:val="2"/>
            <w:tcBorders>
              <w:top w:val="nil"/>
              <w:left w:val="nil"/>
              <w:bottom w:val="nil"/>
              <w:right w:val="nil"/>
            </w:tcBorders>
            <w:noWrap/>
            <w:vAlign w:val="bottom"/>
            <w:hideMark/>
          </w:tcPr>
          <w:p w14:paraId="5FA2803A"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xml:space="preserve">1,320 </w:t>
            </w:r>
          </w:p>
        </w:tc>
        <w:tc>
          <w:tcPr>
            <w:tcW w:w="1196" w:type="dxa"/>
            <w:gridSpan w:val="2"/>
            <w:tcBorders>
              <w:top w:val="nil"/>
              <w:left w:val="nil"/>
              <w:bottom w:val="nil"/>
              <w:right w:val="nil"/>
            </w:tcBorders>
            <w:shd w:val="clear" w:color="000000" w:fill="FFFFFF"/>
            <w:noWrap/>
            <w:vAlign w:val="bottom"/>
            <w:hideMark/>
          </w:tcPr>
          <w:p w14:paraId="781E1A31"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xml:space="preserve">1,159 </w:t>
            </w:r>
          </w:p>
        </w:tc>
      </w:tr>
      <w:tr w:rsidR="005E7495" w:rsidRPr="004A37F2" w14:paraId="6CA31C07" w14:textId="77777777" w:rsidTr="005E7495">
        <w:trPr>
          <w:trHeight w:val="264"/>
        </w:trPr>
        <w:tc>
          <w:tcPr>
            <w:tcW w:w="6656" w:type="dxa"/>
            <w:gridSpan w:val="2"/>
            <w:tcBorders>
              <w:top w:val="nil"/>
              <w:left w:val="nil"/>
              <w:bottom w:val="nil"/>
              <w:right w:val="nil"/>
            </w:tcBorders>
            <w:hideMark/>
          </w:tcPr>
          <w:p w14:paraId="646C84A9" w14:textId="77777777" w:rsidR="005E7495" w:rsidRPr="004A37F2" w:rsidRDefault="005E7495" w:rsidP="00856101">
            <w:pPr>
              <w:spacing w:after="0" w:line="240" w:lineRule="auto"/>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Between 1 to 5 years</w:t>
            </w:r>
          </w:p>
        </w:tc>
        <w:tc>
          <w:tcPr>
            <w:tcW w:w="1196" w:type="dxa"/>
            <w:gridSpan w:val="2"/>
            <w:tcBorders>
              <w:top w:val="nil"/>
              <w:left w:val="nil"/>
              <w:bottom w:val="nil"/>
              <w:right w:val="nil"/>
            </w:tcBorders>
            <w:noWrap/>
            <w:vAlign w:val="bottom"/>
            <w:hideMark/>
          </w:tcPr>
          <w:p w14:paraId="322A2342"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xml:space="preserve">6,692 </w:t>
            </w:r>
          </w:p>
        </w:tc>
        <w:tc>
          <w:tcPr>
            <w:tcW w:w="1196" w:type="dxa"/>
            <w:gridSpan w:val="2"/>
            <w:tcBorders>
              <w:top w:val="nil"/>
              <w:left w:val="nil"/>
              <w:bottom w:val="nil"/>
              <w:right w:val="nil"/>
            </w:tcBorders>
            <w:shd w:val="clear" w:color="000000" w:fill="FFFFFF"/>
            <w:noWrap/>
            <w:vAlign w:val="bottom"/>
            <w:hideMark/>
          </w:tcPr>
          <w:p w14:paraId="159768FB"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xml:space="preserve">6,252 </w:t>
            </w:r>
          </w:p>
        </w:tc>
      </w:tr>
      <w:tr w:rsidR="005E7495" w:rsidRPr="004A37F2" w14:paraId="4A93B52A" w14:textId="77777777" w:rsidTr="005E7495">
        <w:trPr>
          <w:trHeight w:val="264"/>
        </w:trPr>
        <w:tc>
          <w:tcPr>
            <w:tcW w:w="6656" w:type="dxa"/>
            <w:gridSpan w:val="2"/>
            <w:tcBorders>
              <w:top w:val="nil"/>
              <w:left w:val="nil"/>
              <w:bottom w:val="nil"/>
              <w:right w:val="nil"/>
            </w:tcBorders>
            <w:hideMark/>
          </w:tcPr>
          <w:p w14:paraId="4877373F" w14:textId="77777777" w:rsidR="005E7495" w:rsidRPr="004A37F2" w:rsidRDefault="005E7495" w:rsidP="00856101">
            <w:pPr>
              <w:spacing w:after="0" w:line="240" w:lineRule="auto"/>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More than 5 years</w:t>
            </w:r>
          </w:p>
        </w:tc>
        <w:tc>
          <w:tcPr>
            <w:tcW w:w="1196" w:type="dxa"/>
            <w:gridSpan w:val="2"/>
            <w:tcBorders>
              <w:top w:val="nil"/>
              <w:left w:val="nil"/>
              <w:bottom w:val="single" w:sz="4" w:space="0" w:color="auto"/>
              <w:right w:val="nil"/>
            </w:tcBorders>
            <w:noWrap/>
            <w:vAlign w:val="bottom"/>
            <w:hideMark/>
          </w:tcPr>
          <w:p w14:paraId="208F4BB9"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xml:space="preserve">1,201 </w:t>
            </w:r>
          </w:p>
        </w:tc>
        <w:tc>
          <w:tcPr>
            <w:tcW w:w="1196" w:type="dxa"/>
            <w:gridSpan w:val="2"/>
            <w:tcBorders>
              <w:top w:val="nil"/>
              <w:left w:val="nil"/>
              <w:bottom w:val="single" w:sz="4" w:space="0" w:color="auto"/>
              <w:right w:val="nil"/>
            </w:tcBorders>
            <w:shd w:val="clear" w:color="000000" w:fill="FFFFFF"/>
            <w:noWrap/>
            <w:vAlign w:val="bottom"/>
            <w:hideMark/>
          </w:tcPr>
          <w:p w14:paraId="3458B7E6"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xml:space="preserve">2,961 </w:t>
            </w:r>
          </w:p>
        </w:tc>
      </w:tr>
      <w:tr w:rsidR="005E7495" w:rsidRPr="004A37F2" w14:paraId="2A9603EB" w14:textId="77777777" w:rsidTr="005E7495">
        <w:trPr>
          <w:trHeight w:val="264"/>
        </w:trPr>
        <w:tc>
          <w:tcPr>
            <w:tcW w:w="6656" w:type="dxa"/>
            <w:gridSpan w:val="2"/>
            <w:tcBorders>
              <w:top w:val="nil"/>
              <w:left w:val="nil"/>
              <w:bottom w:val="nil"/>
              <w:right w:val="nil"/>
            </w:tcBorders>
            <w:hideMark/>
          </w:tcPr>
          <w:p w14:paraId="1F99F875" w14:textId="77777777" w:rsidR="005E7495" w:rsidRPr="004A37F2" w:rsidRDefault="005E7495" w:rsidP="00856101">
            <w:pPr>
              <w:spacing w:after="0" w:line="240" w:lineRule="auto"/>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Total undiscounted leases</w:t>
            </w:r>
          </w:p>
        </w:tc>
        <w:tc>
          <w:tcPr>
            <w:tcW w:w="1196" w:type="dxa"/>
            <w:gridSpan w:val="2"/>
            <w:tcBorders>
              <w:top w:val="nil"/>
              <w:left w:val="nil"/>
              <w:bottom w:val="single" w:sz="4" w:space="0" w:color="auto"/>
              <w:right w:val="nil"/>
            </w:tcBorders>
            <w:noWrap/>
            <w:vAlign w:val="bottom"/>
            <w:hideMark/>
          </w:tcPr>
          <w:p w14:paraId="70DD5F11"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xml:space="preserve">9,213 </w:t>
            </w:r>
          </w:p>
        </w:tc>
        <w:tc>
          <w:tcPr>
            <w:tcW w:w="1196" w:type="dxa"/>
            <w:gridSpan w:val="2"/>
            <w:tcBorders>
              <w:top w:val="nil"/>
              <w:left w:val="nil"/>
              <w:bottom w:val="single" w:sz="4" w:space="0" w:color="auto"/>
              <w:right w:val="nil"/>
            </w:tcBorders>
            <w:noWrap/>
            <w:vAlign w:val="bottom"/>
            <w:hideMark/>
          </w:tcPr>
          <w:p w14:paraId="779502B6"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xml:space="preserve">10,372 </w:t>
            </w:r>
          </w:p>
        </w:tc>
      </w:tr>
      <w:tr w:rsidR="005E7495" w:rsidRPr="004A37F2" w14:paraId="63A0418E" w14:textId="77777777" w:rsidTr="005E7495">
        <w:trPr>
          <w:trHeight w:val="210"/>
        </w:trPr>
        <w:tc>
          <w:tcPr>
            <w:tcW w:w="6656" w:type="dxa"/>
            <w:gridSpan w:val="2"/>
            <w:tcBorders>
              <w:top w:val="nil"/>
              <w:left w:val="nil"/>
              <w:bottom w:val="nil"/>
              <w:right w:val="nil"/>
            </w:tcBorders>
            <w:shd w:val="clear" w:color="000000" w:fill="FFFFFF"/>
            <w:noWrap/>
            <w:vAlign w:val="center"/>
            <w:hideMark/>
          </w:tcPr>
          <w:p w14:paraId="58211554" w14:textId="77777777" w:rsidR="005E7495" w:rsidRPr="004A37F2" w:rsidRDefault="005E7495" w:rsidP="00856101">
            <w:pPr>
              <w:spacing w:after="0" w:line="240" w:lineRule="auto"/>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w:t>
            </w:r>
          </w:p>
        </w:tc>
        <w:tc>
          <w:tcPr>
            <w:tcW w:w="1196" w:type="dxa"/>
            <w:gridSpan w:val="2"/>
            <w:tcBorders>
              <w:top w:val="nil"/>
              <w:left w:val="nil"/>
              <w:bottom w:val="nil"/>
              <w:right w:val="nil"/>
            </w:tcBorders>
            <w:shd w:val="clear" w:color="000000" w:fill="FFFFFF"/>
            <w:noWrap/>
            <w:vAlign w:val="bottom"/>
            <w:hideMark/>
          </w:tcPr>
          <w:p w14:paraId="083C11E2" w14:textId="77777777" w:rsidR="005E7495" w:rsidRPr="004A37F2" w:rsidRDefault="005E7495" w:rsidP="00856101">
            <w:pPr>
              <w:spacing w:after="0" w:line="240" w:lineRule="auto"/>
              <w:jc w:val="right"/>
              <w:rPr>
                <w:rFonts w:ascii="Cambria" w:eastAsia="Times New Roman" w:hAnsi="Cambria" w:cs="Calibri"/>
                <w:b/>
                <w:bCs/>
                <w:color w:val="auto"/>
                <w:sz w:val="18"/>
                <w:szCs w:val="18"/>
                <w:lang w:eastAsia="en-AU"/>
              </w:rPr>
            </w:pPr>
            <w:r w:rsidRPr="004A37F2">
              <w:rPr>
                <w:rFonts w:ascii="Cambria" w:eastAsia="Times New Roman" w:hAnsi="Cambria" w:cs="Calibri"/>
                <w:b/>
                <w:bCs/>
                <w:color w:val="auto"/>
                <w:sz w:val="18"/>
                <w:szCs w:val="18"/>
                <w:lang w:eastAsia="en-AU"/>
              </w:rPr>
              <w:t> </w:t>
            </w:r>
          </w:p>
        </w:tc>
        <w:tc>
          <w:tcPr>
            <w:tcW w:w="1196" w:type="dxa"/>
            <w:gridSpan w:val="2"/>
            <w:tcBorders>
              <w:top w:val="nil"/>
              <w:left w:val="nil"/>
              <w:bottom w:val="nil"/>
              <w:right w:val="nil"/>
            </w:tcBorders>
            <w:shd w:val="clear" w:color="000000" w:fill="FFFFFF"/>
            <w:noWrap/>
            <w:vAlign w:val="bottom"/>
            <w:hideMark/>
          </w:tcPr>
          <w:p w14:paraId="0386C0D4" w14:textId="77777777" w:rsidR="005E7495" w:rsidRPr="004A37F2" w:rsidRDefault="005E7495" w:rsidP="00856101">
            <w:pPr>
              <w:spacing w:after="0" w:line="240" w:lineRule="auto"/>
              <w:jc w:val="right"/>
              <w:rPr>
                <w:rFonts w:ascii="Cambria" w:eastAsia="Times New Roman" w:hAnsi="Cambria" w:cs="Calibri"/>
                <w:color w:val="auto"/>
                <w:sz w:val="18"/>
                <w:szCs w:val="18"/>
                <w:lang w:eastAsia="en-AU"/>
              </w:rPr>
            </w:pPr>
            <w:r w:rsidRPr="004A37F2">
              <w:rPr>
                <w:rFonts w:ascii="Cambria" w:eastAsia="Times New Roman" w:hAnsi="Cambria" w:cs="Calibri"/>
                <w:color w:val="auto"/>
                <w:sz w:val="18"/>
                <w:szCs w:val="18"/>
                <w:lang w:eastAsia="en-AU"/>
              </w:rPr>
              <w:t> </w:t>
            </w:r>
          </w:p>
        </w:tc>
      </w:tr>
      <w:tr w:rsidR="005E7495" w:rsidRPr="004A37F2" w14:paraId="2DA2EB37" w14:textId="77777777" w:rsidTr="005E7495">
        <w:trPr>
          <w:trHeight w:val="264"/>
        </w:trPr>
        <w:tc>
          <w:tcPr>
            <w:tcW w:w="6656" w:type="dxa"/>
            <w:gridSpan w:val="2"/>
            <w:tcBorders>
              <w:top w:val="nil"/>
              <w:left w:val="nil"/>
              <w:bottom w:val="nil"/>
              <w:right w:val="nil"/>
            </w:tcBorders>
            <w:hideMark/>
          </w:tcPr>
          <w:p w14:paraId="15FFDBCD" w14:textId="77777777" w:rsidR="005E7495" w:rsidRPr="004A37F2"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hideMark/>
          </w:tcPr>
          <w:p w14:paraId="139FFA94"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hideMark/>
          </w:tcPr>
          <w:p w14:paraId="7B5CAE98"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4A37F2" w14:paraId="65132362" w14:textId="77777777" w:rsidTr="005E7495">
        <w:trPr>
          <w:trHeight w:val="264"/>
        </w:trPr>
        <w:tc>
          <w:tcPr>
            <w:tcW w:w="6656" w:type="dxa"/>
            <w:gridSpan w:val="2"/>
            <w:tcBorders>
              <w:top w:val="nil"/>
              <w:left w:val="nil"/>
              <w:bottom w:val="nil"/>
              <w:right w:val="nil"/>
            </w:tcBorders>
            <w:noWrap/>
            <w:vAlign w:val="bottom"/>
            <w:hideMark/>
          </w:tcPr>
          <w:p w14:paraId="5E266955" w14:textId="036EF757" w:rsidR="005E7495" w:rsidRPr="004A37F2" w:rsidRDefault="005E7495" w:rsidP="00856101">
            <w:pPr>
              <w:spacing w:after="0" w:line="240" w:lineRule="auto"/>
              <w:rPr>
                <w:rFonts w:ascii="Calibri" w:eastAsia="Times New Roman" w:hAnsi="Calibri" w:cs="Calibri"/>
                <w:color w:val="000000"/>
                <w:lang w:eastAsia="en-AU"/>
              </w:rPr>
            </w:pPr>
          </w:p>
          <w:tbl>
            <w:tblPr>
              <w:tblW w:w="0" w:type="auto"/>
              <w:tblCellSpacing w:w="0" w:type="dxa"/>
              <w:tblCellMar>
                <w:left w:w="0" w:type="dxa"/>
                <w:right w:w="0" w:type="dxa"/>
              </w:tblCellMar>
              <w:tblLook w:val="04A0" w:firstRow="1" w:lastRow="0" w:firstColumn="1" w:lastColumn="0" w:noHBand="0" w:noVBand="1"/>
            </w:tblPr>
            <w:tblGrid>
              <w:gridCol w:w="6440"/>
            </w:tblGrid>
            <w:tr w:rsidR="005E7495" w:rsidRPr="004A37F2" w14:paraId="5EEC6D70" w14:textId="77777777" w:rsidTr="00856101">
              <w:trPr>
                <w:trHeight w:val="264"/>
                <w:tblCellSpacing w:w="0" w:type="dxa"/>
              </w:trPr>
              <w:tc>
                <w:tcPr>
                  <w:tcW w:w="6440" w:type="dxa"/>
                  <w:tcBorders>
                    <w:top w:val="nil"/>
                    <w:left w:val="nil"/>
                    <w:bottom w:val="nil"/>
                    <w:right w:val="nil"/>
                  </w:tcBorders>
                  <w:noWrap/>
                  <w:vAlign w:val="bottom"/>
                  <w:hideMark/>
                </w:tcPr>
                <w:p w14:paraId="02A3BF3E" w14:textId="53136DE4" w:rsidR="005E7495" w:rsidRPr="004A37F2" w:rsidRDefault="002D4279" w:rsidP="00856101">
                  <w:pPr>
                    <w:spacing w:after="0" w:line="240" w:lineRule="auto"/>
                    <w:rPr>
                      <w:rFonts w:ascii="Calibri" w:eastAsia="Times New Roman" w:hAnsi="Calibri" w:cs="Calibri"/>
                      <w:color w:val="000000"/>
                      <w:lang w:eastAsia="en-AU"/>
                    </w:rPr>
                  </w:pPr>
                  <w:r w:rsidRPr="004A37F2">
                    <w:rPr>
                      <w:rFonts w:ascii="Calibri" w:eastAsia="Times New Roman" w:hAnsi="Calibri" w:cs="Calibri"/>
                      <w:noProof/>
                      <w:color w:val="000000"/>
                      <w:lang w:eastAsia="en-AU"/>
                    </w:rPr>
                    <mc:AlternateContent>
                      <mc:Choice Requires="wps">
                        <w:drawing>
                          <wp:anchor distT="0" distB="0" distL="114300" distR="114300" simplePos="0" relativeHeight="251705344" behindDoc="0" locked="0" layoutInCell="1" allowOverlap="1" wp14:anchorId="68D46F6D" wp14:editId="498D512B">
                            <wp:simplePos x="0" y="0"/>
                            <wp:positionH relativeFrom="column">
                              <wp:posOffset>1905</wp:posOffset>
                            </wp:positionH>
                            <wp:positionV relativeFrom="paragraph">
                              <wp:posOffset>67310</wp:posOffset>
                            </wp:positionV>
                            <wp:extent cx="5455920" cy="581025"/>
                            <wp:effectExtent l="0" t="0" r="11430" b="28575"/>
                            <wp:wrapNone/>
                            <wp:docPr id="465782428" name="Text Box 66">
                              <a:extLst xmlns:a="http://schemas.openxmlformats.org/drawingml/2006/main">
                                <a:ext uri="{FF2B5EF4-FFF2-40B4-BE49-F238E27FC236}">
                                  <a16:creationId xmlns:a16="http://schemas.microsoft.com/office/drawing/2014/main" id="{00000000-0008-0000-1200-000002000000}"/>
                                </a:ext>
                              </a:extLst>
                            </wp:docPr>
                            <wp:cNvGraphicFramePr/>
                            <a:graphic xmlns:a="http://schemas.openxmlformats.org/drawingml/2006/main">
                              <a:graphicData uri="http://schemas.microsoft.com/office/word/2010/wordprocessingShape">
                                <wps:wsp>
                                  <wps:cNvSpPr txBox="1"/>
                                  <wps:spPr>
                                    <a:xfrm>
                                      <a:off x="0" y="0"/>
                                      <a:ext cx="5455920" cy="581025"/>
                                    </a:xfrm>
                                    <a:prstGeom prst="rect">
                                      <a:avLst/>
                                    </a:prstGeom>
                                    <a:noFill/>
                                    <a:ln w="12700" cap="flat" cmpd="sng" algn="ctr">
                                      <a:solidFill>
                                        <a:srgbClr val="00956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276F36DF" w14:textId="77777777" w:rsidR="005E7495" w:rsidRPr="00067431" w:rsidRDefault="005E7495" w:rsidP="005E7495">
                                        <w:pPr>
                                          <w:rPr>
                                            <w:rFonts w:cs="Arial"/>
                                            <w:sz w:val="18"/>
                                            <w:szCs w:val="18"/>
                                          </w:rPr>
                                        </w:pPr>
                                        <w:r w:rsidRPr="00067431">
                                          <w:rPr>
                                            <w:rFonts w:cs="Arial"/>
                                            <w:sz w:val="18"/>
                                            <w:szCs w:val="18"/>
                                          </w:rPr>
                                          <w:t>The lease for IHACPA's office space at Level 12, 1 Oxford Street Sydney commenced on 1 March 2022 for a term of 5 years (with a 5 year extension option).</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68D46F6D" id="Text Box 66" o:spid="_x0000_s1040" type="#_x0000_t202" style="position:absolute;margin-left:.15pt;margin-top:5.3pt;width:429.6pt;height:45.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" filled="f" strokecolor="#009560" strokeweight="1pt">
                            <v:stroke joinstyle="round"/>
                            <v:textbox>
                              <w:txbxContent>
                                <w:p w14:paraId="276F36DF" w14:textId="77777777" w:rsidR="005E7495" w:rsidRPr="00067431" w:rsidRDefault="005E7495" w:rsidP="005E7495">
                                  <w:pPr>
                                    <w:rPr>
                                      <w:rFonts w:cs="Arial"/>
                                      <w:sz w:val="18"/>
                                      <w:szCs w:val="18"/>
                                    </w:rPr>
                                  </w:pPr>
                                  <w:r w:rsidRPr="00067431">
                                    <w:rPr>
                                      <w:rFonts w:cs="Arial"/>
                                      <w:sz w:val="18"/>
                                      <w:szCs w:val="18"/>
                                    </w:rPr>
                                    <w:t>The lease for IHACPA's office space at Level 12, 1 Oxford Street Sydney commenced on 1 March 2022 for a term of 5 years (with a 5 year extension option).</w:t>
                                  </w:r>
                                </w:p>
                              </w:txbxContent>
                            </v:textbox>
                          </v:shape>
                        </w:pict>
                      </mc:Fallback>
                    </mc:AlternateContent>
                  </w:r>
                </w:p>
              </w:tc>
            </w:tr>
          </w:tbl>
          <w:p w14:paraId="2F2F3935" w14:textId="77777777" w:rsidR="005E7495" w:rsidRPr="004A37F2" w:rsidRDefault="005E7495" w:rsidP="00856101">
            <w:pPr>
              <w:spacing w:after="0" w:line="240" w:lineRule="auto"/>
              <w:rPr>
                <w:rFonts w:ascii="Calibri" w:eastAsia="Times New Roman" w:hAnsi="Calibri" w:cs="Calibri"/>
                <w:color w:val="000000"/>
                <w:lang w:eastAsia="en-AU"/>
              </w:rPr>
            </w:pPr>
          </w:p>
        </w:tc>
        <w:tc>
          <w:tcPr>
            <w:tcW w:w="1196" w:type="dxa"/>
            <w:gridSpan w:val="2"/>
            <w:tcBorders>
              <w:top w:val="nil"/>
              <w:left w:val="nil"/>
              <w:bottom w:val="nil"/>
              <w:right w:val="nil"/>
            </w:tcBorders>
            <w:noWrap/>
            <w:vAlign w:val="bottom"/>
            <w:hideMark/>
          </w:tcPr>
          <w:p w14:paraId="41B276BA"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76819A8E"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4A37F2" w14:paraId="31AB3749" w14:textId="77777777" w:rsidTr="005E7495">
        <w:trPr>
          <w:trHeight w:val="264"/>
        </w:trPr>
        <w:tc>
          <w:tcPr>
            <w:tcW w:w="6656" w:type="dxa"/>
            <w:gridSpan w:val="2"/>
            <w:tcBorders>
              <w:top w:val="nil"/>
              <w:left w:val="nil"/>
              <w:bottom w:val="nil"/>
              <w:right w:val="nil"/>
            </w:tcBorders>
            <w:noWrap/>
            <w:vAlign w:val="bottom"/>
            <w:hideMark/>
          </w:tcPr>
          <w:p w14:paraId="2A4152BA"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270F612B"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140F7FEC"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4A37F2" w14:paraId="509E26E9" w14:textId="77777777" w:rsidTr="005E7495">
        <w:trPr>
          <w:trHeight w:val="264"/>
        </w:trPr>
        <w:tc>
          <w:tcPr>
            <w:tcW w:w="6656" w:type="dxa"/>
            <w:gridSpan w:val="2"/>
            <w:tcBorders>
              <w:top w:val="nil"/>
              <w:left w:val="nil"/>
              <w:bottom w:val="nil"/>
              <w:right w:val="nil"/>
            </w:tcBorders>
            <w:noWrap/>
            <w:vAlign w:val="bottom"/>
            <w:hideMark/>
          </w:tcPr>
          <w:p w14:paraId="1074A7FD"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665D5ECA"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270A48F8"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4A37F2" w14:paraId="366AF82C" w14:textId="77777777" w:rsidTr="005E7495">
        <w:trPr>
          <w:trHeight w:val="264"/>
        </w:trPr>
        <w:tc>
          <w:tcPr>
            <w:tcW w:w="6656" w:type="dxa"/>
            <w:gridSpan w:val="2"/>
            <w:tcBorders>
              <w:top w:val="nil"/>
              <w:left w:val="nil"/>
              <w:bottom w:val="nil"/>
              <w:right w:val="nil"/>
            </w:tcBorders>
            <w:noWrap/>
            <w:vAlign w:val="bottom"/>
            <w:hideMark/>
          </w:tcPr>
          <w:p w14:paraId="5E47AA29"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7E57C7D9"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089AD1B0"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4A37F2" w14:paraId="73FDC0A5" w14:textId="77777777" w:rsidTr="005E7495">
        <w:trPr>
          <w:trHeight w:val="264"/>
        </w:trPr>
        <w:tc>
          <w:tcPr>
            <w:tcW w:w="6656" w:type="dxa"/>
            <w:gridSpan w:val="2"/>
            <w:tcBorders>
              <w:top w:val="nil"/>
              <w:left w:val="nil"/>
              <w:bottom w:val="nil"/>
              <w:right w:val="nil"/>
            </w:tcBorders>
            <w:noWrap/>
            <w:vAlign w:val="bottom"/>
            <w:hideMark/>
          </w:tcPr>
          <w:p w14:paraId="40BF8268"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0DFAA221"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96" w:type="dxa"/>
            <w:gridSpan w:val="2"/>
            <w:tcBorders>
              <w:top w:val="nil"/>
              <w:left w:val="nil"/>
              <w:bottom w:val="nil"/>
              <w:right w:val="nil"/>
            </w:tcBorders>
            <w:noWrap/>
            <w:vAlign w:val="bottom"/>
            <w:hideMark/>
          </w:tcPr>
          <w:p w14:paraId="632A975D" w14:textId="77777777" w:rsidR="005E7495" w:rsidRPr="004A37F2" w:rsidRDefault="005E7495" w:rsidP="00856101">
            <w:pPr>
              <w:spacing w:after="0" w:line="240" w:lineRule="auto"/>
              <w:rPr>
                <w:rFonts w:ascii="Times New Roman" w:eastAsia="Times New Roman" w:hAnsi="Times New Roman" w:cs="Times New Roman"/>
                <w:color w:val="auto"/>
                <w:sz w:val="20"/>
                <w:szCs w:val="20"/>
                <w:lang w:eastAsia="en-AU"/>
              </w:rPr>
            </w:pPr>
          </w:p>
        </w:tc>
      </w:tr>
    </w:tbl>
    <w:p w14:paraId="44FCA9B7" w14:textId="77777777" w:rsidR="005E7495" w:rsidRDefault="005E7495" w:rsidP="00724246">
      <w:pPr>
        <w:pStyle w:val="Sectionnumber"/>
        <w:rPr>
          <w:rFonts w:ascii="Arial" w:hAnsi="Arial" w:cs="Arial"/>
          <w:color w:val="15272F" w:themeColor="text1"/>
        </w:rPr>
      </w:pPr>
    </w:p>
    <w:p w14:paraId="1FE88D54" w14:textId="77777777" w:rsidR="005E7495" w:rsidRDefault="005E7495" w:rsidP="005E7495">
      <w:pPr>
        <w:pStyle w:val="Heading1"/>
      </w:pPr>
      <w:bookmarkStart w:id="1018" w:name="_Toc235786181"/>
      <w:bookmarkStart w:id="1019" w:name="_Toc235787512"/>
      <w:bookmarkStart w:id="1020" w:name="_Toc235791650"/>
      <w:r>
        <w:lastRenderedPageBreak/>
        <w:t>People and relationships</w:t>
      </w:r>
      <w:bookmarkEnd w:id="1018"/>
      <w:bookmarkEnd w:id="1019"/>
      <w:bookmarkEnd w:id="1020"/>
      <w:r>
        <w:t xml:space="preserve"> </w:t>
      </w:r>
    </w:p>
    <w:p w14:paraId="378291C1" w14:textId="77777777" w:rsidR="005E7495" w:rsidRPr="00662FEF" w:rsidRDefault="005E7495" w:rsidP="005E7495">
      <w:r>
        <w:t xml:space="preserve">This section describes a range of employment and post-employment benefits provided to our people and our relationships with other key people. </w:t>
      </w:r>
    </w:p>
    <w:tbl>
      <w:tblPr>
        <w:tblW w:w="8408" w:type="dxa"/>
        <w:tblLook w:val="04A0" w:firstRow="1" w:lastRow="0" w:firstColumn="1" w:lastColumn="0" w:noHBand="0" w:noVBand="1"/>
      </w:tblPr>
      <w:tblGrid>
        <w:gridCol w:w="6096"/>
        <w:gridCol w:w="1156"/>
        <w:gridCol w:w="1156"/>
      </w:tblGrid>
      <w:tr w:rsidR="005E7495" w:rsidRPr="00AB2F37" w14:paraId="3D1B2DC2" w14:textId="77777777" w:rsidTr="00856101">
        <w:trPr>
          <w:trHeight w:val="300"/>
        </w:trPr>
        <w:tc>
          <w:tcPr>
            <w:tcW w:w="6096" w:type="dxa"/>
            <w:tcBorders>
              <w:top w:val="single" w:sz="4" w:space="0" w:color="FFFFFF"/>
              <w:left w:val="nil"/>
              <w:bottom w:val="single" w:sz="4" w:space="0" w:color="FFFFFF"/>
              <w:right w:val="nil"/>
            </w:tcBorders>
            <w:shd w:val="clear" w:color="000000" w:fill="37424A"/>
            <w:noWrap/>
            <w:vAlign w:val="center"/>
            <w:hideMark/>
          </w:tcPr>
          <w:p w14:paraId="271E6278" w14:textId="77777777" w:rsidR="005E7495" w:rsidRPr="00AB2F37" w:rsidRDefault="005E7495" w:rsidP="00856101">
            <w:pPr>
              <w:spacing w:after="0" w:line="240" w:lineRule="auto"/>
              <w:rPr>
                <w:rFonts w:ascii="Cambria" w:eastAsia="Times New Roman" w:hAnsi="Cambria" w:cs="Calibri"/>
                <w:b/>
                <w:bCs/>
                <w:color w:val="FFFFFF"/>
                <w:sz w:val="18"/>
                <w:szCs w:val="18"/>
                <w:lang w:eastAsia="en-AU"/>
              </w:rPr>
            </w:pPr>
            <w:r w:rsidRPr="00AB2F37">
              <w:rPr>
                <w:rFonts w:ascii="Cambria" w:eastAsia="Times New Roman" w:hAnsi="Cambria" w:cs="Calibri"/>
                <w:b/>
                <w:bCs/>
                <w:color w:val="FFFFFF"/>
                <w:sz w:val="18"/>
                <w:szCs w:val="18"/>
                <w:lang w:eastAsia="en-AU"/>
              </w:rPr>
              <w:t>Note 3.1 Employee provisions</w:t>
            </w:r>
          </w:p>
        </w:tc>
        <w:tc>
          <w:tcPr>
            <w:tcW w:w="1156" w:type="dxa"/>
            <w:tcBorders>
              <w:top w:val="single" w:sz="4" w:space="0" w:color="FFFFFF"/>
              <w:left w:val="nil"/>
              <w:bottom w:val="single" w:sz="4" w:space="0" w:color="FFFFFF"/>
              <w:right w:val="nil"/>
            </w:tcBorders>
            <w:shd w:val="clear" w:color="000000" w:fill="37424A"/>
            <w:noWrap/>
            <w:vAlign w:val="center"/>
            <w:hideMark/>
          </w:tcPr>
          <w:p w14:paraId="53B468C3" w14:textId="77777777" w:rsidR="005E7495" w:rsidRPr="00AB2F37" w:rsidRDefault="005E7495" w:rsidP="00856101">
            <w:pPr>
              <w:spacing w:after="0" w:line="240" w:lineRule="auto"/>
              <w:rPr>
                <w:rFonts w:ascii="Cambria" w:eastAsia="Times New Roman" w:hAnsi="Cambria" w:cs="Calibri"/>
                <w:b/>
                <w:bCs/>
                <w:color w:val="FFFFFF"/>
                <w:sz w:val="18"/>
                <w:szCs w:val="18"/>
                <w:lang w:eastAsia="en-AU"/>
              </w:rPr>
            </w:pPr>
            <w:r w:rsidRPr="00AB2F37">
              <w:rPr>
                <w:rFonts w:ascii="Cambria" w:eastAsia="Times New Roman" w:hAnsi="Cambria" w:cs="Calibri"/>
                <w:b/>
                <w:bCs/>
                <w:color w:val="FFFFFF"/>
                <w:sz w:val="18"/>
                <w:szCs w:val="18"/>
                <w:lang w:eastAsia="en-AU"/>
              </w:rPr>
              <w:t> </w:t>
            </w:r>
          </w:p>
        </w:tc>
        <w:tc>
          <w:tcPr>
            <w:tcW w:w="1156" w:type="dxa"/>
            <w:tcBorders>
              <w:top w:val="single" w:sz="4" w:space="0" w:color="FFFFFF"/>
              <w:left w:val="nil"/>
              <w:bottom w:val="single" w:sz="4" w:space="0" w:color="FFFFFF"/>
              <w:right w:val="nil"/>
            </w:tcBorders>
            <w:shd w:val="clear" w:color="000000" w:fill="37424A"/>
            <w:noWrap/>
            <w:vAlign w:val="center"/>
            <w:hideMark/>
          </w:tcPr>
          <w:p w14:paraId="4B23F281" w14:textId="77777777" w:rsidR="005E7495" w:rsidRPr="00AB2F37" w:rsidRDefault="005E7495" w:rsidP="00856101">
            <w:pPr>
              <w:spacing w:after="0" w:line="240" w:lineRule="auto"/>
              <w:rPr>
                <w:rFonts w:ascii="Cambria" w:eastAsia="Times New Roman" w:hAnsi="Cambria" w:cs="Calibri"/>
                <w:b/>
                <w:bCs/>
                <w:color w:val="FFFFFF"/>
                <w:sz w:val="18"/>
                <w:szCs w:val="18"/>
                <w:lang w:eastAsia="en-AU"/>
              </w:rPr>
            </w:pPr>
            <w:r w:rsidRPr="00AB2F37">
              <w:rPr>
                <w:rFonts w:ascii="Cambria" w:eastAsia="Times New Roman" w:hAnsi="Cambria" w:cs="Calibri"/>
                <w:b/>
                <w:bCs/>
                <w:color w:val="FFFFFF"/>
                <w:sz w:val="18"/>
                <w:szCs w:val="18"/>
                <w:lang w:eastAsia="en-AU"/>
              </w:rPr>
              <w:t> </w:t>
            </w:r>
          </w:p>
        </w:tc>
      </w:tr>
      <w:tr w:rsidR="005E7495" w:rsidRPr="00AB2F37" w14:paraId="01704C58" w14:textId="77777777" w:rsidTr="00856101">
        <w:trPr>
          <w:trHeight w:val="147"/>
        </w:trPr>
        <w:tc>
          <w:tcPr>
            <w:tcW w:w="6096" w:type="dxa"/>
            <w:tcBorders>
              <w:top w:val="nil"/>
              <w:left w:val="nil"/>
              <w:bottom w:val="nil"/>
              <w:right w:val="nil"/>
            </w:tcBorders>
            <w:noWrap/>
            <w:vAlign w:val="bottom"/>
            <w:hideMark/>
          </w:tcPr>
          <w:p w14:paraId="56B73EB9" w14:textId="77777777" w:rsidR="005E7495" w:rsidRPr="00AB2F37" w:rsidRDefault="005E7495" w:rsidP="00856101">
            <w:pPr>
              <w:spacing w:after="0" w:line="240" w:lineRule="auto"/>
              <w:rPr>
                <w:rFonts w:ascii="Cambria" w:eastAsia="Times New Roman" w:hAnsi="Cambria" w:cs="Calibri"/>
                <w:b/>
                <w:bCs/>
                <w:color w:val="FFFFFF"/>
                <w:sz w:val="18"/>
                <w:szCs w:val="18"/>
                <w:lang w:eastAsia="en-AU"/>
              </w:rPr>
            </w:pPr>
          </w:p>
        </w:tc>
        <w:tc>
          <w:tcPr>
            <w:tcW w:w="1156" w:type="dxa"/>
            <w:tcBorders>
              <w:top w:val="nil"/>
              <w:left w:val="nil"/>
              <w:bottom w:val="nil"/>
              <w:right w:val="nil"/>
            </w:tcBorders>
            <w:noWrap/>
            <w:vAlign w:val="bottom"/>
            <w:hideMark/>
          </w:tcPr>
          <w:p w14:paraId="4EEE117A"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1E216018"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AB2F37" w14:paraId="5B313707" w14:textId="77777777" w:rsidTr="00856101">
        <w:trPr>
          <w:trHeight w:val="255"/>
        </w:trPr>
        <w:tc>
          <w:tcPr>
            <w:tcW w:w="6096" w:type="dxa"/>
            <w:tcBorders>
              <w:top w:val="nil"/>
              <w:left w:val="nil"/>
              <w:bottom w:val="nil"/>
              <w:right w:val="nil"/>
            </w:tcBorders>
            <w:hideMark/>
          </w:tcPr>
          <w:p w14:paraId="4C2D745B"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vAlign w:val="bottom"/>
            <w:hideMark/>
          </w:tcPr>
          <w:p w14:paraId="06D59D3B" w14:textId="77777777" w:rsidR="005E7495" w:rsidRPr="00AB2F37" w:rsidRDefault="005E7495" w:rsidP="00856101">
            <w:pPr>
              <w:spacing w:after="0" w:line="240" w:lineRule="auto"/>
              <w:jc w:val="right"/>
              <w:rPr>
                <w:rFonts w:ascii="Cambria" w:eastAsia="Times New Roman" w:hAnsi="Cambria" w:cs="Calibri"/>
                <w:b/>
                <w:bCs/>
                <w:color w:val="auto"/>
                <w:sz w:val="18"/>
                <w:szCs w:val="18"/>
                <w:lang w:eastAsia="en-AU"/>
              </w:rPr>
            </w:pPr>
            <w:r w:rsidRPr="00AB2F37">
              <w:rPr>
                <w:rFonts w:ascii="Cambria" w:eastAsia="Times New Roman" w:hAnsi="Cambria" w:cs="Calibri"/>
                <w:b/>
                <w:bCs/>
                <w:color w:val="auto"/>
                <w:sz w:val="18"/>
                <w:szCs w:val="18"/>
                <w:lang w:eastAsia="en-AU"/>
              </w:rPr>
              <w:t>2026</w:t>
            </w:r>
          </w:p>
        </w:tc>
        <w:tc>
          <w:tcPr>
            <w:tcW w:w="1156" w:type="dxa"/>
            <w:tcBorders>
              <w:top w:val="nil"/>
              <w:left w:val="nil"/>
              <w:bottom w:val="nil"/>
              <w:right w:val="nil"/>
            </w:tcBorders>
            <w:vAlign w:val="bottom"/>
            <w:hideMark/>
          </w:tcPr>
          <w:p w14:paraId="4BFD9B07" w14:textId="77777777" w:rsidR="005E7495" w:rsidRPr="00AB2F37" w:rsidRDefault="005E7495" w:rsidP="00856101">
            <w:pPr>
              <w:spacing w:after="0" w:line="240" w:lineRule="auto"/>
              <w:jc w:val="right"/>
              <w:rPr>
                <w:rFonts w:ascii="Cambria" w:eastAsia="Times New Roman" w:hAnsi="Cambria" w:cs="Calibri"/>
                <w:color w:val="auto"/>
                <w:sz w:val="18"/>
                <w:szCs w:val="18"/>
                <w:lang w:eastAsia="en-AU"/>
              </w:rPr>
            </w:pPr>
            <w:r w:rsidRPr="00AB2F37">
              <w:rPr>
                <w:rFonts w:ascii="Cambria" w:eastAsia="Times New Roman" w:hAnsi="Cambria" w:cs="Calibri"/>
                <w:color w:val="auto"/>
                <w:sz w:val="18"/>
                <w:szCs w:val="18"/>
                <w:lang w:eastAsia="en-AU"/>
              </w:rPr>
              <w:t>2025</w:t>
            </w:r>
          </w:p>
        </w:tc>
      </w:tr>
      <w:tr w:rsidR="005E7495" w:rsidRPr="00AB2F37" w14:paraId="7F0DD3F8" w14:textId="77777777" w:rsidTr="00856101">
        <w:trPr>
          <w:trHeight w:val="255"/>
        </w:trPr>
        <w:tc>
          <w:tcPr>
            <w:tcW w:w="6096" w:type="dxa"/>
            <w:tcBorders>
              <w:top w:val="nil"/>
              <w:left w:val="nil"/>
              <w:bottom w:val="single" w:sz="8" w:space="0" w:color="009560"/>
              <w:right w:val="nil"/>
            </w:tcBorders>
            <w:hideMark/>
          </w:tcPr>
          <w:p w14:paraId="0A18FF6F" w14:textId="77777777" w:rsidR="005E7495" w:rsidRPr="00AB2F37" w:rsidRDefault="005E7495" w:rsidP="00856101">
            <w:pPr>
              <w:spacing w:after="0" w:line="240" w:lineRule="auto"/>
              <w:rPr>
                <w:rFonts w:ascii="Cambria" w:eastAsia="Times New Roman" w:hAnsi="Cambria" w:cs="Calibri"/>
                <w:color w:val="auto"/>
                <w:sz w:val="18"/>
                <w:szCs w:val="18"/>
                <w:lang w:eastAsia="en-AU"/>
              </w:rPr>
            </w:pPr>
            <w:r w:rsidRPr="00AB2F37">
              <w:rPr>
                <w:rFonts w:ascii="Cambria" w:eastAsia="Times New Roman" w:hAnsi="Cambria" w:cs="Calibri"/>
                <w:color w:val="auto"/>
                <w:sz w:val="18"/>
                <w:szCs w:val="18"/>
                <w:lang w:eastAsia="en-AU"/>
              </w:rPr>
              <w:t> </w:t>
            </w:r>
          </w:p>
        </w:tc>
        <w:tc>
          <w:tcPr>
            <w:tcW w:w="1156" w:type="dxa"/>
            <w:tcBorders>
              <w:top w:val="nil"/>
              <w:left w:val="nil"/>
              <w:bottom w:val="single" w:sz="8" w:space="0" w:color="009560"/>
              <w:right w:val="nil"/>
            </w:tcBorders>
            <w:hideMark/>
          </w:tcPr>
          <w:p w14:paraId="7C0BEA69" w14:textId="77777777" w:rsidR="005E7495" w:rsidRPr="00AB2F37" w:rsidRDefault="005E7495" w:rsidP="00856101">
            <w:pPr>
              <w:spacing w:after="0" w:line="240" w:lineRule="auto"/>
              <w:jc w:val="right"/>
              <w:rPr>
                <w:rFonts w:ascii="Cambria" w:eastAsia="Times New Roman" w:hAnsi="Cambria" w:cs="Calibri"/>
                <w:b/>
                <w:bCs/>
                <w:color w:val="auto"/>
                <w:sz w:val="18"/>
                <w:szCs w:val="18"/>
                <w:lang w:eastAsia="en-AU"/>
              </w:rPr>
            </w:pPr>
            <w:r w:rsidRPr="00AB2F37">
              <w:rPr>
                <w:rFonts w:ascii="Cambria" w:eastAsia="Times New Roman" w:hAnsi="Cambria" w:cs="Calibri"/>
                <w:b/>
                <w:bCs/>
                <w:color w:val="auto"/>
                <w:sz w:val="18"/>
                <w:szCs w:val="18"/>
                <w:lang w:eastAsia="en-AU"/>
              </w:rPr>
              <w:t>$’000</w:t>
            </w:r>
          </w:p>
        </w:tc>
        <w:tc>
          <w:tcPr>
            <w:tcW w:w="1156" w:type="dxa"/>
            <w:tcBorders>
              <w:top w:val="nil"/>
              <w:left w:val="nil"/>
              <w:bottom w:val="single" w:sz="8" w:space="0" w:color="009560"/>
              <w:right w:val="nil"/>
            </w:tcBorders>
            <w:hideMark/>
          </w:tcPr>
          <w:p w14:paraId="702CBAF9" w14:textId="77777777" w:rsidR="005E7495" w:rsidRPr="00AB2F37" w:rsidRDefault="005E7495" w:rsidP="00856101">
            <w:pPr>
              <w:spacing w:after="0" w:line="240" w:lineRule="auto"/>
              <w:jc w:val="right"/>
              <w:rPr>
                <w:rFonts w:ascii="Cambria" w:eastAsia="Times New Roman" w:hAnsi="Cambria" w:cs="Calibri"/>
                <w:color w:val="auto"/>
                <w:sz w:val="18"/>
                <w:szCs w:val="18"/>
                <w:lang w:eastAsia="en-AU"/>
              </w:rPr>
            </w:pPr>
            <w:r w:rsidRPr="00AB2F37">
              <w:rPr>
                <w:rFonts w:ascii="Cambria" w:eastAsia="Times New Roman" w:hAnsi="Cambria" w:cs="Calibri"/>
                <w:color w:val="auto"/>
                <w:sz w:val="18"/>
                <w:szCs w:val="18"/>
                <w:lang w:eastAsia="en-AU"/>
              </w:rPr>
              <w:t>$’000</w:t>
            </w:r>
          </w:p>
        </w:tc>
      </w:tr>
      <w:tr w:rsidR="005E7495" w:rsidRPr="00AB2F37" w14:paraId="50EA2F71" w14:textId="77777777" w:rsidTr="00856101">
        <w:trPr>
          <w:trHeight w:val="255"/>
        </w:trPr>
        <w:tc>
          <w:tcPr>
            <w:tcW w:w="6096" w:type="dxa"/>
            <w:tcBorders>
              <w:top w:val="nil"/>
              <w:left w:val="nil"/>
              <w:bottom w:val="nil"/>
              <w:right w:val="nil"/>
            </w:tcBorders>
            <w:hideMark/>
          </w:tcPr>
          <w:p w14:paraId="5089D87D" w14:textId="77777777" w:rsidR="005E7495" w:rsidRPr="00AB2F37" w:rsidRDefault="005E7495" w:rsidP="00856101">
            <w:pPr>
              <w:spacing w:after="0" w:line="240" w:lineRule="auto"/>
              <w:jc w:val="right"/>
              <w:rPr>
                <w:rFonts w:ascii="Cambria" w:eastAsia="Times New Roman" w:hAnsi="Cambria" w:cs="Calibri"/>
                <w:color w:val="auto"/>
                <w:sz w:val="18"/>
                <w:szCs w:val="18"/>
                <w:lang w:eastAsia="en-AU"/>
              </w:rPr>
            </w:pPr>
          </w:p>
        </w:tc>
        <w:tc>
          <w:tcPr>
            <w:tcW w:w="1156" w:type="dxa"/>
            <w:tcBorders>
              <w:top w:val="nil"/>
              <w:left w:val="nil"/>
              <w:bottom w:val="nil"/>
              <w:right w:val="nil"/>
            </w:tcBorders>
            <w:hideMark/>
          </w:tcPr>
          <w:p w14:paraId="534315F1"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hideMark/>
          </w:tcPr>
          <w:p w14:paraId="4FAD92EB"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6FCA6569" w14:textId="77777777" w:rsidTr="00856101">
        <w:trPr>
          <w:trHeight w:val="255"/>
        </w:trPr>
        <w:tc>
          <w:tcPr>
            <w:tcW w:w="6096" w:type="dxa"/>
            <w:tcBorders>
              <w:top w:val="nil"/>
              <w:left w:val="nil"/>
              <w:bottom w:val="nil"/>
              <w:right w:val="nil"/>
            </w:tcBorders>
            <w:noWrap/>
            <w:vAlign w:val="bottom"/>
            <w:hideMark/>
          </w:tcPr>
          <w:p w14:paraId="432AD55F" w14:textId="77777777" w:rsidR="005E7495" w:rsidRPr="00AB2F37" w:rsidRDefault="005E7495" w:rsidP="00856101">
            <w:pPr>
              <w:spacing w:after="0" w:line="240" w:lineRule="auto"/>
              <w:rPr>
                <w:rFonts w:ascii="Cambria" w:eastAsia="Times New Roman" w:hAnsi="Cambria" w:cs="Calibri"/>
                <w:b/>
                <w:bCs/>
                <w:color w:val="auto"/>
                <w:sz w:val="18"/>
                <w:szCs w:val="18"/>
                <w:u w:val="single"/>
                <w:lang w:eastAsia="en-AU"/>
              </w:rPr>
            </w:pPr>
            <w:r w:rsidRPr="00AB2F37">
              <w:rPr>
                <w:rFonts w:ascii="Cambria" w:eastAsia="Times New Roman" w:hAnsi="Cambria" w:cs="Calibri"/>
                <w:b/>
                <w:bCs/>
                <w:color w:val="auto"/>
                <w:sz w:val="18"/>
                <w:szCs w:val="18"/>
                <w:u w:val="single"/>
                <w:lang w:eastAsia="en-AU"/>
              </w:rPr>
              <w:t>Note 3.1A: Employee provisions</w:t>
            </w:r>
          </w:p>
        </w:tc>
        <w:tc>
          <w:tcPr>
            <w:tcW w:w="1156" w:type="dxa"/>
            <w:tcBorders>
              <w:top w:val="nil"/>
              <w:left w:val="nil"/>
              <w:bottom w:val="nil"/>
              <w:right w:val="nil"/>
            </w:tcBorders>
            <w:hideMark/>
          </w:tcPr>
          <w:p w14:paraId="5D4876C0" w14:textId="77777777" w:rsidR="005E7495" w:rsidRPr="00AB2F37" w:rsidRDefault="005E7495" w:rsidP="00856101">
            <w:pPr>
              <w:spacing w:after="0" w:line="240" w:lineRule="auto"/>
              <w:rPr>
                <w:rFonts w:ascii="Cambria" w:eastAsia="Times New Roman" w:hAnsi="Cambria" w:cs="Calibri"/>
                <w:b/>
                <w:bCs/>
                <w:color w:val="auto"/>
                <w:sz w:val="18"/>
                <w:szCs w:val="18"/>
                <w:u w:val="single"/>
                <w:lang w:eastAsia="en-AU"/>
              </w:rPr>
            </w:pPr>
          </w:p>
        </w:tc>
        <w:tc>
          <w:tcPr>
            <w:tcW w:w="1156" w:type="dxa"/>
            <w:tcBorders>
              <w:top w:val="nil"/>
              <w:left w:val="nil"/>
              <w:bottom w:val="nil"/>
              <w:right w:val="nil"/>
            </w:tcBorders>
            <w:hideMark/>
          </w:tcPr>
          <w:p w14:paraId="40008A67"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09FBCECD" w14:textId="77777777" w:rsidTr="00856101">
        <w:trPr>
          <w:trHeight w:val="255"/>
        </w:trPr>
        <w:tc>
          <w:tcPr>
            <w:tcW w:w="6096" w:type="dxa"/>
            <w:tcBorders>
              <w:top w:val="nil"/>
              <w:left w:val="nil"/>
              <w:bottom w:val="nil"/>
              <w:right w:val="nil"/>
            </w:tcBorders>
            <w:shd w:val="clear" w:color="000000" w:fill="FFFFFF"/>
            <w:hideMark/>
          </w:tcPr>
          <w:p w14:paraId="42A15EBC" w14:textId="77777777" w:rsidR="005E7495" w:rsidRPr="00AB2F37" w:rsidRDefault="005E7495" w:rsidP="00856101">
            <w:pPr>
              <w:spacing w:after="0" w:line="240" w:lineRule="auto"/>
              <w:rPr>
                <w:rFonts w:ascii="Cambria" w:eastAsia="Times New Roman" w:hAnsi="Cambria" w:cs="Calibri"/>
                <w:color w:val="auto"/>
                <w:sz w:val="18"/>
                <w:szCs w:val="18"/>
                <w:lang w:eastAsia="en-AU"/>
              </w:rPr>
            </w:pPr>
            <w:r w:rsidRPr="00AB2F37">
              <w:rPr>
                <w:rFonts w:ascii="Cambria" w:eastAsia="Times New Roman" w:hAnsi="Cambria" w:cs="Calibri"/>
                <w:color w:val="auto"/>
                <w:sz w:val="18"/>
                <w:szCs w:val="18"/>
                <w:lang w:eastAsia="en-AU"/>
              </w:rPr>
              <w:t>Leave</w:t>
            </w:r>
          </w:p>
        </w:tc>
        <w:tc>
          <w:tcPr>
            <w:tcW w:w="1156" w:type="dxa"/>
            <w:tcBorders>
              <w:top w:val="nil"/>
              <w:left w:val="nil"/>
              <w:bottom w:val="nil"/>
              <w:right w:val="nil"/>
            </w:tcBorders>
            <w:shd w:val="clear" w:color="000000" w:fill="FFFFFF"/>
            <w:noWrap/>
            <w:vAlign w:val="bottom"/>
            <w:hideMark/>
          </w:tcPr>
          <w:p w14:paraId="43BC3A39" w14:textId="77777777" w:rsidR="005E7495" w:rsidRPr="00AB2F37" w:rsidRDefault="005E7495" w:rsidP="00856101">
            <w:pPr>
              <w:spacing w:after="0" w:line="240" w:lineRule="auto"/>
              <w:jc w:val="right"/>
              <w:rPr>
                <w:rFonts w:ascii="Cambria" w:eastAsia="Times New Roman" w:hAnsi="Cambria" w:cs="Calibri"/>
                <w:b/>
                <w:bCs/>
                <w:color w:val="auto"/>
                <w:sz w:val="18"/>
                <w:szCs w:val="18"/>
                <w:lang w:eastAsia="en-AU"/>
              </w:rPr>
            </w:pPr>
            <w:r w:rsidRPr="00AB2F37">
              <w:rPr>
                <w:rFonts w:ascii="Cambria" w:eastAsia="Times New Roman" w:hAnsi="Cambria" w:cs="Calibri"/>
                <w:b/>
                <w:bCs/>
                <w:color w:val="auto"/>
                <w:sz w:val="18"/>
                <w:szCs w:val="18"/>
                <w:lang w:eastAsia="en-AU"/>
              </w:rPr>
              <w:t xml:space="preserve">214 </w:t>
            </w:r>
          </w:p>
        </w:tc>
        <w:tc>
          <w:tcPr>
            <w:tcW w:w="1156" w:type="dxa"/>
            <w:tcBorders>
              <w:top w:val="nil"/>
              <w:left w:val="nil"/>
              <w:bottom w:val="nil"/>
              <w:right w:val="nil"/>
            </w:tcBorders>
            <w:shd w:val="clear" w:color="000000" w:fill="FFFFFF"/>
            <w:noWrap/>
            <w:vAlign w:val="bottom"/>
            <w:hideMark/>
          </w:tcPr>
          <w:p w14:paraId="27127413" w14:textId="77777777" w:rsidR="005E7495" w:rsidRPr="00AB2F37" w:rsidRDefault="005E7495" w:rsidP="00856101">
            <w:pPr>
              <w:spacing w:after="0" w:line="240" w:lineRule="auto"/>
              <w:jc w:val="right"/>
              <w:rPr>
                <w:rFonts w:ascii="Cambria" w:eastAsia="Times New Roman" w:hAnsi="Cambria" w:cs="Calibri"/>
                <w:color w:val="auto"/>
                <w:sz w:val="18"/>
                <w:szCs w:val="18"/>
                <w:lang w:eastAsia="en-AU"/>
              </w:rPr>
            </w:pPr>
            <w:r w:rsidRPr="00AB2F37">
              <w:rPr>
                <w:rFonts w:ascii="Cambria" w:eastAsia="Times New Roman" w:hAnsi="Cambria" w:cs="Calibri"/>
                <w:color w:val="auto"/>
                <w:sz w:val="18"/>
                <w:szCs w:val="18"/>
                <w:lang w:eastAsia="en-AU"/>
              </w:rPr>
              <w:t xml:space="preserve">145 </w:t>
            </w:r>
          </w:p>
        </w:tc>
      </w:tr>
      <w:tr w:rsidR="005E7495" w:rsidRPr="00AB2F37" w14:paraId="627BE4B3" w14:textId="77777777" w:rsidTr="00856101">
        <w:trPr>
          <w:trHeight w:val="264"/>
        </w:trPr>
        <w:tc>
          <w:tcPr>
            <w:tcW w:w="6096" w:type="dxa"/>
            <w:tcBorders>
              <w:top w:val="nil"/>
              <w:left w:val="nil"/>
              <w:bottom w:val="nil"/>
              <w:right w:val="nil"/>
            </w:tcBorders>
            <w:shd w:val="clear" w:color="000000" w:fill="FFFFFF"/>
            <w:noWrap/>
            <w:vAlign w:val="center"/>
            <w:hideMark/>
          </w:tcPr>
          <w:p w14:paraId="1C395668" w14:textId="77777777" w:rsidR="005E7495" w:rsidRPr="00AB2F37" w:rsidRDefault="005E7495" w:rsidP="00856101">
            <w:pPr>
              <w:spacing w:after="0" w:line="240" w:lineRule="auto"/>
              <w:rPr>
                <w:rFonts w:ascii="Cambria" w:eastAsia="Times New Roman" w:hAnsi="Cambria" w:cs="Calibri"/>
                <w:b/>
                <w:bCs/>
                <w:color w:val="auto"/>
                <w:sz w:val="18"/>
                <w:szCs w:val="18"/>
                <w:lang w:eastAsia="en-AU"/>
              </w:rPr>
            </w:pPr>
            <w:r w:rsidRPr="00AB2F37">
              <w:rPr>
                <w:rFonts w:ascii="Cambria" w:eastAsia="Times New Roman" w:hAnsi="Cambria" w:cs="Calibri"/>
                <w:b/>
                <w:bCs/>
                <w:color w:val="auto"/>
                <w:sz w:val="18"/>
                <w:szCs w:val="18"/>
                <w:lang w:eastAsia="en-AU"/>
              </w:rPr>
              <w:t>Total employee provisions</w:t>
            </w:r>
          </w:p>
        </w:tc>
        <w:tc>
          <w:tcPr>
            <w:tcW w:w="1156" w:type="dxa"/>
            <w:tcBorders>
              <w:top w:val="single" w:sz="4" w:space="0" w:color="auto"/>
              <w:left w:val="nil"/>
              <w:bottom w:val="single" w:sz="4" w:space="0" w:color="auto"/>
              <w:right w:val="nil"/>
            </w:tcBorders>
            <w:shd w:val="clear" w:color="000000" w:fill="FFFFFF"/>
            <w:noWrap/>
            <w:vAlign w:val="bottom"/>
            <w:hideMark/>
          </w:tcPr>
          <w:p w14:paraId="5EB495A4" w14:textId="77777777" w:rsidR="005E7495" w:rsidRPr="00AB2F37" w:rsidRDefault="005E7495" w:rsidP="00856101">
            <w:pPr>
              <w:spacing w:after="0" w:line="240" w:lineRule="auto"/>
              <w:jc w:val="right"/>
              <w:rPr>
                <w:rFonts w:ascii="Cambria" w:eastAsia="Times New Roman" w:hAnsi="Cambria" w:cs="Calibri"/>
                <w:b/>
                <w:bCs/>
                <w:color w:val="auto"/>
                <w:sz w:val="18"/>
                <w:szCs w:val="18"/>
                <w:lang w:eastAsia="en-AU"/>
              </w:rPr>
            </w:pPr>
            <w:r w:rsidRPr="00AB2F37">
              <w:rPr>
                <w:rFonts w:ascii="Cambria" w:eastAsia="Times New Roman" w:hAnsi="Cambria" w:cs="Calibri"/>
                <w:b/>
                <w:bCs/>
                <w:color w:val="auto"/>
                <w:sz w:val="18"/>
                <w:szCs w:val="18"/>
                <w:lang w:eastAsia="en-AU"/>
              </w:rPr>
              <w:t xml:space="preserve">214 </w:t>
            </w:r>
          </w:p>
        </w:tc>
        <w:tc>
          <w:tcPr>
            <w:tcW w:w="1156" w:type="dxa"/>
            <w:tcBorders>
              <w:top w:val="single" w:sz="4" w:space="0" w:color="auto"/>
              <w:left w:val="nil"/>
              <w:bottom w:val="single" w:sz="4" w:space="0" w:color="auto"/>
              <w:right w:val="nil"/>
            </w:tcBorders>
            <w:shd w:val="clear" w:color="000000" w:fill="FFFFFF"/>
            <w:noWrap/>
            <w:vAlign w:val="bottom"/>
            <w:hideMark/>
          </w:tcPr>
          <w:p w14:paraId="50DDA7D1" w14:textId="77777777" w:rsidR="005E7495" w:rsidRPr="00AB2F37" w:rsidRDefault="005E7495" w:rsidP="00856101">
            <w:pPr>
              <w:spacing w:after="0" w:line="240" w:lineRule="auto"/>
              <w:jc w:val="right"/>
              <w:rPr>
                <w:rFonts w:ascii="Cambria" w:eastAsia="Times New Roman" w:hAnsi="Cambria" w:cs="Calibri"/>
                <w:color w:val="auto"/>
                <w:sz w:val="18"/>
                <w:szCs w:val="18"/>
                <w:lang w:eastAsia="en-AU"/>
              </w:rPr>
            </w:pPr>
            <w:r w:rsidRPr="00AB2F37">
              <w:rPr>
                <w:rFonts w:ascii="Cambria" w:eastAsia="Times New Roman" w:hAnsi="Cambria" w:cs="Calibri"/>
                <w:color w:val="auto"/>
                <w:sz w:val="18"/>
                <w:szCs w:val="18"/>
                <w:lang w:eastAsia="en-AU"/>
              </w:rPr>
              <w:t xml:space="preserve">145 </w:t>
            </w:r>
          </w:p>
        </w:tc>
      </w:tr>
      <w:tr w:rsidR="005E7495" w:rsidRPr="00AB2F37" w14:paraId="4633FB59" w14:textId="77777777" w:rsidTr="00856101">
        <w:trPr>
          <w:trHeight w:val="120"/>
        </w:trPr>
        <w:tc>
          <w:tcPr>
            <w:tcW w:w="6096" w:type="dxa"/>
            <w:tcBorders>
              <w:top w:val="nil"/>
              <w:left w:val="nil"/>
              <w:bottom w:val="nil"/>
              <w:right w:val="nil"/>
            </w:tcBorders>
            <w:shd w:val="clear" w:color="000000" w:fill="FFFFFF"/>
            <w:noWrap/>
            <w:vAlign w:val="center"/>
            <w:hideMark/>
          </w:tcPr>
          <w:p w14:paraId="460196D2" w14:textId="77777777" w:rsidR="005E7495" w:rsidRPr="00AB2F37" w:rsidRDefault="005E7495" w:rsidP="00856101">
            <w:pPr>
              <w:spacing w:after="0" w:line="240" w:lineRule="auto"/>
              <w:rPr>
                <w:rFonts w:ascii="Cambria" w:eastAsia="Times New Roman" w:hAnsi="Cambria" w:cs="Calibri"/>
                <w:b/>
                <w:bCs/>
                <w:color w:val="auto"/>
                <w:sz w:val="18"/>
                <w:szCs w:val="18"/>
                <w:lang w:eastAsia="en-AU"/>
              </w:rPr>
            </w:pPr>
            <w:r w:rsidRPr="00AB2F37">
              <w:rPr>
                <w:rFonts w:ascii="Cambria" w:eastAsia="Times New Roman" w:hAnsi="Cambria" w:cs="Calibri"/>
                <w:b/>
                <w:bCs/>
                <w:color w:val="auto"/>
                <w:sz w:val="18"/>
                <w:szCs w:val="18"/>
                <w:lang w:eastAsia="en-AU"/>
              </w:rPr>
              <w:t> </w:t>
            </w:r>
          </w:p>
        </w:tc>
        <w:tc>
          <w:tcPr>
            <w:tcW w:w="1156" w:type="dxa"/>
            <w:tcBorders>
              <w:top w:val="nil"/>
              <w:left w:val="nil"/>
              <w:bottom w:val="nil"/>
              <w:right w:val="nil"/>
            </w:tcBorders>
            <w:shd w:val="clear" w:color="000000" w:fill="FFFFFF"/>
            <w:noWrap/>
            <w:vAlign w:val="bottom"/>
            <w:hideMark/>
          </w:tcPr>
          <w:p w14:paraId="4603D06E" w14:textId="77777777" w:rsidR="005E7495" w:rsidRPr="00AB2F37" w:rsidRDefault="005E7495" w:rsidP="00856101">
            <w:pPr>
              <w:spacing w:after="0" w:line="240" w:lineRule="auto"/>
              <w:jc w:val="right"/>
              <w:rPr>
                <w:rFonts w:ascii="Cambria" w:eastAsia="Times New Roman" w:hAnsi="Cambria" w:cs="Calibri"/>
                <w:b/>
                <w:bCs/>
                <w:color w:val="auto"/>
                <w:sz w:val="18"/>
                <w:szCs w:val="18"/>
                <w:lang w:eastAsia="en-AU"/>
              </w:rPr>
            </w:pPr>
            <w:r w:rsidRPr="00AB2F37">
              <w:rPr>
                <w:rFonts w:ascii="Cambria" w:eastAsia="Times New Roman" w:hAnsi="Cambria" w:cs="Calibri"/>
                <w:b/>
                <w:bCs/>
                <w:color w:val="auto"/>
                <w:sz w:val="18"/>
                <w:szCs w:val="18"/>
                <w:lang w:eastAsia="en-AU"/>
              </w:rPr>
              <w:t> </w:t>
            </w:r>
          </w:p>
        </w:tc>
        <w:tc>
          <w:tcPr>
            <w:tcW w:w="1156" w:type="dxa"/>
            <w:tcBorders>
              <w:top w:val="nil"/>
              <w:left w:val="nil"/>
              <w:bottom w:val="nil"/>
              <w:right w:val="nil"/>
            </w:tcBorders>
            <w:shd w:val="clear" w:color="000000" w:fill="FFFFFF"/>
            <w:noWrap/>
            <w:vAlign w:val="bottom"/>
            <w:hideMark/>
          </w:tcPr>
          <w:p w14:paraId="1B5FD325" w14:textId="77777777" w:rsidR="005E7495" w:rsidRPr="00AB2F37" w:rsidRDefault="005E7495" w:rsidP="00856101">
            <w:pPr>
              <w:spacing w:after="0" w:line="240" w:lineRule="auto"/>
              <w:jc w:val="right"/>
              <w:rPr>
                <w:rFonts w:ascii="Cambria" w:eastAsia="Times New Roman" w:hAnsi="Cambria" w:cs="Calibri"/>
                <w:color w:val="auto"/>
                <w:sz w:val="18"/>
                <w:szCs w:val="18"/>
                <w:lang w:eastAsia="en-AU"/>
              </w:rPr>
            </w:pPr>
            <w:r w:rsidRPr="00AB2F37">
              <w:rPr>
                <w:rFonts w:ascii="Cambria" w:eastAsia="Times New Roman" w:hAnsi="Cambria" w:cs="Calibri"/>
                <w:color w:val="auto"/>
                <w:sz w:val="18"/>
                <w:szCs w:val="18"/>
                <w:lang w:eastAsia="en-AU"/>
              </w:rPr>
              <w:t> </w:t>
            </w:r>
          </w:p>
        </w:tc>
      </w:tr>
      <w:tr w:rsidR="005E7495" w:rsidRPr="00AB2F37" w14:paraId="74C52C15" w14:textId="77777777" w:rsidTr="00856101">
        <w:trPr>
          <w:trHeight w:val="162"/>
        </w:trPr>
        <w:tc>
          <w:tcPr>
            <w:tcW w:w="6096" w:type="dxa"/>
            <w:tcBorders>
              <w:top w:val="nil"/>
              <w:left w:val="nil"/>
              <w:bottom w:val="nil"/>
              <w:right w:val="nil"/>
            </w:tcBorders>
            <w:hideMark/>
          </w:tcPr>
          <w:p w14:paraId="533E550E" w14:textId="77777777" w:rsidR="005E7495" w:rsidRPr="00AB2F37" w:rsidRDefault="005E7495" w:rsidP="00856101">
            <w:pPr>
              <w:spacing w:after="0" w:line="240" w:lineRule="auto"/>
              <w:jc w:val="right"/>
              <w:rPr>
                <w:rFonts w:ascii="Cambria" w:eastAsia="Times New Roman" w:hAnsi="Cambria" w:cs="Calibri"/>
                <w:color w:val="auto"/>
                <w:sz w:val="18"/>
                <w:szCs w:val="18"/>
                <w:lang w:eastAsia="en-AU"/>
              </w:rPr>
            </w:pPr>
          </w:p>
        </w:tc>
        <w:tc>
          <w:tcPr>
            <w:tcW w:w="1156" w:type="dxa"/>
            <w:tcBorders>
              <w:top w:val="nil"/>
              <w:left w:val="nil"/>
              <w:bottom w:val="nil"/>
              <w:right w:val="nil"/>
            </w:tcBorders>
            <w:noWrap/>
            <w:vAlign w:val="bottom"/>
            <w:hideMark/>
          </w:tcPr>
          <w:p w14:paraId="1951DE1E"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74C2EB2E"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468B8348" w14:textId="77777777" w:rsidTr="00856101">
        <w:trPr>
          <w:trHeight w:val="255"/>
        </w:trPr>
        <w:tc>
          <w:tcPr>
            <w:tcW w:w="6096" w:type="dxa"/>
            <w:tcBorders>
              <w:top w:val="nil"/>
              <w:left w:val="nil"/>
              <w:bottom w:val="nil"/>
              <w:right w:val="nil"/>
            </w:tcBorders>
            <w:noWrap/>
            <w:vAlign w:val="bottom"/>
            <w:hideMark/>
          </w:tcPr>
          <w:p w14:paraId="4B3922E1" w14:textId="77777777" w:rsidR="005E7495" w:rsidRPr="00AB2F37" w:rsidRDefault="005E7495" w:rsidP="00856101">
            <w:pPr>
              <w:spacing w:after="0" w:line="240" w:lineRule="auto"/>
              <w:rPr>
                <w:rFonts w:ascii="Calibri" w:eastAsia="Times New Roman" w:hAnsi="Calibri" w:cs="Calibri"/>
                <w:color w:val="000000"/>
                <w:lang w:eastAsia="en-AU"/>
              </w:rPr>
            </w:pPr>
            <w:r w:rsidRPr="00AB2F37">
              <w:rPr>
                <w:rFonts w:ascii="Calibri" w:eastAsia="Times New Roman" w:hAnsi="Calibri" w:cs="Calibri"/>
                <w:noProof/>
                <w:color w:val="000000"/>
                <w:lang w:eastAsia="en-AU"/>
              </w:rPr>
              <mc:AlternateContent>
                <mc:Choice Requires="wps">
                  <w:drawing>
                    <wp:anchor distT="0" distB="0" distL="114300" distR="114300" simplePos="0" relativeHeight="251707392" behindDoc="0" locked="0" layoutInCell="1" allowOverlap="1" wp14:anchorId="5389FC0D" wp14:editId="6F976E23">
                      <wp:simplePos x="0" y="0"/>
                      <wp:positionH relativeFrom="column">
                        <wp:posOffset>38100</wp:posOffset>
                      </wp:positionH>
                      <wp:positionV relativeFrom="paragraph">
                        <wp:posOffset>635</wp:posOffset>
                      </wp:positionV>
                      <wp:extent cx="5154295" cy="5610225"/>
                      <wp:effectExtent l="0" t="0" r="27305" b="28575"/>
                      <wp:wrapNone/>
                      <wp:docPr id="292808265" name="Text Box 67">
                        <a:extLst xmlns:a="http://schemas.openxmlformats.org/drawingml/2006/main">
                          <a:ext uri="{FF2B5EF4-FFF2-40B4-BE49-F238E27FC236}">
                            <a16:creationId xmlns:a16="http://schemas.microsoft.com/office/drawing/2014/main" id="{00000000-0008-0000-1300-000002000000}"/>
                          </a:ext>
                        </a:extLst>
                      </wp:docPr>
                      <wp:cNvGraphicFramePr/>
                      <a:graphic xmlns:a="http://schemas.openxmlformats.org/drawingml/2006/main">
                        <a:graphicData uri="http://schemas.microsoft.com/office/word/2010/wordprocessingShape">
                          <wps:wsp>
                            <wps:cNvSpPr txBox="1"/>
                            <wps:spPr>
                              <a:xfrm>
                                <a:off x="0" y="0"/>
                                <a:ext cx="5154295" cy="5610225"/>
                              </a:xfrm>
                              <a:prstGeom prst="rect">
                                <a:avLst/>
                              </a:prstGeom>
                              <a:noFill/>
                              <a:ln w="12700" cap="flat" cmpd="sng" algn="ctr">
                                <a:solidFill>
                                  <a:srgbClr val="009560"/>
                                </a:solidFill>
                                <a:prstDash val="solid"/>
                                <a:round/>
                                <a:headEnd type="none" w="med" len="med"/>
                                <a:tailEnd type="none" w="med" len="med"/>
                              </a:ln>
                              <a:effectLst/>
                            </wps:spPr>
                            <wps:txbx>
                              <w:txbxContent>
                                <w:p w14:paraId="1A765A79" w14:textId="77777777" w:rsidR="005E7495" w:rsidRPr="00067431" w:rsidRDefault="005E7495" w:rsidP="005E7495">
                                  <w:pPr>
                                    <w:spacing w:after="0"/>
                                    <w:rPr>
                                      <w:rFonts w:cs="Arial"/>
                                      <w:b/>
                                      <w:bCs/>
                                      <w:sz w:val="18"/>
                                      <w:szCs w:val="18"/>
                                    </w:rPr>
                                  </w:pPr>
                                  <w:r w:rsidRPr="00067431">
                                    <w:rPr>
                                      <w:rFonts w:cs="Arial"/>
                                      <w:b/>
                                      <w:bCs/>
                                      <w:sz w:val="18"/>
                                      <w:szCs w:val="18"/>
                                    </w:rPr>
                                    <w:t>Accounting policy</w:t>
                                  </w:r>
                                </w:p>
                                <w:p w14:paraId="497981AA" w14:textId="77777777" w:rsidR="005E7495" w:rsidRPr="00067431" w:rsidRDefault="005E7495" w:rsidP="005E7495">
                                  <w:pPr>
                                    <w:spacing w:after="0"/>
                                    <w:rPr>
                                      <w:rFonts w:cs="Arial"/>
                                      <w:b/>
                                      <w:bCs/>
                                      <w:sz w:val="18"/>
                                      <w:szCs w:val="18"/>
                                    </w:rPr>
                                  </w:pPr>
                                  <w:r w:rsidRPr="00067431">
                                    <w:rPr>
                                      <w:rFonts w:cs="Arial"/>
                                      <w:b/>
                                      <w:bCs/>
                                      <w:sz w:val="18"/>
                                      <w:szCs w:val="18"/>
                                    </w:rPr>
                                    <w:t>Employee provisions</w:t>
                                  </w:r>
                                </w:p>
                                <w:p w14:paraId="557028F4" w14:textId="77777777" w:rsidR="005E7495" w:rsidRPr="00067431" w:rsidRDefault="005E7495" w:rsidP="005E7495">
                                  <w:pPr>
                                    <w:spacing w:after="0"/>
                                    <w:rPr>
                                      <w:rFonts w:cs="Arial"/>
                                      <w:sz w:val="18"/>
                                      <w:szCs w:val="18"/>
                                    </w:rPr>
                                  </w:pPr>
                                  <w:r w:rsidRPr="00067431">
                                    <w:rPr>
                                      <w:rFonts w:cs="Arial"/>
                                      <w:sz w:val="18"/>
                                      <w:szCs w:val="18"/>
                                    </w:rPr>
                                    <w:t xml:space="preserve">Liabilities for short-term employee benefits and termination benefits expected within 12 months of the end of reporting period are measured at their nominal amounts. </w:t>
                                  </w:r>
                                </w:p>
                                <w:p w14:paraId="4ADFFC72" w14:textId="77777777" w:rsidR="005E7495" w:rsidRDefault="005E7495" w:rsidP="005E7495">
                                  <w:pPr>
                                    <w:rPr>
                                      <w:rFonts w:cs="Arial"/>
                                      <w:sz w:val="18"/>
                                      <w:szCs w:val="18"/>
                                    </w:rPr>
                                  </w:pPr>
                                </w:p>
                                <w:p w14:paraId="0DE47929" w14:textId="77777777" w:rsidR="005E7495" w:rsidRPr="00067431" w:rsidRDefault="005E7495" w:rsidP="005E7495">
                                  <w:pPr>
                                    <w:rPr>
                                      <w:rFonts w:cs="Arial"/>
                                      <w:sz w:val="18"/>
                                      <w:szCs w:val="18"/>
                                    </w:rPr>
                                  </w:pPr>
                                  <w:r w:rsidRPr="00067431">
                                    <w:rPr>
                                      <w:rFonts w:cs="Arial"/>
                                      <w:sz w:val="18"/>
                                      <w:szCs w:val="18"/>
                                    </w:rPr>
                                    <w:t xml:space="preserve">Other long-term employee benefits are measured as net total of the present value of the defined benefit obligation at the end of the reporting period, minus the fair value at the end of the reporting period of plan assets (if any), out of which the obligations are to be settled directly. </w:t>
                                  </w:r>
                                </w:p>
                                <w:p w14:paraId="1108C1E9" w14:textId="77777777" w:rsidR="005E7495" w:rsidRPr="00067431" w:rsidRDefault="005E7495" w:rsidP="005E7495">
                                  <w:pPr>
                                    <w:spacing w:after="0"/>
                                    <w:rPr>
                                      <w:rFonts w:cs="Arial"/>
                                      <w:b/>
                                      <w:bCs/>
                                      <w:sz w:val="18"/>
                                      <w:szCs w:val="18"/>
                                    </w:rPr>
                                  </w:pPr>
                                  <w:r w:rsidRPr="00067431">
                                    <w:rPr>
                                      <w:rFonts w:cs="Arial"/>
                                      <w:b/>
                                      <w:bCs/>
                                      <w:sz w:val="18"/>
                                      <w:szCs w:val="18"/>
                                    </w:rPr>
                                    <w:t>Leave</w:t>
                                  </w:r>
                                </w:p>
                                <w:p w14:paraId="1803BAF9" w14:textId="77777777" w:rsidR="005E7495" w:rsidRPr="00067431" w:rsidRDefault="005E7495" w:rsidP="005E7495">
                                  <w:pPr>
                                    <w:spacing w:after="0"/>
                                    <w:rPr>
                                      <w:rFonts w:cs="Arial"/>
                                      <w:sz w:val="18"/>
                                      <w:szCs w:val="18"/>
                                    </w:rPr>
                                  </w:pPr>
                                  <w:r w:rsidRPr="00067431">
                                    <w:rPr>
                                      <w:rFonts w:cs="Arial"/>
                                      <w:sz w:val="18"/>
                                      <w:szCs w:val="18"/>
                                    </w:rPr>
                                    <w:t>The liability for employee benefits includes provision for annual leave and long service leave.</w:t>
                                  </w:r>
                                </w:p>
                                <w:p w14:paraId="6228A631" w14:textId="77777777" w:rsidR="005E7495" w:rsidRDefault="005E7495" w:rsidP="005E7495">
                                  <w:pPr>
                                    <w:rPr>
                                      <w:rFonts w:cs="Arial"/>
                                      <w:sz w:val="18"/>
                                      <w:szCs w:val="18"/>
                                    </w:rPr>
                                  </w:pPr>
                                </w:p>
                                <w:p w14:paraId="4C7C876F" w14:textId="77777777" w:rsidR="005E7495" w:rsidRPr="00067431" w:rsidRDefault="005E7495" w:rsidP="005E7495">
                                  <w:pPr>
                                    <w:rPr>
                                      <w:rFonts w:cs="Arial"/>
                                      <w:sz w:val="18"/>
                                      <w:szCs w:val="18"/>
                                    </w:rPr>
                                  </w:pPr>
                                  <w:r w:rsidRPr="00067431">
                                    <w:rPr>
                                      <w:rFonts w:cs="Arial"/>
                                      <w:sz w:val="18"/>
                                      <w:szCs w:val="18"/>
                                    </w:rPr>
                                    <w:t>The leave liabilities are calculated on the basis of employees’ remuneration at the estimated salary rates that will be applied at the time the leave is taken, including the entity’s employer superannuation contribution rates to the extent that the leave is likely to be taken during service rather than paid out on termination. The estimate of the present value of the liability takes into account attrition rates, and pay increases through promotion and inflation.</w:t>
                                  </w:r>
                                </w:p>
                                <w:p w14:paraId="60647ACC" w14:textId="77777777" w:rsidR="005E7495" w:rsidRPr="00067431" w:rsidRDefault="005E7495" w:rsidP="005E7495">
                                  <w:pPr>
                                    <w:spacing w:after="0"/>
                                    <w:rPr>
                                      <w:rFonts w:cs="Arial"/>
                                      <w:b/>
                                      <w:bCs/>
                                      <w:sz w:val="18"/>
                                      <w:szCs w:val="18"/>
                                    </w:rPr>
                                  </w:pPr>
                                  <w:r w:rsidRPr="00067431">
                                    <w:rPr>
                                      <w:rFonts w:cs="Arial"/>
                                      <w:b/>
                                      <w:bCs/>
                                      <w:sz w:val="18"/>
                                      <w:szCs w:val="18"/>
                                    </w:rPr>
                                    <w:t>Superannuation</w:t>
                                  </w:r>
                                </w:p>
                                <w:p w14:paraId="09C7DD46" w14:textId="77777777" w:rsidR="005E7495" w:rsidRPr="00067431" w:rsidRDefault="005E7495" w:rsidP="005E7495">
                                  <w:pPr>
                                    <w:spacing w:after="0"/>
                                    <w:rPr>
                                      <w:rFonts w:cs="Arial"/>
                                      <w:sz w:val="18"/>
                                      <w:szCs w:val="18"/>
                                    </w:rPr>
                                  </w:pPr>
                                  <w:r w:rsidRPr="00067431">
                                    <w:rPr>
                                      <w:rFonts w:cs="Arial"/>
                                      <w:sz w:val="18"/>
                                      <w:szCs w:val="18"/>
                                    </w:rPr>
                                    <w:t>The entity's staff are members of the Commonwealth Superannuation Scheme (CSS), the Public Sector Superannuation Scheme (PSS), or the PSS accumulation plan (PSSap), or other superannuation funds held outside the Australian Government. The CSS and PSS are defined benefit schemes for the Australian Government. The PSSap is a defined contribution scheme.</w:t>
                                  </w:r>
                                </w:p>
                                <w:p w14:paraId="53806EE4" w14:textId="77777777" w:rsidR="005E7495" w:rsidRDefault="005E7495" w:rsidP="005E7495">
                                  <w:pPr>
                                    <w:rPr>
                                      <w:rFonts w:cs="Arial"/>
                                      <w:sz w:val="18"/>
                                      <w:szCs w:val="18"/>
                                    </w:rPr>
                                  </w:pPr>
                                </w:p>
                                <w:p w14:paraId="012AFDF8" w14:textId="77777777" w:rsidR="005E7495" w:rsidRPr="00067431" w:rsidRDefault="005E7495" w:rsidP="005E7495">
                                  <w:pPr>
                                    <w:rPr>
                                      <w:rFonts w:cs="Arial"/>
                                      <w:sz w:val="18"/>
                                      <w:szCs w:val="18"/>
                                    </w:rPr>
                                  </w:pPr>
                                  <w:r w:rsidRPr="00067431">
                                    <w:rPr>
                                      <w:rFonts w:cs="Arial"/>
                                      <w:sz w:val="18"/>
                                      <w:szCs w:val="18"/>
                                    </w:rPr>
                                    <w:t>The liability for defined benefits is recognised in the financial statements of the Australian Government and is settled by the Australian Government in due course. This liability is reported in the Department of Finance’s administered schedules and notes.</w:t>
                                  </w:r>
                                </w:p>
                                <w:p w14:paraId="695DBE1A" w14:textId="77777777" w:rsidR="005E7495" w:rsidRPr="00067431" w:rsidRDefault="005E7495" w:rsidP="005E7495">
                                  <w:pPr>
                                    <w:rPr>
                                      <w:rFonts w:cs="Arial"/>
                                      <w:sz w:val="18"/>
                                      <w:szCs w:val="18"/>
                                    </w:rPr>
                                  </w:pPr>
                                  <w:r w:rsidRPr="00067431">
                                    <w:rPr>
                                      <w:rFonts w:cs="Arial"/>
                                      <w:sz w:val="18"/>
                                      <w:szCs w:val="18"/>
                                    </w:rPr>
                                    <w:t>The entity makes employer contributions to the employees' defined benefit superannuation scheme at rates determined by an actuary to be sufficient to meet the current cost to the Australian Government. The entity accounts for the contributions as if they were contributions to defined contribution plans.</w:t>
                                  </w:r>
                                </w:p>
                                <w:p w14:paraId="4C52CF53" w14:textId="77777777" w:rsidR="005E7495" w:rsidRPr="00067431" w:rsidRDefault="005E7495" w:rsidP="005E7495">
                                  <w:pPr>
                                    <w:rPr>
                                      <w:rFonts w:cs="Arial"/>
                                      <w:sz w:val="18"/>
                                      <w:szCs w:val="18"/>
                                    </w:rPr>
                                  </w:pPr>
                                  <w:r w:rsidRPr="00067431">
                                    <w:rPr>
                                      <w:rFonts w:cs="Arial"/>
                                      <w:sz w:val="18"/>
                                      <w:szCs w:val="18"/>
                                    </w:rPr>
                                    <w:t>The liability for superannuation recognised as at 30 June represents outstanding contributions.</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5389FC0D" id="Text Box 67" o:spid="_x0000_s1041" type="#_x0000_t202" style="position:absolute;margin-left:3pt;margin-top:.05pt;width:405.85pt;height:441.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" filled="f" strokecolor="#009560" strokeweight="1pt">
                      <v:stroke joinstyle="round"/>
                      <v:textbox>
                        <w:txbxContent>
                          <w:p w14:paraId="1A765A79" w14:textId="77777777" w:rsidR="005E7495" w:rsidRPr="00067431" w:rsidRDefault="005E7495" w:rsidP="005E7495">
                            <w:pPr>
                              <w:spacing w:after="0"/>
                              <w:rPr>
                                <w:rFonts w:cs="Arial"/>
                                <w:b/>
                                <w:bCs/>
                                <w:sz w:val="18"/>
                                <w:szCs w:val="18"/>
                              </w:rPr>
                            </w:pPr>
                            <w:r w:rsidRPr="00067431">
                              <w:rPr>
                                <w:rFonts w:cs="Arial"/>
                                <w:b/>
                                <w:bCs/>
                                <w:sz w:val="18"/>
                                <w:szCs w:val="18"/>
                              </w:rPr>
                              <w:t>Accounting policy</w:t>
                            </w:r>
                          </w:p>
                          <w:p w14:paraId="497981AA" w14:textId="77777777" w:rsidR="005E7495" w:rsidRPr="00067431" w:rsidRDefault="005E7495" w:rsidP="005E7495">
                            <w:pPr>
                              <w:spacing w:after="0"/>
                              <w:rPr>
                                <w:rFonts w:cs="Arial"/>
                                <w:b/>
                                <w:bCs/>
                                <w:sz w:val="18"/>
                                <w:szCs w:val="18"/>
                              </w:rPr>
                            </w:pPr>
                            <w:r w:rsidRPr="00067431">
                              <w:rPr>
                                <w:rFonts w:cs="Arial"/>
                                <w:b/>
                                <w:bCs/>
                                <w:sz w:val="18"/>
                                <w:szCs w:val="18"/>
                              </w:rPr>
                              <w:t>Employee provisions</w:t>
                            </w:r>
                          </w:p>
                          <w:p w14:paraId="557028F4" w14:textId="77777777" w:rsidR="005E7495" w:rsidRPr="00067431" w:rsidRDefault="005E7495" w:rsidP="005E7495">
                            <w:pPr>
                              <w:spacing w:after="0"/>
                              <w:rPr>
                                <w:rFonts w:cs="Arial"/>
                                <w:sz w:val="18"/>
                                <w:szCs w:val="18"/>
                              </w:rPr>
                            </w:pPr>
                            <w:r w:rsidRPr="00067431">
                              <w:rPr>
                                <w:rFonts w:cs="Arial"/>
                                <w:sz w:val="18"/>
                                <w:szCs w:val="18"/>
                              </w:rPr>
                              <w:t xml:space="preserve">Liabilities for short-term employee benefits and termination benefits expected within 12 months of the end of reporting period are measured at their nominal amounts. </w:t>
                            </w:r>
                          </w:p>
                          <w:p w14:paraId="4ADFFC72" w14:textId="77777777" w:rsidR="005E7495" w:rsidRDefault="005E7495" w:rsidP="005E7495">
                            <w:pPr>
                              <w:rPr>
                                <w:rFonts w:cs="Arial"/>
                                <w:sz w:val="18"/>
                                <w:szCs w:val="18"/>
                              </w:rPr>
                            </w:pPr>
                          </w:p>
                          <w:p w14:paraId="0DE47929" w14:textId="77777777" w:rsidR="005E7495" w:rsidRPr="00067431" w:rsidRDefault="005E7495" w:rsidP="005E7495">
                            <w:pPr>
                              <w:rPr>
                                <w:rFonts w:cs="Arial"/>
                                <w:sz w:val="18"/>
                                <w:szCs w:val="18"/>
                              </w:rPr>
                            </w:pPr>
                            <w:r w:rsidRPr="00067431">
                              <w:rPr>
                                <w:rFonts w:cs="Arial"/>
                                <w:sz w:val="18"/>
                                <w:szCs w:val="18"/>
                              </w:rPr>
                              <w:t xml:space="preserve">Other long-term employee benefits are measured as net total of the present value of the defined benefit obligation at the end of the reporting period, minus the fair value at the end of the reporting period of plan assets (if any), out of which the obligations are to be settled directly. </w:t>
                            </w:r>
                          </w:p>
                          <w:p w14:paraId="1108C1E9" w14:textId="77777777" w:rsidR="005E7495" w:rsidRPr="00067431" w:rsidRDefault="005E7495" w:rsidP="005E7495">
                            <w:pPr>
                              <w:spacing w:after="0"/>
                              <w:rPr>
                                <w:rFonts w:cs="Arial"/>
                                <w:b/>
                                <w:bCs/>
                                <w:sz w:val="18"/>
                                <w:szCs w:val="18"/>
                              </w:rPr>
                            </w:pPr>
                            <w:r w:rsidRPr="00067431">
                              <w:rPr>
                                <w:rFonts w:cs="Arial"/>
                                <w:b/>
                                <w:bCs/>
                                <w:sz w:val="18"/>
                                <w:szCs w:val="18"/>
                              </w:rPr>
                              <w:t>Leave</w:t>
                            </w:r>
                          </w:p>
                          <w:p w14:paraId="1803BAF9" w14:textId="77777777" w:rsidR="005E7495" w:rsidRPr="00067431" w:rsidRDefault="005E7495" w:rsidP="005E7495">
                            <w:pPr>
                              <w:spacing w:after="0"/>
                              <w:rPr>
                                <w:rFonts w:cs="Arial"/>
                                <w:sz w:val="18"/>
                                <w:szCs w:val="18"/>
                              </w:rPr>
                            </w:pPr>
                            <w:r w:rsidRPr="00067431">
                              <w:rPr>
                                <w:rFonts w:cs="Arial"/>
                                <w:sz w:val="18"/>
                                <w:szCs w:val="18"/>
                              </w:rPr>
                              <w:t>The liability for employee benefits includes provision for annual leave and long service leave.</w:t>
                            </w:r>
                          </w:p>
                          <w:p w14:paraId="6228A631" w14:textId="77777777" w:rsidR="005E7495" w:rsidRDefault="005E7495" w:rsidP="005E7495">
                            <w:pPr>
                              <w:rPr>
                                <w:rFonts w:cs="Arial"/>
                                <w:sz w:val="18"/>
                                <w:szCs w:val="18"/>
                              </w:rPr>
                            </w:pPr>
                          </w:p>
                          <w:p w14:paraId="4C7C876F" w14:textId="77777777" w:rsidR="005E7495" w:rsidRPr="00067431" w:rsidRDefault="005E7495" w:rsidP="005E7495">
                            <w:pPr>
                              <w:rPr>
                                <w:rFonts w:cs="Arial"/>
                                <w:sz w:val="18"/>
                                <w:szCs w:val="18"/>
                              </w:rPr>
                            </w:pPr>
                            <w:r w:rsidRPr="00067431">
                              <w:rPr>
                                <w:rFonts w:cs="Arial"/>
                                <w:sz w:val="18"/>
                                <w:szCs w:val="18"/>
                              </w:rPr>
                              <w:t>The leave liabilities are calculated on the basis of employees’ remuneration at the estimated salary rates that will be applied at the time the leave is taken, including the entity’s employer superannuation contribution rates to the extent that the leave is likely to be taken during service rather than paid out on termination. The estimate of the present value of the liability takes into account attrition rates, and pay increases through promotion and inflation.</w:t>
                            </w:r>
                          </w:p>
                          <w:p w14:paraId="60647ACC" w14:textId="77777777" w:rsidR="005E7495" w:rsidRPr="00067431" w:rsidRDefault="005E7495" w:rsidP="005E7495">
                            <w:pPr>
                              <w:spacing w:after="0"/>
                              <w:rPr>
                                <w:rFonts w:cs="Arial"/>
                                <w:b/>
                                <w:bCs/>
                                <w:sz w:val="18"/>
                                <w:szCs w:val="18"/>
                              </w:rPr>
                            </w:pPr>
                            <w:r w:rsidRPr="00067431">
                              <w:rPr>
                                <w:rFonts w:cs="Arial"/>
                                <w:b/>
                                <w:bCs/>
                                <w:sz w:val="18"/>
                                <w:szCs w:val="18"/>
                              </w:rPr>
                              <w:t>Superannuation</w:t>
                            </w:r>
                          </w:p>
                          <w:p w14:paraId="09C7DD46" w14:textId="77777777" w:rsidR="005E7495" w:rsidRPr="00067431" w:rsidRDefault="005E7495" w:rsidP="005E7495">
                            <w:pPr>
                              <w:spacing w:after="0"/>
                              <w:rPr>
                                <w:rFonts w:cs="Arial"/>
                                <w:sz w:val="18"/>
                                <w:szCs w:val="18"/>
                              </w:rPr>
                            </w:pPr>
                            <w:r w:rsidRPr="00067431">
                              <w:rPr>
                                <w:rFonts w:cs="Arial"/>
                                <w:sz w:val="18"/>
                                <w:szCs w:val="18"/>
                              </w:rPr>
                              <w:t>The entity's staff are members of the Commonwealth Superannuation Scheme (CSS), the Public Sector Superannuation Scheme (PSS), or the PSS accumulation plan (PSSap), or other superannuation funds held outside the Australian Government. The CSS and PSS are defined benefit schemes for the Australian Government. The PSSap is a defined contribution scheme.</w:t>
                            </w:r>
                          </w:p>
                          <w:p w14:paraId="53806EE4" w14:textId="77777777" w:rsidR="005E7495" w:rsidRDefault="005E7495" w:rsidP="005E7495">
                            <w:pPr>
                              <w:rPr>
                                <w:rFonts w:cs="Arial"/>
                                <w:sz w:val="18"/>
                                <w:szCs w:val="18"/>
                              </w:rPr>
                            </w:pPr>
                          </w:p>
                          <w:p w14:paraId="012AFDF8" w14:textId="77777777" w:rsidR="005E7495" w:rsidRPr="00067431" w:rsidRDefault="005E7495" w:rsidP="005E7495">
                            <w:pPr>
                              <w:rPr>
                                <w:rFonts w:cs="Arial"/>
                                <w:sz w:val="18"/>
                                <w:szCs w:val="18"/>
                              </w:rPr>
                            </w:pPr>
                            <w:r w:rsidRPr="00067431">
                              <w:rPr>
                                <w:rFonts w:cs="Arial"/>
                                <w:sz w:val="18"/>
                                <w:szCs w:val="18"/>
                              </w:rPr>
                              <w:t>The liability for defined benefits is recognised in the financial statements of the Australian Government and is settled by the Australian Government in due course. This liability is reported in the Department of Finance’s administered schedules and notes.</w:t>
                            </w:r>
                          </w:p>
                          <w:p w14:paraId="695DBE1A" w14:textId="77777777" w:rsidR="005E7495" w:rsidRPr="00067431" w:rsidRDefault="005E7495" w:rsidP="005E7495">
                            <w:pPr>
                              <w:rPr>
                                <w:rFonts w:cs="Arial"/>
                                <w:sz w:val="18"/>
                                <w:szCs w:val="18"/>
                              </w:rPr>
                            </w:pPr>
                            <w:r w:rsidRPr="00067431">
                              <w:rPr>
                                <w:rFonts w:cs="Arial"/>
                                <w:sz w:val="18"/>
                                <w:szCs w:val="18"/>
                              </w:rPr>
                              <w:t>The entity makes employer contributions to the employees' defined benefit superannuation scheme at rates determined by an actuary to be sufficient to meet the current cost to the Australian Government. The entity accounts for the contributions as if they were contributions to defined contribution plans.</w:t>
                            </w:r>
                          </w:p>
                          <w:p w14:paraId="4C52CF53" w14:textId="77777777" w:rsidR="005E7495" w:rsidRPr="00067431" w:rsidRDefault="005E7495" w:rsidP="005E7495">
                            <w:pPr>
                              <w:rPr>
                                <w:rFonts w:cs="Arial"/>
                                <w:sz w:val="18"/>
                                <w:szCs w:val="18"/>
                              </w:rPr>
                            </w:pPr>
                            <w:r w:rsidRPr="00067431">
                              <w:rPr>
                                <w:rFonts w:cs="Arial"/>
                                <w:sz w:val="18"/>
                                <w:szCs w:val="18"/>
                              </w:rPr>
                              <w:t>The liability for superannuation recognised as at 30 June represents outstanding contributions.</w:t>
                            </w:r>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5880"/>
            </w:tblGrid>
            <w:tr w:rsidR="005E7495" w:rsidRPr="00AB2F37" w14:paraId="02720875" w14:textId="77777777" w:rsidTr="00856101">
              <w:trPr>
                <w:trHeight w:val="255"/>
                <w:tblCellSpacing w:w="0" w:type="dxa"/>
              </w:trPr>
              <w:tc>
                <w:tcPr>
                  <w:tcW w:w="6080" w:type="dxa"/>
                  <w:tcBorders>
                    <w:top w:val="nil"/>
                    <w:left w:val="nil"/>
                    <w:bottom w:val="nil"/>
                    <w:right w:val="nil"/>
                  </w:tcBorders>
                  <w:hideMark/>
                </w:tcPr>
                <w:p w14:paraId="69FBF850" w14:textId="77777777" w:rsidR="005E7495" w:rsidRPr="00AB2F37" w:rsidRDefault="005E7495" w:rsidP="00856101">
                  <w:pPr>
                    <w:spacing w:after="0" w:line="240" w:lineRule="auto"/>
                    <w:rPr>
                      <w:rFonts w:ascii="Calibri" w:eastAsia="Times New Roman" w:hAnsi="Calibri" w:cs="Calibri"/>
                      <w:color w:val="000000"/>
                      <w:lang w:eastAsia="en-AU"/>
                    </w:rPr>
                  </w:pPr>
                </w:p>
              </w:tc>
            </w:tr>
          </w:tbl>
          <w:p w14:paraId="6BBB197D" w14:textId="77777777" w:rsidR="005E7495" w:rsidRPr="00AB2F37" w:rsidRDefault="005E7495" w:rsidP="00856101">
            <w:pPr>
              <w:spacing w:after="0" w:line="240" w:lineRule="auto"/>
              <w:rPr>
                <w:rFonts w:ascii="Calibri" w:eastAsia="Times New Roman" w:hAnsi="Calibri" w:cs="Calibri"/>
                <w:color w:val="000000"/>
                <w:lang w:eastAsia="en-AU"/>
              </w:rPr>
            </w:pPr>
          </w:p>
        </w:tc>
        <w:tc>
          <w:tcPr>
            <w:tcW w:w="1156" w:type="dxa"/>
            <w:tcBorders>
              <w:top w:val="nil"/>
              <w:left w:val="nil"/>
              <w:bottom w:val="nil"/>
              <w:right w:val="nil"/>
            </w:tcBorders>
            <w:noWrap/>
            <w:vAlign w:val="bottom"/>
            <w:hideMark/>
          </w:tcPr>
          <w:p w14:paraId="03CDB7F8"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6174A56"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2F6043B0" w14:textId="77777777" w:rsidTr="00856101">
        <w:trPr>
          <w:trHeight w:val="255"/>
        </w:trPr>
        <w:tc>
          <w:tcPr>
            <w:tcW w:w="6096" w:type="dxa"/>
            <w:tcBorders>
              <w:top w:val="nil"/>
              <w:left w:val="nil"/>
              <w:bottom w:val="nil"/>
              <w:right w:val="nil"/>
            </w:tcBorders>
            <w:hideMark/>
          </w:tcPr>
          <w:p w14:paraId="71384A47"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17867FEE"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1DE683F0"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358C0773" w14:textId="77777777" w:rsidTr="00856101">
        <w:trPr>
          <w:trHeight w:val="255"/>
        </w:trPr>
        <w:tc>
          <w:tcPr>
            <w:tcW w:w="6096" w:type="dxa"/>
            <w:tcBorders>
              <w:top w:val="nil"/>
              <w:left w:val="nil"/>
              <w:bottom w:val="nil"/>
              <w:right w:val="nil"/>
            </w:tcBorders>
            <w:hideMark/>
          </w:tcPr>
          <w:p w14:paraId="1B1184F1"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A25C867"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6685C965"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6CE1BCE1" w14:textId="77777777" w:rsidTr="00856101">
        <w:trPr>
          <w:trHeight w:val="255"/>
        </w:trPr>
        <w:tc>
          <w:tcPr>
            <w:tcW w:w="6096" w:type="dxa"/>
            <w:tcBorders>
              <w:top w:val="nil"/>
              <w:left w:val="nil"/>
              <w:bottom w:val="nil"/>
              <w:right w:val="nil"/>
            </w:tcBorders>
            <w:hideMark/>
          </w:tcPr>
          <w:p w14:paraId="5806A5DC"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1215D605"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6AC04346"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2F9BCEE0" w14:textId="77777777" w:rsidTr="00856101">
        <w:trPr>
          <w:trHeight w:val="150"/>
        </w:trPr>
        <w:tc>
          <w:tcPr>
            <w:tcW w:w="6096" w:type="dxa"/>
            <w:tcBorders>
              <w:top w:val="nil"/>
              <w:left w:val="nil"/>
              <w:bottom w:val="nil"/>
              <w:right w:val="nil"/>
            </w:tcBorders>
            <w:hideMark/>
          </w:tcPr>
          <w:p w14:paraId="2B17E585"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4ECCFACE"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28BE825C"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4DD8608D" w14:textId="77777777" w:rsidTr="00856101">
        <w:trPr>
          <w:trHeight w:val="255"/>
        </w:trPr>
        <w:tc>
          <w:tcPr>
            <w:tcW w:w="6096" w:type="dxa"/>
            <w:tcBorders>
              <w:top w:val="nil"/>
              <w:left w:val="nil"/>
              <w:bottom w:val="nil"/>
              <w:right w:val="nil"/>
            </w:tcBorders>
            <w:hideMark/>
          </w:tcPr>
          <w:p w14:paraId="075C3DD9"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78BD5278"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1211BEFB"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256025EB" w14:textId="77777777" w:rsidTr="00856101">
        <w:trPr>
          <w:trHeight w:val="315"/>
        </w:trPr>
        <w:tc>
          <w:tcPr>
            <w:tcW w:w="6096" w:type="dxa"/>
            <w:tcBorders>
              <w:top w:val="nil"/>
              <w:left w:val="nil"/>
              <w:bottom w:val="nil"/>
              <w:right w:val="nil"/>
            </w:tcBorders>
            <w:hideMark/>
          </w:tcPr>
          <w:p w14:paraId="00FCD200"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7E10F621"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6BBF4FAA"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13ED390E" w14:textId="77777777" w:rsidTr="00856101">
        <w:trPr>
          <w:trHeight w:val="210"/>
        </w:trPr>
        <w:tc>
          <w:tcPr>
            <w:tcW w:w="6096" w:type="dxa"/>
            <w:tcBorders>
              <w:top w:val="nil"/>
              <w:left w:val="nil"/>
              <w:bottom w:val="nil"/>
              <w:right w:val="nil"/>
            </w:tcBorders>
            <w:hideMark/>
          </w:tcPr>
          <w:p w14:paraId="749B7745"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B3B762D"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331433D"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1860E3A6" w14:textId="77777777" w:rsidTr="00856101">
        <w:trPr>
          <w:trHeight w:val="150"/>
        </w:trPr>
        <w:tc>
          <w:tcPr>
            <w:tcW w:w="6096" w:type="dxa"/>
            <w:tcBorders>
              <w:top w:val="nil"/>
              <w:left w:val="nil"/>
              <w:bottom w:val="nil"/>
              <w:right w:val="nil"/>
            </w:tcBorders>
            <w:hideMark/>
          </w:tcPr>
          <w:p w14:paraId="0EB282EB"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715517A8"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68798143"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6ACE84FD" w14:textId="77777777" w:rsidTr="00856101">
        <w:trPr>
          <w:trHeight w:val="255"/>
        </w:trPr>
        <w:tc>
          <w:tcPr>
            <w:tcW w:w="6096" w:type="dxa"/>
            <w:tcBorders>
              <w:top w:val="nil"/>
              <w:left w:val="nil"/>
              <w:bottom w:val="nil"/>
              <w:right w:val="nil"/>
            </w:tcBorders>
            <w:hideMark/>
          </w:tcPr>
          <w:p w14:paraId="580A17E4"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164375B3"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35070EC6"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445AD123" w14:textId="77777777" w:rsidTr="00856101">
        <w:trPr>
          <w:trHeight w:val="255"/>
        </w:trPr>
        <w:tc>
          <w:tcPr>
            <w:tcW w:w="6096" w:type="dxa"/>
            <w:tcBorders>
              <w:top w:val="nil"/>
              <w:left w:val="nil"/>
              <w:bottom w:val="nil"/>
              <w:right w:val="nil"/>
            </w:tcBorders>
            <w:hideMark/>
          </w:tcPr>
          <w:p w14:paraId="0FD0CD8E"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586A8CF0"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AADB08D"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77C170F5" w14:textId="77777777" w:rsidTr="00856101">
        <w:trPr>
          <w:trHeight w:val="255"/>
        </w:trPr>
        <w:tc>
          <w:tcPr>
            <w:tcW w:w="6096" w:type="dxa"/>
            <w:tcBorders>
              <w:top w:val="nil"/>
              <w:left w:val="nil"/>
              <w:bottom w:val="nil"/>
              <w:right w:val="nil"/>
            </w:tcBorders>
            <w:hideMark/>
          </w:tcPr>
          <w:p w14:paraId="6B16033B"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4686CE44"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3CA3ECD5"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133C303D" w14:textId="77777777" w:rsidTr="00856101">
        <w:trPr>
          <w:trHeight w:val="255"/>
        </w:trPr>
        <w:tc>
          <w:tcPr>
            <w:tcW w:w="6096" w:type="dxa"/>
            <w:tcBorders>
              <w:top w:val="nil"/>
              <w:left w:val="nil"/>
              <w:bottom w:val="nil"/>
              <w:right w:val="nil"/>
            </w:tcBorders>
            <w:hideMark/>
          </w:tcPr>
          <w:p w14:paraId="53174F14"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404197A5"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2F636591"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0C923EAC" w14:textId="77777777" w:rsidTr="00856101">
        <w:trPr>
          <w:trHeight w:val="255"/>
        </w:trPr>
        <w:tc>
          <w:tcPr>
            <w:tcW w:w="6096" w:type="dxa"/>
            <w:tcBorders>
              <w:top w:val="nil"/>
              <w:left w:val="nil"/>
              <w:bottom w:val="nil"/>
              <w:right w:val="nil"/>
            </w:tcBorders>
            <w:hideMark/>
          </w:tcPr>
          <w:p w14:paraId="07134F5B"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AD81C92"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1FCCBD98"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016EEDDC" w14:textId="77777777" w:rsidTr="00856101">
        <w:trPr>
          <w:trHeight w:val="255"/>
        </w:trPr>
        <w:tc>
          <w:tcPr>
            <w:tcW w:w="6096" w:type="dxa"/>
            <w:tcBorders>
              <w:top w:val="nil"/>
              <w:left w:val="nil"/>
              <w:bottom w:val="nil"/>
              <w:right w:val="nil"/>
            </w:tcBorders>
            <w:hideMark/>
          </w:tcPr>
          <w:p w14:paraId="617B06C7"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47BFE645"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27F1C713"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5F4FCABC" w14:textId="77777777" w:rsidTr="00856101">
        <w:trPr>
          <w:trHeight w:val="255"/>
        </w:trPr>
        <w:tc>
          <w:tcPr>
            <w:tcW w:w="6096" w:type="dxa"/>
            <w:tcBorders>
              <w:top w:val="nil"/>
              <w:left w:val="nil"/>
              <w:bottom w:val="nil"/>
              <w:right w:val="nil"/>
            </w:tcBorders>
            <w:hideMark/>
          </w:tcPr>
          <w:p w14:paraId="17A7CF1D"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1BC15C3D"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63FC40D3"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3207A205" w14:textId="77777777" w:rsidTr="00856101">
        <w:trPr>
          <w:trHeight w:val="255"/>
        </w:trPr>
        <w:tc>
          <w:tcPr>
            <w:tcW w:w="6096" w:type="dxa"/>
            <w:tcBorders>
              <w:top w:val="nil"/>
              <w:left w:val="nil"/>
              <w:bottom w:val="nil"/>
              <w:right w:val="nil"/>
            </w:tcBorders>
            <w:hideMark/>
          </w:tcPr>
          <w:p w14:paraId="13217BFF"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69E961F"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CF1C462"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1A8A85E7" w14:textId="77777777" w:rsidTr="00856101">
        <w:trPr>
          <w:trHeight w:val="255"/>
        </w:trPr>
        <w:tc>
          <w:tcPr>
            <w:tcW w:w="6096" w:type="dxa"/>
            <w:tcBorders>
              <w:top w:val="nil"/>
              <w:left w:val="nil"/>
              <w:bottom w:val="nil"/>
              <w:right w:val="nil"/>
            </w:tcBorders>
            <w:hideMark/>
          </w:tcPr>
          <w:p w14:paraId="69DF590E"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3868539D"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155C8C99"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2338B67D" w14:textId="77777777" w:rsidTr="00856101">
        <w:trPr>
          <w:trHeight w:val="255"/>
        </w:trPr>
        <w:tc>
          <w:tcPr>
            <w:tcW w:w="6096" w:type="dxa"/>
            <w:tcBorders>
              <w:top w:val="nil"/>
              <w:left w:val="nil"/>
              <w:bottom w:val="nil"/>
              <w:right w:val="nil"/>
            </w:tcBorders>
            <w:hideMark/>
          </w:tcPr>
          <w:p w14:paraId="4F3FAADC"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588A9FC0"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591F5CD1"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7EB0FF26" w14:textId="77777777" w:rsidTr="00856101">
        <w:trPr>
          <w:trHeight w:val="255"/>
        </w:trPr>
        <w:tc>
          <w:tcPr>
            <w:tcW w:w="6096" w:type="dxa"/>
            <w:tcBorders>
              <w:top w:val="nil"/>
              <w:left w:val="nil"/>
              <w:bottom w:val="nil"/>
              <w:right w:val="nil"/>
            </w:tcBorders>
            <w:hideMark/>
          </w:tcPr>
          <w:p w14:paraId="51BD96DA"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715100EF"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4B9DC590"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426A2252" w14:textId="77777777" w:rsidTr="00856101">
        <w:trPr>
          <w:trHeight w:val="255"/>
        </w:trPr>
        <w:tc>
          <w:tcPr>
            <w:tcW w:w="6096" w:type="dxa"/>
            <w:tcBorders>
              <w:top w:val="nil"/>
              <w:left w:val="nil"/>
              <w:bottom w:val="nil"/>
              <w:right w:val="nil"/>
            </w:tcBorders>
            <w:hideMark/>
          </w:tcPr>
          <w:p w14:paraId="67394CD6"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1C45ADA6"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38236F1B"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565F8421" w14:textId="77777777" w:rsidTr="00856101">
        <w:trPr>
          <w:trHeight w:val="255"/>
        </w:trPr>
        <w:tc>
          <w:tcPr>
            <w:tcW w:w="6096" w:type="dxa"/>
            <w:tcBorders>
              <w:top w:val="nil"/>
              <w:left w:val="nil"/>
              <w:bottom w:val="nil"/>
              <w:right w:val="nil"/>
            </w:tcBorders>
            <w:hideMark/>
          </w:tcPr>
          <w:p w14:paraId="7CB37083"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AF051CC"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407EAA7E"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0A9D37FB" w14:textId="77777777" w:rsidTr="00856101">
        <w:trPr>
          <w:trHeight w:val="255"/>
        </w:trPr>
        <w:tc>
          <w:tcPr>
            <w:tcW w:w="6096" w:type="dxa"/>
            <w:tcBorders>
              <w:top w:val="nil"/>
              <w:left w:val="nil"/>
              <w:bottom w:val="nil"/>
              <w:right w:val="nil"/>
            </w:tcBorders>
            <w:hideMark/>
          </w:tcPr>
          <w:p w14:paraId="295CD675"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699C12A1"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2383994F"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483C5493" w14:textId="77777777" w:rsidTr="00856101">
        <w:trPr>
          <w:trHeight w:val="255"/>
        </w:trPr>
        <w:tc>
          <w:tcPr>
            <w:tcW w:w="6096" w:type="dxa"/>
            <w:tcBorders>
              <w:top w:val="nil"/>
              <w:left w:val="nil"/>
              <w:bottom w:val="nil"/>
              <w:right w:val="nil"/>
            </w:tcBorders>
            <w:hideMark/>
          </w:tcPr>
          <w:p w14:paraId="4C794836"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63D42A03"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5D5CB298"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76EB76CE" w14:textId="77777777" w:rsidTr="00856101">
        <w:trPr>
          <w:trHeight w:val="255"/>
        </w:trPr>
        <w:tc>
          <w:tcPr>
            <w:tcW w:w="6096" w:type="dxa"/>
            <w:tcBorders>
              <w:top w:val="nil"/>
              <w:left w:val="nil"/>
              <w:bottom w:val="nil"/>
              <w:right w:val="nil"/>
            </w:tcBorders>
            <w:hideMark/>
          </w:tcPr>
          <w:p w14:paraId="4D855FB2"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10B516C5"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E3734A6"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28DE0B13" w14:textId="77777777" w:rsidTr="00856101">
        <w:trPr>
          <w:trHeight w:val="255"/>
        </w:trPr>
        <w:tc>
          <w:tcPr>
            <w:tcW w:w="6096" w:type="dxa"/>
            <w:tcBorders>
              <w:top w:val="nil"/>
              <w:left w:val="nil"/>
              <w:bottom w:val="nil"/>
              <w:right w:val="nil"/>
            </w:tcBorders>
            <w:hideMark/>
          </w:tcPr>
          <w:p w14:paraId="4239A702"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38C8E067"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D559FBF"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0016EDFE" w14:textId="77777777" w:rsidTr="00856101">
        <w:trPr>
          <w:trHeight w:val="255"/>
        </w:trPr>
        <w:tc>
          <w:tcPr>
            <w:tcW w:w="6096" w:type="dxa"/>
            <w:tcBorders>
              <w:top w:val="nil"/>
              <w:left w:val="nil"/>
              <w:bottom w:val="nil"/>
              <w:right w:val="nil"/>
            </w:tcBorders>
            <w:hideMark/>
          </w:tcPr>
          <w:p w14:paraId="695BA394"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7B9F5022"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29D233B8"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2EC899F0" w14:textId="77777777" w:rsidTr="00856101">
        <w:trPr>
          <w:trHeight w:val="255"/>
        </w:trPr>
        <w:tc>
          <w:tcPr>
            <w:tcW w:w="6096" w:type="dxa"/>
            <w:tcBorders>
              <w:top w:val="nil"/>
              <w:left w:val="nil"/>
              <w:bottom w:val="nil"/>
              <w:right w:val="nil"/>
            </w:tcBorders>
            <w:hideMark/>
          </w:tcPr>
          <w:p w14:paraId="0AB4DC14"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576BA496"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5795F443"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107D60B5" w14:textId="77777777" w:rsidTr="00856101">
        <w:trPr>
          <w:trHeight w:val="255"/>
        </w:trPr>
        <w:tc>
          <w:tcPr>
            <w:tcW w:w="6096" w:type="dxa"/>
            <w:tcBorders>
              <w:top w:val="nil"/>
              <w:left w:val="nil"/>
              <w:bottom w:val="nil"/>
              <w:right w:val="nil"/>
            </w:tcBorders>
            <w:hideMark/>
          </w:tcPr>
          <w:p w14:paraId="60C65FBB"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35537714"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5E0C148D"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AB2F37" w14:paraId="050DF771" w14:textId="77777777" w:rsidTr="00856101">
        <w:trPr>
          <w:trHeight w:val="705"/>
        </w:trPr>
        <w:tc>
          <w:tcPr>
            <w:tcW w:w="6096" w:type="dxa"/>
            <w:tcBorders>
              <w:top w:val="nil"/>
              <w:left w:val="nil"/>
              <w:bottom w:val="nil"/>
              <w:right w:val="nil"/>
            </w:tcBorders>
            <w:hideMark/>
          </w:tcPr>
          <w:p w14:paraId="34F3C06B"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6299959" w14:textId="77777777" w:rsidR="005E7495" w:rsidRPr="00AB2F37"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04ECA1F5" w14:textId="77777777" w:rsidR="005E7495" w:rsidRPr="00AB2F37"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bl>
    <w:p w14:paraId="03DA6FD0" w14:textId="77777777" w:rsidR="005E7495" w:rsidRDefault="005E7495" w:rsidP="005E7495"/>
    <w:p w14:paraId="6E003628" w14:textId="77777777" w:rsidR="005E7495" w:rsidRDefault="005E7495" w:rsidP="005E7495"/>
    <w:tbl>
      <w:tblPr>
        <w:tblW w:w="8928" w:type="dxa"/>
        <w:tblLook w:val="04A0" w:firstRow="1" w:lastRow="0" w:firstColumn="1" w:lastColumn="0" w:noHBand="0" w:noVBand="1"/>
      </w:tblPr>
      <w:tblGrid>
        <w:gridCol w:w="6456"/>
        <w:gridCol w:w="1236"/>
        <w:gridCol w:w="1236"/>
      </w:tblGrid>
      <w:tr w:rsidR="005E7495" w:rsidRPr="00CA5560" w14:paraId="13B3DE0D" w14:textId="77777777" w:rsidTr="00856101">
        <w:trPr>
          <w:trHeight w:val="405"/>
        </w:trPr>
        <w:tc>
          <w:tcPr>
            <w:tcW w:w="6456" w:type="dxa"/>
            <w:tcBorders>
              <w:top w:val="single" w:sz="4" w:space="0" w:color="FFFFFF"/>
              <w:left w:val="nil"/>
              <w:bottom w:val="single" w:sz="4" w:space="0" w:color="FFFFFF"/>
              <w:right w:val="nil"/>
            </w:tcBorders>
            <w:shd w:val="clear" w:color="000000" w:fill="37424A"/>
            <w:noWrap/>
            <w:vAlign w:val="center"/>
            <w:hideMark/>
          </w:tcPr>
          <w:p w14:paraId="192A9432" w14:textId="77777777" w:rsidR="005E7495" w:rsidRPr="00CA5560" w:rsidRDefault="005E7495" w:rsidP="00856101">
            <w:pPr>
              <w:spacing w:after="0" w:line="240" w:lineRule="auto"/>
              <w:rPr>
                <w:rFonts w:ascii="Cambria" w:eastAsia="Times New Roman" w:hAnsi="Cambria" w:cs="Calibri"/>
                <w:b/>
                <w:bCs/>
                <w:color w:val="FFFFFF"/>
                <w:sz w:val="18"/>
                <w:szCs w:val="18"/>
                <w:lang w:eastAsia="en-AU"/>
              </w:rPr>
            </w:pPr>
            <w:r w:rsidRPr="00CA5560">
              <w:rPr>
                <w:rFonts w:ascii="Cambria" w:eastAsia="Times New Roman" w:hAnsi="Cambria" w:cs="Calibri"/>
                <w:b/>
                <w:bCs/>
                <w:color w:val="FFFFFF"/>
                <w:sz w:val="18"/>
                <w:szCs w:val="18"/>
                <w:lang w:eastAsia="en-AU"/>
              </w:rPr>
              <w:lastRenderedPageBreak/>
              <w:t>Note 3.2 Key management personnel remuneration</w:t>
            </w:r>
          </w:p>
        </w:tc>
        <w:tc>
          <w:tcPr>
            <w:tcW w:w="1236" w:type="dxa"/>
            <w:tcBorders>
              <w:top w:val="single" w:sz="4" w:space="0" w:color="FFFFFF"/>
              <w:left w:val="nil"/>
              <w:bottom w:val="single" w:sz="4" w:space="0" w:color="FFFFFF"/>
              <w:right w:val="nil"/>
            </w:tcBorders>
            <w:shd w:val="clear" w:color="000000" w:fill="37424A"/>
            <w:noWrap/>
            <w:vAlign w:val="center"/>
            <w:hideMark/>
          </w:tcPr>
          <w:p w14:paraId="1183F8CA" w14:textId="77777777" w:rsidR="005E7495" w:rsidRPr="00CA5560" w:rsidRDefault="005E7495" w:rsidP="00856101">
            <w:pPr>
              <w:spacing w:after="0" w:line="240" w:lineRule="auto"/>
              <w:rPr>
                <w:rFonts w:ascii="Cambria" w:eastAsia="Times New Roman" w:hAnsi="Cambria" w:cs="Calibri"/>
                <w:b/>
                <w:bCs/>
                <w:color w:val="FFFFFF"/>
                <w:sz w:val="18"/>
                <w:szCs w:val="18"/>
                <w:lang w:eastAsia="en-AU"/>
              </w:rPr>
            </w:pPr>
            <w:r w:rsidRPr="00CA5560">
              <w:rPr>
                <w:rFonts w:ascii="Cambria" w:eastAsia="Times New Roman" w:hAnsi="Cambria" w:cs="Calibri"/>
                <w:b/>
                <w:bCs/>
                <w:color w:val="FFFFFF"/>
                <w:sz w:val="18"/>
                <w:szCs w:val="18"/>
                <w:lang w:eastAsia="en-AU"/>
              </w:rPr>
              <w:t> </w:t>
            </w:r>
          </w:p>
        </w:tc>
        <w:tc>
          <w:tcPr>
            <w:tcW w:w="1236" w:type="dxa"/>
            <w:tcBorders>
              <w:top w:val="single" w:sz="4" w:space="0" w:color="FFFFFF"/>
              <w:left w:val="nil"/>
              <w:bottom w:val="single" w:sz="4" w:space="0" w:color="FFFFFF"/>
              <w:right w:val="nil"/>
            </w:tcBorders>
            <w:shd w:val="clear" w:color="000000" w:fill="37424A"/>
            <w:noWrap/>
            <w:vAlign w:val="center"/>
            <w:hideMark/>
          </w:tcPr>
          <w:p w14:paraId="0EEC20D2" w14:textId="77777777" w:rsidR="005E7495" w:rsidRPr="00CA5560" w:rsidRDefault="005E7495" w:rsidP="00856101">
            <w:pPr>
              <w:spacing w:after="0" w:line="240" w:lineRule="auto"/>
              <w:rPr>
                <w:rFonts w:ascii="Cambria" w:eastAsia="Times New Roman" w:hAnsi="Cambria" w:cs="Calibri"/>
                <w:b/>
                <w:bCs/>
                <w:color w:val="FFFFFF"/>
                <w:sz w:val="18"/>
                <w:szCs w:val="18"/>
                <w:lang w:eastAsia="en-AU"/>
              </w:rPr>
            </w:pPr>
            <w:r w:rsidRPr="00CA5560">
              <w:rPr>
                <w:rFonts w:ascii="Cambria" w:eastAsia="Times New Roman" w:hAnsi="Cambria" w:cs="Calibri"/>
                <w:b/>
                <w:bCs/>
                <w:color w:val="FFFFFF"/>
                <w:sz w:val="18"/>
                <w:szCs w:val="18"/>
                <w:lang w:eastAsia="en-AU"/>
              </w:rPr>
              <w:t> </w:t>
            </w:r>
          </w:p>
        </w:tc>
      </w:tr>
      <w:tr w:rsidR="005E7495" w:rsidRPr="00CA5560" w14:paraId="18E9ABA0" w14:textId="77777777" w:rsidTr="00856101">
        <w:trPr>
          <w:trHeight w:val="120"/>
        </w:trPr>
        <w:tc>
          <w:tcPr>
            <w:tcW w:w="6456" w:type="dxa"/>
            <w:tcBorders>
              <w:top w:val="nil"/>
              <w:left w:val="nil"/>
              <w:bottom w:val="nil"/>
              <w:right w:val="nil"/>
            </w:tcBorders>
            <w:vAlign w:val="bottom"/>
            <w:hideMark/>
          </w:tcPr>
          <w:p w14:paraId="765A5051" w14:textId="77777777" w:rsidR="005E7495" w:rsidRPr="00CA5560" w:rsidRDefault="005E7495" w:rsidP="00856101">
            <w:pPr>
              <w:spacing w:after="0" w:line="240" w:lineRule="auto"/>
              <w:rPr>
                <w:rFonts w:ascii="Cambria" w:eastAsia="Times New Roman" w:hAnsi="Cambria" w:cs="Calibri"/>
                <w:b/>
                <w:bCs/>
                <w:color w:val="FFFFFF"/>
                <w:sz w:val="18"/>
                <w:szCs w:val="18"/>
                <w:lang w:eastAsia="en-AU"/>
              </w:rPr>
            </w:pPr>
          </w:p>
        </w:tc>
        <w:tc>
          <w:tcPr>
            <w:tcW w:w="1236" w:type="dxa"/>
            <w:tcBorders>
              <w:top w:val="nil"/>
              <w:left w:val="nil"/>
              <w:bottom w:val="nil"/>
              <w:right w:val="nil"/>
            </w:tcBorders>
            <w:vAlign w:val="bottom"/>
            <w:hideMark/>
          </w:tcPr>
          <w:p w14:paraId="01C82B17"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vAlign w:val="bottom"/>
            <w:hideMark/>
          </w:tcPr>
          <w:p w14:paraId="7729C7FA"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CA5560" w14:paraId="114DFC73" w14:textId="77777777" w:rsidTr="00856101">
        <w:trPr>
          <w:trHeight w:val="1125"/>
        </w:trPr>
        <w:tc>
          <w:tcPr>
            <w:tcW w:w="8928" w:type="dxa"/>
            <w:gridSpan w:val="3"/>
            <w:tcBorders>
              <w:top w:val="nil"/>
              <w:left w:val="nil"/>
              <w:bottom w:val="nil"/>
              <w:right w:val="nil"/>
            </w:tcBorders>
            <w:vAlign w:val="bottom"/>
            <w:hideMark/>
          </w:tcPr>
          <w:p w14:paraId="5769CF99" w14:textId="77777777" w:rsidR="005E7495" w:rsidRPr="00CA5560" w:rsidRDefault="005E7495" w:rsidP="00856101">
            <w:pPr>
              <w:spacing w:after="0" w:line="240" w:lineRule="auto"/>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Key management personnel are those persons having authority and responsibility for planning, directing and controlling the activities of the entity, directly or indirectly, including any Pricing Authority member. The entity has determined the key management personnel to be the Chief Executive Officer and the Pricing Authority members.</w:t>
            </w:r>
          </w:p>
        </w:tc>
      </w:tr>
      <w:tr w:rsidR="005E7495" w:rsidRPr="00CA5560" w14:paraId="7735EBD4" w14:textId="77777777" w:rsidTr="00856101">
        <w:trPr>
          <w:trHeight w:val="150"/>
        </w:trPr>
        <w:tc>
          <w:tcPr>
            <w:tcW w:w="6456" w:type="dxa"/>
            <w:tcBorders>
              <w:top w:val="nil"/>
              <w:left w:val="nil"/>
              <w:bottom w:val="nil"/>
              <w:right w:val="nil"/>
            </w:tcBorders>
            <w:noWrap/>
            <w:vAlign w:val="bottom"/>
            <w:hideMark/>
          </w:tcPr>
          <w:p w14:paraId="77DA6F69" w14:textId="77777777" w:rsidR="005E7495" w:rsidRPr="00CA5560" w:rsidRDefault="005E7495" w:rsidP="00856101">
            <w:pPr>
              <w:spacing w:after="0" w:line="240" w:lineRule="auto"/>
              <w:rPr>
                <w:rFonts w:ascii="Cambria" w:eastAsia="Times New Roman" w:hAnsi="Cambria" w:cs="Calibri"/>
                <w:color w:val="auto"/>
                <w:sz w:val="18"/>
                <w:szCs w:val="18"/>
                <w:lang w:eastAsia="en-AU"/>
              </w:rPr>
            </w:pPr>
          </w:p>
        </w:tc>
        <w:tc>
          <w:tcPr>
            <w:tcW w:w="1236" w:type="dxa"/>
            <w:tcBorders>
              <w:top w:val="nil"/>
              <w:left w:val="nil"/>
              <w:bottom w:val="nil"/>
              <w:right w:val="nil"/>
            </w:tcBorders>
            <w:vAlign w:val="bottom"/>
            <w:hideMark/>
          </w:tcPr>
          <w:p w14:paraId="11F112B9"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vAlign w:val="bottom"/>
            <w:hideMark/>
          </w:tcPr>
          <w:p w14:paraId="6867F52F"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CA5560" w14:paraId="3EFF08C7" w14:textId="77777777" w:rsidTr="00856101">
        <w:trPr>
          <w:trHeight w:val="255"/>
        </w:trPr>
        <w:tc>
          <w:tcPr>
            <w:tcW w:w="6456" w:type="dxa"/>
            <w:tcBorders>
              <w:top w:val="nil"/>
              <w:left w:val="nil"/>
              <w:bottom w:val="nil"/>
              <w:right w:val="nil"/>
            </w:tcBorders>
            <w:noWrap/>
            <w:vAlign w:val="bottom"/>
            <w:hideMark/>
          </w:tcPr>
          <w:p w14:paraId="6AA52976" w14:textId="77777777" w:rsidR="005E7495" w:rsidRPr="00CA5560" w:rsidRDefault="005E7495" w:rsidP="00856101">
            <w:pPr>
              <w:spacing w:after="0" w:line="240" w:lineRule="auto"/>
              <w:rPr>
                <w:rFonts w:ascii="Cambria" w:eastAsia="Times New Roman" w:hAnsi="Cambria" w:cs="Calibri"/>
                <w:b/>
                <w:bCs/>
                <w:color w:val="auto"/>
                <w:sz w:val="18"/>
                <w:szCs w:val="18"/>
                <w:lang w:eastAsia="en-AU"/>
              </w:rPr>
            </w:pPr>
            <w:r w:rsidRPr="00CA5560">
              <w:rPr>
                <w:rFonts w:ascii="Cambria" w:eastAsia="Times New Roman" w:hAnsi="Cambria" w:cs="Calibri"/>
                <w:b/>
                <w:bCs/>
                <w:color w:val="auto"/>
                <w:sz w:val="18"/>
                <w:szCs w:val="18"/>
                <w:lang w:eastAsia="en-AU"/>
              </w:rPr>
              <w:t>Key management personnel remuneration is reported in the table below:</w:t>
            </w:r>
          </w:p>
        </w:tc>
        <w:tc>
          <w:tcPr>
            <w:tcW w:w="1236" w:type="dxa"/>
            <w:tcBorders>
              <w:top w:val="nil"/>
              <w:left w:val="nil"/>
              <w:bottom w:val="nil"/>
              <w:right w:val="nil"/>
            </w:tcBorders>
            <w:vAlign w:val="bottom"/>
            <w:hideMark/>
          </w:tcPr>
          <w:p w14:paraId="5D348109" w14:textId="77777777" w:rsidR="005E7495" w:rsidRPr="00CA5560" w:rsidRDefault="005E7495" w:rsidP="00856101">
            <w:pPr>
              <w:spacing w:after="0" w:line="240" w:lineRule="auto"/>
              <w:rPr>
                <w:rFonts w:ascii="Cambria" w:eastAsia="Times New Roman" w:hAnsi="Cambria" w:cs="Calibri"/>
                <w:b/>
                <w:bCs/>
                <w:color w:val="auto"/>
                <w:sz w:val="18"/>
                <w:szCs w:val="18"/>
                <w:lang w:eastAsia="en-AU"/>
              </w:rPr>
            </w:pPr>
          </w:p>
        </w:tc>
        <w:tc>
          <w:tcPr>
            <w:tcW w:w="1236" w:type="dxa"/>
            <w:tcBorders>
              <w:top w:val="nil"/>
              <w:left w:val="nil"/>
              <w:bottom w:val="nil"/>
              <w:right w:val="nil"/>
            </w:tcBorders>
            <w:vAlign w:val="bottom"/>
            <w:hideMark/>
          </w:tcPr>
          <w:p w14:paraId="4247290F"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CA5560" w14:paraId="250776C6" w14:textId="77777777" w:rsidTr="00856101">
        <w:trPr>
          <w:trHeight w:val="120"/>
        </w:trPr>
        <w:tc>
          <w:tcPr>
            <w:tcW w:w="6456" w:type="dxa"/>
            <w:tcBorders>
              <w:top w:val="nil"/>
              <w:left w:val="nil"/>
              <w:bottom w:val="nil"/>
              <w:right w:val="nil"/>
            </w:tcBorders>
            <w:vAlign w:val="bottom"/>
            <w:hideMark/>
          </w:tcPr>
          <w:p w14:paraId="59009C73"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vAlign w:val="bottom"/>
            <w:hideMark/>
          </w:tcPr>
          <w:p w14:paraId="077EBFAC"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vAlign w:val="bottom"/>
            <w:hideMark/>
          </w:tcPr>
          <w:p w14:paraId="248BDF6F"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CA5560" w14:paraId="637ECCA8" w14:textId="77777777" w:rsidTr="00856101">
        <w:trPr>
          <w:trHeight w:val="255"/>
        </w:trPr>
        <w:tc>
          <w:tcPr>
            <w:tcW w:w="6456" w:type="dxa"/>
            <w:tcBorders>
              <w:top w:val="nil"/>
              <w:left w:val="nil"/>
              <w:bottom w:val="nil"/>
              <w:right w:val="nil"/>
            </w:tcBorders>
            <w:hideMark/>
          </w:tcPr>
          <w:p w14:paraId="2A644E6A"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vAlign w:val="bottom"/>
            <w:hideMark/>
          </w:tcPr>
          <w:p w14:paraId="65211318" w14:textId="77777777" w:rsidR="005E7495" w:rsidRPr="00CA5560" w:rsidRDefault="005E7495" w:rsidP="00856101">
            <w:pPr>
              <w:spacing w:after="0" w:line="240" w:lineRule="auto"/>
              <w:jc w:val="right"/>
              <w:rPr>
                <w:rFonts w:ascii="Cambria" w:eastAsia="Times New Roman" w:hAnsi="Cambria" w:cs="Calibri"/>
                <w:b/>
                <w:bCs/>
                <w:color w:val="auto"/>
                <w:sz w:val="18"/>
                <w:szCs w:val="18"/>
                <w:lang w:eastAsia="en-AU"/>
              </w:rPr>
            </w:pPr>
            <w:r w:rsidRPr="00CA5560">
              <w:rPr>
                <w:rFonts w:ascii="Cambria" w:eastAsia="Times New Roman" w:hAnsi="Cambria" w:cs="Calibri"/>
                <w:b/>
                <w:bCs/>
                <w:color w:val="auto"/>
                <w:sz w:val="18"/>
                <w:szCs w:val="18"/>
                <w:lang w:eastAsia="en-AU"/>
              </w:rPr>
              <w:t>2026</w:t>
            </w:r>
          </w:p>
        </w:tc>
        <w:tc>
          <w:tcPr>
            <w:tcW w:w="1236" w:type="dxa"/>
            <w:tcBorders>
              <w:top w:val="nil"/>
              <w:left w:val="nil"/>
              <w:bottom w:val="nil"/>
              <w:right w:val="nil"/>
            </w:tcBorders>
            <w:vAlign w:val="bottom"/>
            <w:hideMark/>
          </w:tcPr>
          <w:p w14:paraId="40E670B6" w14:textId="77777777" w:rsidR="005E7495" w:rsidRPr="00CA5560" w:rsidRDefault="005E7495" w:rsidP="00856101">
            <w:pPr>
              <w:spacing w:after="0" w:line="240" w:lineRule="auto"/>
              <w:jc w:val="right"/>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2025</w:t>
            </w:r>
          </w:p>
        </w:tc>
      </w:tr>
      <w:tr w:rsidR="005E7495" w:rsidRPr="00CA5560" w14:paraId="2E02A47C" w14:textId="77777777" w:rsidTr="00856101">
        <w:trPr>
          <w:trHeight w:val="255"/>
        </w:trPr>
        <w:tc>
          <w:tcPr>
            <w:tcW w:w="6456" w:type="dxa"/>
            <w:tcBorders>
              <w:top w:val="nil"/>
              <w:left w:val="nil"/>
              <w:bottom w:val="single" w:sz="8" w:space="0" w:color="009560"/>
              <w:right w:val="nil"/>
            </w:tcBorders>
            <w:hideMark/>
          </w:tcPr>
          <w:p w14:paraId="127E415F" w14:textId="77777777" w:rsidR="005E7495" w:rsidRPr="00CA5560" w:rsidRDefault="005E7495" w:rsidP="00856101">
            <w:pPr>
              <w:spacing w:after="0" w:line="240" w:lineRule="auto"/>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 </w:t>
            </w:r>
          </w:p>
        </w:tc>
        <w:tc>
          <w:tcPr>
            <w:tcW w:w="1236" w:type="dxa"/>
            <w:tcBorders>
              <w:top w:val="nil"/>
              <w:left w:val="nil"/>
              <w:bottom w:val="single" w:sz="8" w:space="0" w:color="009560"/>
              <w:right w:val="nil"/>
            </w:tcBorders>
            <w:hideMark/>
          </w:tcPr>
          <w:p w14:paraId="109E820D" w14:textId="77777777" w:rsidR="005E7495" w:rsidRPr="00CA5560" w:rsidRDefault="005E7495" w:rsidP="00856101">
            <w:pPr>
              <w:spacing w:after="0" w:line="240" w:lineRule="auto"/>
              <w:jc w:val="right"/>
              <w:rPr>
                <w:rFonts w:ascii="Cambria" w:eastAsia="Times New Roman" w:hAnsi="Cambria" w:cs="Calibri"/>
                <w:b/>
                <w:bCs/>
                <w:color w:val="auto"/>
                <w:sz w:val="18"/>
                <w:szCs w:val="18"/>
                <w:lang w:eastAsia="en-AU"/>
              </w:rPr>
            </w:pPr>
            <w:r w:rsidRPr="00CA5560">
              <w:rPr>
                <w:rFonts w:ascii="Cambria" w:eastAsia="Times New Roman" w:hAnsi="Cambria" w:cs="Calibri"/>
                <w:b/>
                <w:bCs/>
                <w:color w:val="auto"/>
                <w:sz w:val="18"/>
                <w:szCs w:val="18"/>
                <w:lang w:eastAsia="en-AU"/>
              </w:rPr>
              <w:t>$’000</w:t>
            </w:r>
          </w:p>
        </w:tc>
        <w:tc>
          <w:tcPr>
            <w:tcW w:w="1236" w:type="dxa"/>
            <w:tcBorders>
              <w:top w:val="nil"/>
              <w:left w:val="nil"/>
              <w:bottom w:val="single" w:sz="8" w:space="0" w:color="009560"/>
              <w:right w:val="nil"/>
            </w:tcBorders>
            <w:hideMark/>
          </w:tcPr>
          <w:p w14:paraId="2BEFEA77" w14:textId="77777777" w:rsidR="005E7495" w:rsidRPr="00CA5560" w:rsidRDefault="005E7495" w:rsidP="00856101">
            <w:pPr>
              <w:spacing w:after="0" w:line="240" w:lineRule="auto"/>
              <w:jc w:val="right"/>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$’000</w:t>
            </w:r>
          </w:p>
        </w:tc>
      </w:tr>
      <w:tr w:rsidR="005E7495" w:rsidRPr="00CA5560" w14:paraId="4777C667" w14:textId="77777777" w:rsidTr="00856101">
        <w:trPr>
          <w:trHeight w:val="255"/>
        </w:trPr>
        <w:tc>
          <w:tcPr>
            <w:tcW w:w="6456" w:type="dxa"/>
            <w:tcBorders>
              <w:top w:val="nil"/>
              <w:left w:val="nil"/>
              <w:bottom w:val="nil"/>
              <w:right w:val="nil"/>
            </w:tcBorders>
            <w:hideMark/>
          </w:tcPr>
          <w:p w14:paraId="366CE6F0" w14:textId="77777777" w:rsidR="005E7495" w:rsidRPr="00CA5560" w:rsidRDefault="005E7495"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hideMark/>
          </w:tcPr>
          <w:p w14:paraId="0AE46061" w14:textId="77777777" w:rsidR="005E7495" w:rsidRPr="00CA5560"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hideMark/>
          </w:tcPr>
          <w:p w14:paraId="76521EE2" w14:textId="77777777" w:rsidR="005E7495" w:rsidRPr="00CA5560"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CA5560" w14:paraId="66BAD2E9" w14:textId="77777777" w:rsidTr="00856101">
        <w:trPr>
          <w:trHeight w:val="255"/>
        </w:trPr>
        <w:tc>
          <w:tcPr>
            <w:tcW w:w="6456" w:type="dxa"/>
            <w:tcBorders>
              <w:top w:val="nil"/>
              <w:left w:val="nil"/>
              <w:bottom w:val="nil"/>
              <w:right w:val="nil"/>
            </w:tcBorders>
            <w:hideMark/>
          </w:tcPr>
          <w:p w14:paraId="59033276" w14:textId="77777777" w:rsidR="005E7495" w:rsidRPr="00CA5560" w:rsidRDefault="005E7495" w:rsidP="00856101">
            <w:pPr>
              <w:spacing w:after="0" w:line="240" w:lineRule="auto"/>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Short-term employee benefits</w:t>
            </w:r>
          </w:p>
        </w:tc>
        <w:tc>
          <w:tcPr>
            <w:tcW w:w="1236" w:type="dxa"/>
            <w:tcBorders>
              <w:top w:val="nil"/>
              <w:left w:val="nil"/>
              <w:bottom w:val="nil"/>
              <w:right w:val="nil"/>
            </w:tcBorders>
            <w:noWrap/>
            <w:vAlign w:val="bottom"/>
            <w:hideMark/>
          </w:tcPr>
          <w:p w14:paraId="6AB3B8EC" w14:textId="77777777" w:rsidR="005E7495" w:rsidRPr="00CA5560" w:rsidRDefault="005E7495" w:rsidP="00856101">
            <w:pPr>
              <w:spacing w:after="0" w:line="240" w:lineRule="auto"/>
              <w:jc w:val="right"/>
              <w:rPr>
                <w:rFonts w:ascii="Cambria" w:eastAsia="Times New Roman" w:hAnsi="Cambria" w:cs="Calibri"/>
                <w:b/>
                <w:bCs/>
                <w:color w:val="auto"/>
                <w:sz w:val="18"/>
                <w:szCs w:val="18"/>
                <w:lang w:eastAsia="en-AU"/>
              </w:rPr>
            </w:pPr>
            <w:r w:rsidRPr="00CA5560">
              <w:rPr>
                <w:rFonts w:ascii="Cambria" w:eastAsia="Times New Roman" w:hAnsi="Cambria" w:cs="Calibri"/>
                <w:b/>
                <w:bCs/>
                <w:color w:val="auto"/>
                <w:sz w:val="18"/>
                <w:szCs w:val="18"/>
                <w:lang w:eastAsia="en-AU"/>
              </w:rPr>
              <w:t xml:space="preserve">1,110 </w:t>
            </w:r>
          </w:p>
        </w:tc>
        <w:tc>
          <w:tcPr>
            <w:tcW w:w="1236" w:type="dxa"/>
            <w:tcBorders>
              <w:top w:val="nil"/>
              <w:left w:val="nil"/>
              <w:bottom w:val="nil"/>
              <w:right w:val="nil"/>
            </w:tcBorders>
            <w:noWrap/>
            <w:vAlign w:val="bottom"/>
            <w:hideMark/>
          </w:tcPr>
          <w:p w14:paraId="0BCA30B2" w14:textId="77777777" w:rsidR="005E7495" w:rsidRPr="00CA5560" w:rsidRDefault="005E7495" w:rsidP="00856101">
            <w:pPr>
              <w:spacing w:after="0" w:line="240" w:lineRule="auto"/>
              <w:jc w:val="right"/>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 xml:space="preserve">1,097 </w:t>
            </w:r>
          </w:p>
        </w:tc>
      </w:tr>
      <w:tr w:rsidR="005E7495" w:rsidRPr="00CA5560" w14:paraId="1455D8BF" w14:textId="77777777" w:rsidTr="00856101">
        <w:trPr>
          <w:trHeight w:val="255"/>
        </w:trPr>
        <w:tc>
          <w:tcPr>
            <w:tcW w:w="6456" w:type="dxa"/>
            <w:tcBorders>
              <w:top w:val="nil"/>
              <w:left w:val="nil"/>
              <w:bottom w:val="nil"/>
              <w:right w:val="nil"/>
            </w:tcBorders>
            <w:hideMark/>
          </w:tcPr>
          <w:p w14:paraId="283A21F7" w14:textId="77777777" w:rsidR="005E7495" w:rsidRPr="00CA5560" w:rsidRDefault="005E7495" w:rsidP="00856101">
            <w:pPr>
              <w:spacing w:after="0" w:line="240" w:lineRule="auto"/>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Post-employment benefits</w:t>
            </w:r>
          </w:p>
        </w:tc>
        <w:tc>
          <w:tcPr>
            <w:tcW w:w="1236" w:type="dxa"/>
            <w:tcBorders>
              <w:top w:val="nil"/>
              <w:left w:val="nil"/>
              <w:bottom w:val="nil"/>
              <w:right w:val="nil"/>
            </w:tcBorders>
            <w:noWrap/>
            <w:vAlign w:val="bottom"/>
            <w:hideMark/>
          </w:tcPr>
          <w:p w14:paraId="5935DB18" w14:textId="77777777" w:rsidR="005E7495" w:rsidRPr="00CA5560" w:rsidRDefault="005E7495" w:rsidP="00856101">
            <w:pPr>
              <w:spacing w:after="0" w:line="240" w:lineRule="auto"/>
              <w:jc w:val="right"/>
              <w:rPr>
                <w:rFonts w:ascii="Cambria" w:eastAsia="Times New Roman" w:hAnsi="Cambria" w:cs="Calibri"/>
                <w:b/>
                <w:bCs/>
                <w:color w:val="auto"/>
                <w:sz w:val="18"/>
                <w:szCs w:val="18"/>
                <w:lang w:eastAsia="en-AU"/>
              </w:rPr>
            </w:pPr>
            <w:r w:rsidRPr="00CA5560">
              <w:rPr>
                <w:rFonts w:ascii="Cambria" w:eastAsia="Times New Roman" w:hAnsi="Cambria" w:cs="Calibri"/>
                <w:b/>
                <w:bCs/>
                <w:color w:val="auto"/>
                <w:sz w:val="18"/>
                <w:szCs w:val="18"/>
                <w:lang w:eastAsia="en-AU"/>
              </w:rPr>
              <w:t xml:space="preserve">94 </w:t>
            </w:r>
          </w:p>
        </w:tc>
        <w:tc>
          <w:tcPr>
            <w:tcW w:w="1236" w:type="dxa"/>
            <w:tcBorders>
              <w:top w:val="nil"/>
              <w:left w:val="nil"/>
              <w:bottom w:val="nil"/>
              <w:right w:val="nil"/>
            </w:tcBorders>
            <w:noWrap/>
            <w:vAlign w:val="bottom"/>
            <w:hideMark/>
          </w:tcPr>
          <w:p w14:paraId="022303CF" w14:textId="77777777" w:rsidR="005E7495" w:rsidRPr="00CA5560" w:rsidRDefault="005E7495" w:rsidP="00856101">
            <w:pPr>
              <w:spacing w:after="0" w:line="240" w:lineRule="auto"/>
              <w:jc w:val="right"/>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 xml:space="preserve">92 </w:t>
            </w:r>
          </w:p>
        </w:tc>
      </w:tr>
      <w:tr w:rsidR="005E7495" w:rsidRPr="00CA5560" w14:paraId="25883E05" w14:textId="77777777" w:rsidTr="00856101">
        <w:trPr>
          <w:trHeight w:val="255"/>
        </w:trPr>
        <w:tc>
          <w:tcPr>
            <w:tcW w:w="6456" w:type="dxa"/>
            <w:tcBorders>
              <w:top w:val="nil"/>
              <w:left w:val="nil"/>
              <w:bottom w:val="nil"/>
              <w:right w:val="nil"/>
            </w:tcBorders>
            <w:hideMark/>
          </w:tcPr>
          <w:p w14:paraId="3C68C1E0" w14:textId="77777777" w:rsidR="005E7495" w:rsidRPr="00CA5560" w:rsidRDefault="005E7495" w:rsidP="00856101">
            <w:pPr>
              <w:spacing w:after="0" w:line="240" w:lineRule="auto"/>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Other long-term benefits</w:t>
            </w:r>
          </w:p>
        </w:tc>
        <w:tc>
          <w:tcPr>
            <w:tcW w:w="1236" w:type="dxa"/>
            <w:tcBorders>
              <w:top w:val="nil"/>
              <w:left w:val="nil"/>
              <w:bottom w:val="nil"/>
              <w:right w:val="nil"/>
            </w:tcBorders>
            <w:noWrap/>
            <w:vAlign w:val="bottom"/>
            <w:hideMark/>
          </w:tcPr>
          <w:p w14:paraId="19E2787B" w14:textId="77777777" w:rsidR="005E7495" w:rsidRPr="00CA5560" w:rsidRDefault="005E7495" w:rsidP="00856101">
            <w:pPr>
              <w:spacing w:after="0" w:line="240" w:lineRule="auto"/>
              <w:jc w:val="right"/>
              <w:rPr>
                <w:rFonts w:ascii="Cambria" w:eastAsia="Times New Roman" w:hAnsi="Cambria" w:cs="Calibri"/>
                <w:b/>
                <w:bCs/>
                <w:color w:val="auto"/>
                <w:sz w:val="18"/>
                <w:szCs w:val="18"/>
                <w:lang w:eastAsia="en-AU"/>
              </w:rPr>
            </w:pPr>
            <w:r w:rsidRPr="00CA5560">
              <w:rPr>
                <w:rFonts w:ascii="Cambria" w:eastAsia="Times New Roman" w:hAnsi="Cambria" w:cs="Calibri"/>
                <w:b/>
                <w:bCs/>
                <w:color w:val="auto"/>
                <w:sz w:val="18"/>
                <w:szCs w:val="18"/>
                <w:lang w:eastAsia="en-AU"/>
              </w:rPr>
              <w:t xml:space="preserve">14 </w:t>
            </w:r>
          </w:p>
        </w:tc>
        <w:tc>
          <w:tcPr>
            <w:tcW w:w="1236" w:type="dxa"/>
            <w:tcBorders>
              <w:top w:val="nil"/>
              <w:left w:val="nil"/>
              <w:bottom w:val="nil"/>
              <w:right w:val="nil"/>
            </w:tcBorders>
            <w:shd w:val="clear" w:color="000000" w:fill="FFFFFF"/>
            <w:noWrap/>
            <w:vAlign w:val="bottom"/>
            <w:hideMark/>
          </w:tcPr>
          <w:p w14:paraId="2034D2D0" w14:textId="77777777" w:rsidR="005E7495" w:rsidRPr="00CA5560" w:rsidRDefault="005E7495" w:rsidP="00856101">
            <w:pPr>
              <w:spacing w:after="0" w:line="240" w:lineRule="auto"/>
              <w:jc w:val="right"/>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 xml:space="preserve">12 </w:t>
            </w:r>
          </w:p>
        </w:tc>
      </w:tr>
      <w:tr w:rsidR="005E7495" w:rsidRPr="00CA5560" w14:paraId="632F450D" w14:textId="77777777" w:rsidTr="00856101">
        <w:trPr>
          <w:trHeight w:val="255"/>
        </w:trPr>
        <w:tc>
          <w:tcPr>
            <w:tcW w:w="6456" w:type="dxa"/>
            <w:tcBorders>
              <w:top w:val="nil"/>
              <w:left w:val="nil"/>
              <w:bottom w:val="nil"/>
              <w:right w:val="nil"/>
            </w:tcBorders>
            <w:hideMark/>
          </w:tcPr>
          <w:p w14:paraId="76C01217" w14:textId="77777777" w:rsidR="005E7495" w:rsidRPr="00CA5560" w:rsidRDefault="005E7495" w:rsidP="00856101">
            <w:pPr>
              <w:spacing w:after="0" w:line="240" w:lineRule="auto"/>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Termination benefits</w:t>
            </w:r>
          </w:p>
        </w:tc>
        <w:tc>
          <w:tcPr>
            <w:tcW w:w="1236" w:type="dxa"/>
            <w:tcBorders>
              <w:top w:val="nil"/>
              <w:left w:val="nil"/>
              <w:bottom w:val="nil"/>
              <w:right w:val="nil"/>
            </w:tcBorders>
            <w:noWrap/>
            <w:vAlign w:val="bottom"/>
            <w:hideMark/>
          </w:tcPr>
          <w:p w14:paraId="4182F91C" w14:textId="77777777" w:rsidR="005E7495" w:rsidRPr="00CA5560" w:rsidRDefault="005E7495" w:rsidP="00856101">
            <w:pPr>
              <w:spacing w:after="0" w:line="240" w:lineRule="auto"/>
              <w:jc w:val="right"/>
              <w:rPr>
                <w:rFonts w:ascii="Cambria" w:eastAsia="Times New Roman" w:hAnsi="Cambria" w:cs="Calibri"/>
                <w:b/>
                <w:bCs/>
                <w:color w:val="auto"/>
                <w:sz w:val="18"/>
                <w:szCs w:val="18"/>
                <w:lang w:eastAsia="en-AU"/>
              </w:rPr>
            </w:pPr>
            <w:r w:rsidRPr="00CA5560">
              <w:rPr>
                <w:rFonts w:ascii="Cambria" w:eastAsia="Times New Roman" w:hAnsi="Cambria" w:cs="Calibri"/>
                <w:b/>
                <w:bCs/>
                <w:color w:val="auto"/>
                <w:sz w:val="18"/>
                <w:szCs w:val="18"/>
                <w:lang w:eastAsia="en-AU"/>
              </w:rPr>
              <w:t xml:space="preserve"> - </w:t>
            </w:r>
          </w:p>
        </w:tc>
        <w:tc>
          <w:tcPr>
            <w:tcW w:w="1236" w:type="dxa"/>
            <w:tcBorders>
              <w:top w:val="nil"/>
              <w:left w:val="nil"/>
              <w:bottom w:val="nil"/>
              <w:right w:val="nil"/>
            </w:tcBorders>
            <w:shd w:val="clear" w:color="000000" w:fill="FFFFFF"/>
            <w:noWrap/>
            <w:vAlign w:val="bottom"/>
            <w:hideMark/>
          </w:tcPr>
          <w:p w14:paraId="589B91A5" w14:textId="77777777" w:rsidR="005E7495" w:rsidRPr="00CA5560" w:rsidRDefault="005E7495" w:rsidP="00856101">
            <w:pPr>
              <w:spacing w:after="0" w:line="240" w:lineRule="auto"/>
              <w:jc w:val="right"/>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 xml:space="preserve"> - </w:t>
            </w:r>
          </w:p>
        </w:tc>
      </w:tr>
      <w:tr w:rsidR="005E7495" w:rsidRPr="00CA5560" w14:paraId="53C89E03" w14:textId="77777777" w:rsidTr="00856101">
        <w:trPr>
          <w:trHeight w:val="375"/>
        </w:trPr>
        <w:tc>
          <w:tcPr>
            <w:tcW w:w="6456" w:type="dxa"/>
            <w:tcBorders>
              <w:top w:val="nil"/>
              <w:left w:val="nil"/>
              <w:bottom w:val="nil"/>
              <w:right w:val="nil"/>
            </w:tcBorders>
            <w:hideMark/>
          </w:tcPr>
          <w:p w14:paraId="2778E2F5" w14:textId="77777777" w:rsidR="005E7495" w:rsidRPr="00CA5560" w:rsidRDefault="005E7495" w:rsidP="00856101">
            <w:pPr>
              <w:spacing w:after="0" w:line="240" w:lineRule="auto"/>
              <w:rPr>
                <w:rFonts w:ascii="Cambria" w:eastAsia="Times New Roman" w:hAnsi="Cambria" w:cs="Calibri"/>
                <w:b/>
                <w:bCs/>
                <w:color w:val="auto"/>
                <w:sz w:val="18"/>
                <w:szCs w:val="18"/>
                <w:lang w:eastAsia="en-AU"/>
              </w:rPr>
            </w:pPr>
            <w:r w:rsidRPr="00CA5560">
              <w:rPr>
                <w:rFonts w:ascii="Cambria" w:eastAsia="Times New Roman" w:hAnsi="Cambria" w:cs="Calibri"/>
                <w:b/>
                <w:bCs/>
                <w:color w:val="auto"/>
                <w:sz w:val="18"/>
                <w:szCs w:val="18"/>
                <w:lang w:eastAsia="en-AU"/>
              </w:rPr>
              <w:t>Total key management personnel remuneration expenses</w:t>
            </w:r>
          </w:p>
        </w:tc>
        <w:tc>
          <w:tcPr>
            <w:tcW w:w="1236" w:type="dxa"/>
            <w:tcBorders>
              <w:top w:val="single" w:sz="4" w:space="0" w:color="auto"/>
              <w:left w:val="nil"/>
              <w:bottom w:val="single" w:sz="4" w:space="0" w:color="auto"/>
              <w:right w:val="nil"/>
            </w:tcBorders>
            <w:noWrap/>
            <w:vAlign w:val="bottom"/>
            <w:hideMark/>
          </w:tcPr>
          <w:p w14:paraId="63A7A5AC" w14:textId="77777777" w:rsidR="005E7495" w:rsidRPr="00CA5560" w:rsidRDefault="005E7495" w:rsidP="00856101">
            <w:pPr>
              <w:spacing w:after="0" w:line="240" w:lineRule="auto"/>
              <w:jc w:val="right"/>
              <w:rPr>
                <w:rFonts w:ascii="Cambria" w:eastAsia="Times New Roman" w:hAnsi="Cambria" w:cs="Calibri"/>
                <w:b/>
                <w:bCs/>
                <w:color w:val="auto"/>
                <w:sz w:val="18"/>
                <w:szCs w:val="18"/>
                <w:lang w:eastAsia="en-AU"/>
              </w:rPr>
            </w:pPr>
            <w:r w:rsidRPr="00CA5560">
              <w:rPr>
                <w:rFonts w:ascii="Cambria" w:eastAsia="Times New Roman" w:hAnsi="Cambria" w:cs="Calibri"/>
                <w:b/>
                <w:bCs/>
                <w:color w:val="auto"/>
                <w:sz w:val="18"/>
                <w:szCs w:val="18"/>
                <w:lang w:eastAsia="en-AU"/>
              </w:rPr>
              <w:t xml:space="preserve">1,218 </w:t>
            </w:r>
          </w:p>
        </w:tc>
        <w:tc>
          <w:tcPr>
            <w:tcW w:w="1236" w:type="dxa"/>
            <w:tcBorders>
              <w:top w:val="single" w:sz="4" w:space="0" w:color="auto"/>
              <w:left w:val="nil"/>
              <w:bottom w:val="single" w:sz="4" w:space="0" w:color="auto"/>
              <w:right w:val="nil"/>
            </w:tcBorders>
            <w:noWrap/>
            <w:vAlign w:val="bottom"/>
            <w:hideMark/>
          </w:tcPr>
          <w:p w14:paraId="318B9B11" w14:textId="77777777" w:rsidR="005E7495" w:rsidRPr="00CA5560" w:rsidRDefault="005E7495" w:rsidP="00856101">
            <w:pPr>
              <w:spacing w:after="0" w:line="240" w:lineRule="auto"/>
              <w:jc w:val="right"/>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 xml:space="preserve">1,201 </w:t>
            </w:r>
          </w:p>
        </w:tc>
      </w:tr>
      <w:tr w:rsidR="005E7495" w:rsidRPr="00CA5560" w14:paraId="57A26CAE" w14:textId="77777777" w:rsidTr="00856101">
        <w:trPr>
          <w:trHeight w:val="255"/>
        </w:trPr>
        <w:tc>
          <w:tcPr>
            <w:tcW w:w="6456" w:type="dxa"/>
            <w:tcBorders>
              <w:top w:val="nil"/>
              <w:left w:val="nil"/>
              <w:bottom w:val="nil"/>
              <w:right w:val="nil"/>
            </w:tcBorders>
            <w:hideMark/>
          </w:tcPr>
          <w:p w14:paraId="5262B3D4" w14:textId="77777777" w:rsidR="005E7495" w:rsidRPr="00CA5560" w:rsidRDefault="005E7495" w:rsidP="00856101">
            <w:pPr>
              <w:spacing w:after="0" w:line="240" w:lineRule="auto"/>
              <w:jc w:val="right"/>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2F99A495"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344BB66E" w14:textId="77777777" w:rsidR="005E7495" w:rsidRPr="00CA5560"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CA5560" w14:paraId="0EB18639" w14:textId="77777777" w:rsidTr="00856101">
        <w:trPr>
          <w:trHeight w:val="264"/>
        </w:trPr>
        <w:tc>
          <w:tcPr>
            <w:tcW w:w="8928" w:type="dxa"/>
            <w:gridSpan w:val="3"/>
            <w:tcBorders>
              <w:top w:val="nil"/>
              <w:left w:val="nil"/>
              <w:bottom w:val="nil"/>
              <w:right w:val="nil"/>
            </w:tcBorders>
            <w:hideMark/>
          </w:tcPr>
          <w:p w14:paraId="0D303D6F" w14:textId="77777777" w:rsidR="005E7495" w:rsidRPr="00CA5560" w:rsidRDefault="005E7495" w:rsidP="00856101">
            <w:pPr>
              <w:spacing w:after="0" w:line="240" w:lineRule="auto"/>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The total number of key management personnel that are included in the above table is 9 (2025: 10).</w:t>
            </w:r>
          </w:p>
        </w:tc>
      </w:tr>
      <w:tr w:rsidR="005E7495" w:rsidRPr="00CA5560" w14:paraId="11949898" w14:textId="77777777" w:rsidTr="00856101">
        <w:trPr>
          <w:trHeight w:val="135"/>
        </w:trPr>
        <w:tc>
          <w:tcPr>
            <w:tcW w:w="6456" w:type="dxa"/>
            <w:tcBorders>
              <w:top w:val="nil"/>
              <w:left w:val="nil"/>
              <w:bottom w:val="nil"/>
              <w:right w:val="nil"/>
            </w:tcBorders>
            <w:hideMark/>
          </w:tcPr>
          <w:p w14:paraId="4B76E357" w14:textId="77777777" w:rsidR="005E7495" w:rsidRPr="00CA5560" w:rsidRDefault="005E7495" w:rsidP="00856101">
            <w:pPr>
              <w:spacing w:after="0" w:line="240" w:lineRule="auto"/>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2AFC6802"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302EE1AE"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CA5560" w14:paraId="27B6498F" w14:textId="77777777" w:rsidTr="00856101">
        <w:trPr>
          <w:trHeight w:val="765"/>
        </w:trPr>
        <w:tc>
          <w:tcPr>
            <w:tcW w:w="8928" w:type="dxa"/>
            <w:gridSpan w:val="3"/>
            <w:tcBorders>
              <w:top w:val="nil"/>
              <w:left w:val="nil"/>
              <w:bottom w:val="nil"/>
              <w:right w:val="nil"/>
            </w:tcBorders>
            <w:vAlign w:val="bottom"/>
            <w:hideMark/>
          </w:tcPr>
          <w:p w14:paraId="0CAEC488" w14:textId="77777777" w:rsidR="005E7495" w:rsidRPr="00CA5560" w:rsidRDefault="005E7495" w:rsidP="00856101">
            <w:pPr>
              <w:spacing w:after="0" w:line="240" w:lineRule="auto"/>
              <w:rPr>
                <w:rFonts w:ascii="Cambria" w:eastAsia="Times New Roman" w:hAnsi="Cambria" w:cs="Calibri"/>
                <w:color w:val="auto"/>
                <w:sz w:val="18"/>
                <w:szCs w:val="18"/>
                <w:lang w:eastAsia="en-AU"/>
              </w:rPr>
            </w:pPr>
            <w:r w:rsidRPr="00CA5560">
              <w:rPr>
                <w:rFonts w:ascii="Cambria" w:eastAsia="Times New Roman" w:hAnsi="Cambria" w:cs="Calibri"/>
                <w:color w:val="auto"/>
                <w:sz w:val="18"/>
                <w:szCs w:val="18"/>
                <w:lang w:eastAsia="en-AU"/>
              </w:rPr>
              <w:t>The above key management personnel remuneration excludes the remuneration and other benefits of the Portfolio Ministers whose remuneration and other benefits are set by the Remuneration Tribunal and are not paid by the entity.</w:t>
            </w:r>
          </w:p>
        </w:tc>
      </w:tr>
      <w:tr w:rsidR="005E7495" w:rsidRPr="00CA5560" w14:paraId="5C604F86" w14:textId="77777777" w:rsidTr="00856101">
        <w:trPr>
          <w:trHeight w:val="264"/>
        </w:trPr>
        <w:tc>
          <w:tcPr>
            <w:tcW w:w="6456" w:type="dxa"/>
            <w:tcBorders>
              <w:top w:val="nil"/>
              <w:left w:val="nil"/>
              <w:bottom w:val="nil"/>
              <w:right w:val="nil"/>
            </w:tcBorders>
            <w:noWrap/>
            <w:hideMark/>
          </w:tcPr>
          <w:p w14:paraId="1730B69D" w14:textId="77777777" w:rsidR="005E7495" w:rsidRPr="00CA5560" w:rsidRDefault="005E7495" w:rsidP="00856101">
            <w:pPr>
              <w:spacing w:after="0" w:line="240" w:lineRule="auto"/>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42DA5956"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4DA209D7" w14:textId="77777777" w:rsidR="005E7495" w:rsidRPr="00CA5560"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000AAD" w14:paraId="45091E8E" w14:textId="77777777" w:rsidTr="00856101">
        <w:trPr>
          <w:trHeight w:val="264"/>
        </w:trPr>
        <w:tc>
          <w:tcPr>
            <w:tcW w:w="6456" w:type="dxa"/>
            <w:tcBorders>
              <w:top w:val="nil"/>
              <w:left w:val="nil"/>
              <w:bottom w:val="nil"/>
              <w:right w:val="nil"/>
            </w:tcBorders>
            <w:noWrap/>
            <w:hideMark/>
          </w:tcPr>
          <w:p w14:paraId="75D7C063" w14:textId="77777777" w:rsidR="005E7495" w:rsidRPr="00000AAD" w:rsidRDefault="005E7495" w:rsidP="00856101">
            <w:pPr>
              <w:spacing w:after="0" w:line="240" w:lineRule="auto"/>
              <w:rPr>
                <w:rFonts w:ascii="Cambria" w:eastAsia="Times New Roman" w:hAnsi="Cambria" w:cs="Calibri"/>
                <w:color w:val="auto"/>
                <w:sz w:val="18"/>
                <w:szCs w:val="18"/>
                <w:lang w:eastAsia="en-AU"/>
              </w:rPr>
            </w:pPr>
          </w:p>
        </w:tc>
        <w:tc>
          <w:tcPr>
            <w:tcW w:w="1236" w:type="dxa"/>
            <w:tcBorders>
              <w:top w:val="nil"/>
              <w:left w:val="nil"/>
              <w:bottom w:val="nil"/>
              <w:right w:val="nil"/>
            </w:tcBorders>
            <w:noWrap/>
            <w:vAlign w:val="bottom"/>
            <w:hideMark/>
          </w:tcPr>
          <w:p w14:paraId="70FC87B4" w14:textId="77777777" w:rsidR="005E7495" w:rsidRPr="00000AAD" w:rsidRDefault="005E7495"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22EEFA68" w14:textId="77777777" w:rsidR="005E7495" w:rsidRPr="00000AAD"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000AAD" w14:paraId="03A021D2" w14:textId="77777777" w:rsidTr="00856101">
        <w:trPr>
          <w:trHeight w:val="264"/>
        </w:trPr>
        <w:tc>
          <w:tcPr>
            <w:tcW w:w="6456" w:type="dxa"/>
            <w:tcBorders>
              <w:top w:val="nil"/>
              <w:left w:val="nil"/>
              <w:bottom w:val="nil"/>
              <w:right w:val="nil"/>
            </w:tcBorders>
            <w:shd w:val="clear" w:color="auto" w:fill="37424A"/>
            <w:noWrap/>
            <w:hideMark/>
          </w:tcPr>
          <w:p w14:paraId="09E5FEF6" w14:textId="77777777" w:rsidR="005E7495" w:rsidRPr="00000AAD" w:rsidRDefault="005E7495" w:rsidP="00856101">
            <w:pPr>
              <w:spacing w:after="0" w:line="240" w:lineRule="auto"/>
              <w:rPr>
                <w:rFonts w:ascii="Cambria" w:eastAsia="Times New Roman" w:hAnsi="Cambria" w:cs="Calibri"/>
                <w:b/>
                <w:bCs/>
                <w:color w:val="auto"/>
                <w:sz w:val="18"/>
                <w:szCs w:val="18"/>
                <w:lang w:eastAsia="en-AU"/>
              </w:rPr>
            </w:pPr>
            <w:r w:rsidRPr="00000AAD">
              <w:rPr>
                <w:rFonts w:ascii="Cambria" w:eastAsia="Times New Roman" w:hAnsi="Cambria" w:cs="Calibri"/>
                <w:b/>
                <w:bCs/>
                <w:color w:val="FFFFFF" w:themeColor="background2"/>
                <w:sz w:val="18"/>
                <w:szCs w:val="18"/>
                <w:lang w:eastAsia="en-AU"/>
              </w:rPr>
              <w:t>Note 3.3 Related party disclosures</w:t>
            </w:r>
          </w:p>
        </w:tc>
        <w:tc>
          <w:tcPr>
            <w:tcW w:w="1236" w:type="dxa"/>
            <w:tcBorders>
              <w:top w:val="nil"/>
              <w:left w:val="nil"/>
              <w:bottom w:val="nil"/>
              <w:right w:val="nil"/>
            </w:tcBorders>
            <w:shd w:val="clear" w:color="auto" w:fill="37424A"/>
            <w:noWrap/>
            <w:vAlign w:val="bottom"/>
            <w:hideMark/>
          </w:tcPr>
          <w:p w14:paraId="5772E0E2" w14:textId="77777777" w:rsidR="005E7495" w:rsidRPr="00000AAD" w:rsidRDefault="005E7495" w:rsidP="00856101">
            <w:pPr>
              <w:spacing w:after="0" w:line="240" w:lineRule="auto"/>
              <w:rPr>
                <w:rFonts w:ascii="Times New Roman" w:eastAsia="Times New Roman" w:hAnsi="Times New Roman" w:cs="Times New Roman"/>
                <w:color w:val="auto"/>
                <w:sz w:val="20"/>
                <w:szCs w:val="20"/>
                <w:lang w:eastAsia="en-AU"/>
              </w:rPr>
            </w:pPr>
            <w:r w:rsidRPr="00000AAD">
              <w:rPr>
                <w:rFonts w:ascii="Times New Roman" w:eastAsia="Times New Roman" w:hAnsi="Times New Roman" w:cs="Times New Roman"/>
                <w:color w:val="auto"/>
                <w:sz w:val="20"/>
                <w:szCs w:val="20"/>
                <w:lang w:eastAsia="en-AU"/>
              </w:rPr>
              <w:t> </w:t>
            </w:r>
          </w:p>
        </w:tc>
        <w:tc>
          <w:tcPr>
            <w:tcW w:w="1236" w:type="dxa"/>
            <w:tcBorders>
              <w:top w:val="nil"/>
              <w:left w:val="nil"/>
              <w:bottom w:val="nil"/>
              <w:right w:val="nil"/>
            </w:tcBorders>
            <w:shd w:val="clear" w:color="auto" w:fill="37424A"/>
            <w:noWrap/>
            <w:vAlign w:val="bottom"/>
            <w:hideMark/>
          </w:tcPr>
          <w:p w14:paraId="6D2A1CCF" w14:textId="77777777" w:rsidR="005E7495" w:rsidRPr="00000AAD" w:rsidRDefault="005E7495" w:rsidP="00856101">
            <w:pPr>
              <w:spacing w:after="0" w:line="240" w:lineRule="auto"/>
              <w:rPr>
                <w:rFonts w:ascii="Times New Roman" w:eastAsia="Times New Roman" w:hAnsi="Times New Roman" w:cs="Times New Roman"/>
                <w:color w:val="auto"/>
                <w:sz w:val="20"/>
                <w:szCs w:val="20"/>
                <w:lang w:eastAsia="en-AU"/>
              </w:rPr>
            </w:pPr>
            <w:r w:rsidRPr="00000AAD">
              <w:rPr>
                <w:rFonts w:ascii="Times New Roman" w:eastAsia="Times New Roman" w:hAnsi="Times New Roman" w:cs="Times New Roman"/>
                <w:color w:val="auto"/>
                <w:sz w:val="20"/>
                <w:szCs w:val="20"/>
                <w:lang w:eastAsia="en-AU"/>
              </w:rPr>
              <w:t> </w:t>
            </w:r>
          </w:p>
        </w:tc>
      </w:tr>
      <w:tr w:rsidR="005E7495" w:rsidRPr="00000AAD" w14:paraId="32FA683E" w14:textId="77777777" w:rsidTr="00856101">
        <w:trPr>
          <w:trHeight w:val="264"/>
        </w:trPr>
        <w:tc>
          <w:tcPr>
            <w:tcW w:w="6456" w:type="dxa"/>
            <w:tcBorders>
              <w:top w:val="nil"/>
              <w:left w:val="nil"/>
              <w:bottom w:val="nil"/>
              <w:right w:val="nil"/>
            </w:tcBorders>
            <w:noWrap/>
            <w:hideMark/>
          </w:tcPr>
          <w:p w14:paraId="313E2911" w14:textId="77777777" w:rsidR="005E7495" w:rsidRPr="00000AAD" w:rsidRDefault="005E7495" w:rsidP="00856101">
            <w:pPr>
              <w:spacing w:after="0" w:line="240" w:lineRule="auto"/>
              <w:rPr>
                <w:rFonts w:ascii="Cambria" w:eastAsia="Times New Roman" w:hAnsi="Cambria" w:cs="Calibri"/>
                <w:color w:val="auto"/>
                <w:sz w:val="18"/>
                <w:szCs w:val="18"/>
                <w:lang w:eastAsia="en-AU"/>
              </w:rPr>
            </w:pPr>
            <w:r w:rsidRPr="00000AAD">
              <w:rPr>
                <w:rFonts w:ascii="Cambria" w:eastAsia="Times New Roman" w:hAnsi="Cambria" w:cs="Calibri"/>
                <w:color w:val="auto"/>
                <w:sz w:val="18"/>
                <w:szCs w:val="18"/>
                <w:lang w:eastAsia="en-AU"/>
              </w:rPr>
              <w:t> </w:t>
            </w:r>
          </w:p>
        </w:tc>
        <w:tc>
          <w:tcPr>
            <w:tcW w:w="1236" w:type="dxa"/>
            <w:tcBorders>
              <w:top w:val="nil"/>
              <w:left w:val="nil"/>
              <w:bottom w:val="nil"/>
              <w:right w:val="nil"/>
            </w:tcBorders>
            <w:noWrap/>
            <w:vAlign w:val="bottom"/>
            <w:hideMark/>
          </w:tcPr>
          <w:p w14:paraId="38BA385C" w14:textId="77777777" w:rsidR="005E7495" w:rsidRPr="00000AAD" w:rsidRDefault="005E7495" w:rsidP="00856101">
            <w:pPr>
              <w:spacing w:after="0" w:line="240" w:lineRule="auto"/>
              <w:rPr>
                <w:rFonts w:ascii="Times New Roman" w:eastAsia="Times New Roman" w:hAnsi="Times New Roman" w:cs="Times New Roman"/>
                <w:color w:val="auto"/>
                <w:sz w:val="20"/>
                <w:szCs w:val="20"/>
                <w:lang w:eastAsia="en-AU"/>
              </w:rPr>
            </w:pPr>
            <w:r w:rsidRPr="00000AAD">
              <w:rPr>
                <w:rFonts w:ascii="Times New Roman" w:eastAsia="Times New Roman" w:hAnsi="Times New Roman" w:cs="Times New Roman"/>
                <w:color w:val="auto"/>
                <w:sz w:val="20"/>
                <w:szCs w:val="20"/>
                <w:lang w:eastAsia="en-AU"/>
              </w:rPr>
              <w:t> </w:t>
            </w:r>
          </w:p>
        </w:tc>
        <w:tc>
          <w:tcPr>
            <w:tcW w:w="1236" w:type="dxa"/>
            <w:tcBorders>
              <w:top w:val="nil"/>
              <w:left w:val="nil"/>
              <w:bottom w:val="nil"/>
              <w:right w:val="nil"/>
            </w:tcBorders>
            <w:noWrap/>
            <w:vAlign w:val="bottom"/>
            <w:hideMark/>
          </w:tcPr>
          <w:p w14:paraId="5B10EA53" w14:textId="77777777" w:rsidR="005E7495" w:rsidRPr="00000AAD" w:rsidRDefault="005E7495" w:rsidP="00856101">
            <w:pPr>
              <w:spacing w:after="0" w:line="240" w:lineRule="auto"/>
              <w:rPr>
                <w:rFonts w:ascii="Times New Roman" w:eastAsia="Times New Roman" w:hAnsi="Times New Roman" w:cs="Times New Roman"/>
                <w:color w:val="auto"/>
                <w:sz w:val="20"/>
                <w:szCs w:val="20"/>
                <w:lang w:eastAsia="en-AU"/>
              </w:rPr>
            </w:pPr>
            <w:r w:rsidRPr="00000AAD">
              <w:rPr>
                <w:rFonts w:ascii="Times New Roman" w:eastAsia="Times New Roman" w:hAnsi="Times New Roman" w:cs="Times New Roman"/>
                <w:color w:val="auto"/>
                <w:sz w:val="20"/>
                <w:szCs w:val="20"/>
                <w:lang w:eastAsia="en-AU"/>
              </w:rPr>
              <w:t> </w:t>
            </w:r>
          </w:p>
        </w:tc>
      </w:tr>
      <w:tr w:rsidR="005E7495" w:rsidRPr="00000AAD" w14:paraId="04DCB52E" w14:textId="77777777" w:rsidTr="00856101">
        <w:trPr>
          <w:trHeight w:val="264"/>
        </w:trPr>
        <w:tc>
          <w:tcPr>
            <w:tcW w:w="6456" w:type="dxa"/>
            <w:tcBorders>
              <w:top w:val="nil"/>
              <w:left w:val="nil"/>
              <w:bottom w:val="nil"/>
              <w:right w:val="nil"/>
            </w:tcBorders>
            <w:noWrap/>
            <w:hideMark/>
          </w:tcPr>
          <w:p w14:paraId="4B7DD030" w14:textId="77777777" w:rsidR="005E7495" w:rsidRPr="00000AAD" w:rsidRDefault="005E7495" w:rsidP="00856101">
            <w:pPr>
              <w:spacing w:after="0" w:line="240" w:lineRule="auto"/>
              <w:rPr>
                <w:rFonts w:ascii="Cambria" w:eastAsia="Times New Roman" w:hAnsi="Cambria" w:cs="Calibri"/>
                <w:color w:val="auto"/>
                <w:sz w:val="18"/>
                <w:szCs w:val="18"/>
                <w:lang w:eastAsia="en-AU"/>
              </w:rPr>
            </w:pPr>
            <w:r w:rsidRPr="00000AAD">
              <w:rPr>
                <w:rFonts w:ascii="Cambria" w:eastAsia="Times New Roman" w:hAnsi="Cambria" w:cs="Calibri"/>
                <w:color w:val="auto"/>
                <w:sz w:val="18"/>
                <w:szCs w:val="18"/>
                <w:lang w:eastAsia="en-AU"/>
              </w:rPr>
              <w:t>Related party relationships</w:t>
            </w:r>
          </w:p>
        </w:tc>
        <w:tc>
          <w:tcPr>
            <w:tcW w:w="1236" w:type="dxa"/>
            <w:tcBorders>
              <w:top w:val="nil"/>
              <w:left w:val="nil"/>
              <w:bottom w:val="nil"/>
              <w:right w:val="nil"/>
            </w:tcBorders>
            <w:noWrap/>
            <w:vAlign w:val="bottom"/>
            <w:hideMark/>
          </w:tcPr>
          <w:p w14:paraId="34A8AE16" w14:textId="77777777" w:rsidR="005E7495" w:rsidRPr="00000AAD" w:rsidRDefault="005E7495"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noWrap/>
            <w:vAlign w:val="bottom"/>
            <w:hideMark/>
          </w:tcPr>
          <w:p w14:paraId="462B4401" w14:textId="77777777" w:rsidR="005E7495" w:rsidRPr="00000AAD"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000AAD" w14:paraId="2887CE48" w14:textId="77777777" w:rsidTr="00856101">
        <w:trPr>
          <w:trHeight w:val="495"/>
        </w:trPr>
        <w:tc>
          <w:tcPr>
            <w:tcW w:w="8928" w:type="dxa"/>
            <w:gridSpan w:val="3"/>
            <w:tcBorders>
              <w:top w:val="nil"/>
              <w:left w:val="nil"/>
              <w:bottom w:val="nil"/>
              <w:right w:val="nil"/>
            </w:tcBorders>
            <w:vAlign w:val="bottom"/>
            <w:hideMark/>
          </w:tcPr>
          <w:p w14:paraId="221F5EE2" w14:textId="77777777" w:rsidR="005E7495" w:rsidRPr="00000AAD" w:rsidRDefault="005E7495" w:rsidP="00856101">
            <w:pPr>
              <w:spacing w:after="0" w:line="240" w:lineRule="auto"/>
              <w:rPr>
                <w:rFonts w:ascii="Cambria" w:eastAsia="Times New Roman" w:hAnsi="Cambria" w:cs="Calibri"/>
                <w:color w:val="auto"/>
                <w:sz w:val="18"/>
                <w:szCs w:val="18"/>
                <w:lang w:eastAsia="en-AU"/>
              </w:rPr>
            </w:pPr>
            <w:r w:rsidRPr="00000AAD">
              <w:rPr>
                <w:rFonts w:ascii="Cambria" w:eastAsia="Times New Roman" w:hAnsi="Cambria" w:cs="Calibri"/>
                <w:color w:val="auto"/>
                <w:sz w:val="18"/>
                <w:szCs w:val="18"/>
                <w:lang w:eastAsia="en-AU"/>
              </w:rPr>
              <w:t>IHACPA is an Australian Government controlled entity.  Related parties to this entity are the key management personnel (as per Note 3.2) and other Australian Government entities.</w:t>
            </w:r>
          </w:p>
        </w:tc>
      </w:tr>
      <w:tr w:rsidR="005E7495" w:rsidRPr="00000AAD" w14:paraId="3BAF48F3" w14:textId="77777777" w:rsidTr="00856101">
        <w:trPr>
          <w:trHeight w:val="264"/>
        </w:trPr>
        <w:tc>
          <w:tcPr>
            <w:tcW w:w="8928" w:type="dxa"/>
            <w:gridSpan w:val="3"/>
            <w:tcBorders>
              <w:top w:val="nil"/>
              <w:left w:val="nil"/>
              <w:bottom w:val="nil"/>
              <w:right w:val="nil"/>
            </w:tcBorders>
            <w:vAlign w:val="bottom"/>
            <w:hideMark/>
          </w:tcPr>
          <w:p w14:paraId="7D017340" w14:textId="77777777" w:rsidR="005E7495" w:rsidRPr="00000AAD" w:rsidRDefault="005E7495" w:rsidP="00856101">
            <w:pPr>
              <w:spacing w:after="0" w:line="240" w:lineRule="auto"/>
              <w:rPr>
                <w:rFonts w:ascii="Cambria" w:eastAsia="Times New Roman" w:hAnsi="Cambria" w:cs="Calibri"/>
                <w:color w:val="auto"/>
                <w:sz w:val="18"/>
                <w:szCs w:val="18"/>
                <w:lang w:eastAsia="en-AU"/>
              </w:rPr>
            </w:pPr>
          </w:p>
        </w:tc>
      </w:tr>
      <w:tr w:rsidR="005E7495" w:rsidRPr="00000AAD" w14:paraId="63AFA47F" w14:textId="77777777" w:rsidTr="00856101">
        <w:trPr>
          <w:trHeight w:val="264"/>
        </w:trPr>
        <w:tc>
          <w:tcPr>
            <w:tcW w:w="6456" w:type="dxa"/>
            <w:tcBorders>
              <w:top w:val="nil"/>
              <w:left w:val="nil"/>
              <w:bottom w:val="nil"/>
              <w:right w:val="nil"/>
            </w:tcBorders>
            <w:vAlign w:val="bottom"/>
            <w:hideMark/>
          </w:tcPr>
          <w:p w14:paraId="4E8E5EEE" w14:textId="77777777" w:rsidR="005E7495" w:rsidRPr="00000AAD" w:rsidRDefault="005E7495" w:rsidP="00856101">
            <w:pPr>
              <w:spacing w:after="0" w:line="240" w:lineRule="auto"/>
              <w:rPr>
                <w:rFonts w:ascii="Cambria" w:eastAsia="Times New Roman" w:hAnsi="Cambria" w:cs="Calibri"/>
                <w:b/>
                <w:bCs/>
                <w:color w:val="auto"/>
                <w:sz w:val="18"/>
                <w:szCs w:val="18"/>
                <w:lang w:eastAsia="en-AU"/>
              </w:rPr>
            </w:pPr>
            <w:r w:rsidRPr="00000AAD">
              <w:rPr>
                <w:rFonts w:ascii="Cambria" w:eastAsia="Times New Roman" w:hAnsi="Cambria" w:cs="Calibri"/>
                <w:b/>
                <w:bCs/>
                <w:color w:val="auto"/>
                <w:sz w:val="18"/>
                <w:szCs w:val="18"/>
                <w:lang w:eastAsia="en-AU"/>
              </w:rPr>
              <w:t>Transactions with related parties:</w:t>
            </w:r>
          </w:p>
        </w:tc>
        <w:tc>
          <w:tcPr>
            <w:tcW w:w="1236" w:type="dxa"/>
            <w:tcBorders>
              <w:top w:val="nil"/>
              <w:left w:val="nil"/>
              <w:bottom w:val="nil"/>
              <w:right w:val="nil"/>
            </w:tcBorders>
            <w:vAlign w:val="bottom"/>
            <w:hideMark/>
          </w:tcPr>
          <w:p w14:paraId="46DCA355" w14:textId="77777777" w:rsidR="005E7495" w:rsidRPr="00000AAD" w:rsidRDefault="005E7495" w:rsidP="00856101">
            <w:pPr>
              <w:spacing w:after="0" w:line="240" w:lineRule="auto"/>
              <w:rPr>
                <w:rFonts w:ascii="Cambria" w:eastAsia="Times New Roman" w:hAnsi="Cambria" w:cs="Calibri"/>
                <w:b/>
                <w:bCs/>
                <w:color w:val="auto"/>
                <w:sz w:val="18"/>
                <w:szCs w:val="18"/>
                <w:lang w:eastAsia="en-AU"/>
              </w:rPr>
            </w:pPr>
          </w:p>
        </w:tc>
        <w:tc>
          <w:tcPr>
            <w:tcW w:w="1236" w:type="dxa"/>
            <w:tcBorders>
              <w:top w:val="nil"/>
              <w:left w:val="nil"/>
              <w:bottom w:val="nil"/>
              <w:right w:val="nil"/>
            </w:tcBorders>
            <w:vAlign w:val="bottom"/>
            <w:hideMark/>
          </w:tcPr>
          <w:p w14:paraId="1972C9AD" w14:textId="77777777" w:rsidR="005E7495" w:rsidRPr="00000AAD"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000AAD" w14:paraId="02B21540" w14:textId="77777777" w:rsidTr="00856101">
        <w:trPr>
          <w:trHeight w:val="690"/>
        </w:trPr>
        <w:tc>
          <w:tcPr>
            <w:tcW w:w="8928" w:type="dxa"/>
            <w:gridSpan w:val="3"/>
            <w:tcBorders>
              <w:top w:val="nil"/>
              <w:left w:val="nil"/>
              <w:bottom w:val="nil"/>
              <w:right w:val="nil"/>
            </w:tcBorders>
            <w:vAlign w:val="bottom"/>
            <w:hideMark/>
          </w:tcPr>
          <w:p w14:paraId="6446943F" w14:textId="77777777" w:rsidR="005E7495" w:rsidRPr="00000AAD" w:rsidRDefault="005E7495" w:rsidP="00856101">
            <w:pPr>
              <w:spacing w:after="0" w:line="240" w:lineRule="auto"/>
              <w:rPr>
                <w:rFonts w:ascii="Cambria" w:eastAsia="Times New Roman" w:hAnsi="Cambria" w:cs="Calibri"/>
                <w:color w:val="auto"/>
                <w:sz w:val="18"/>
                <w:szCs w:val="18"/>
                <w:lang w:eastAsia="en-AU"/>
              </w:rPr>
            </w:pPr>
            <w:r w:rsidRPr="00000AAD">
              <w:rPr>
                <w:rFonts w:ascii="Cambria" w:eastAsia="Times New Roman" w:hAnsi="Cambria" w:cs="Calibri"/>
                <w:color w:val="auto"/>
                <w:sz w:val="18"/>
                <w:szCs w:val="18"/>
                <w:lang w:eastAsia="en-AU"/>
              </w:rPr>
              <w:t>Given the breadth of government activities, related parties may transact with the government sector in the same capacity as ordinary citizens. Such transactions include the payment or refund of taxes, receipt of a Medicare rebate or higher education loans. These transactions have not been separately disclosed in this note.</w:t>
            </w:r>
          </w:p>
        </w:tc>
      </w:tr>
      <w:tr w:rsidR="005E7495" w:rsidRPr="00000AAD" w14:paraId="01356B68" w14:textId="77777777" w:rsidTr="00856101">
        <w:trPr>
          <w:trHeight w:val="168"/>
        </w:trPr>
        <w:tc>
          <w:tcPr>
            <w:tcW w:w="8928" w:type="dxa"/>
            <w:gridSpan w:val="3"/>
            <w:tcBorders>
              <w:top w:val="nil"/>
              <w:left w:val="nil"/>
              <w:bottom w:val="nil"/>
              <w:right w:val="nil"/>
            </w:tcBorders>
            <w:vAlign w:val="bottom"/>
            <w:hideMark/>
          </w:tcPr>
          <w:p w14:paraId="04E5DBFF" w14:textId="77777777" w:rsidR="005E7495" w:rsidRPr="00000AAD" w:rsidRDefault="005E7495" w:rsidP="00856101">
            <w:pPr>
              <w:spacing w:after="0" w:line="240" w:lineRule="auto"/>
              <w:rPr>
                <w:rFonts w:ascii="Cambria" w:eastAsia="Times New Roman" w:hAnsi="Cambria" w:cs="Calibri"/>
                <w:color w:val="auto"/>
                <w:sz w:val="18"/>
                <w:szCs w:val="18"/>
                <w:lang w:eastAsia="en-AU"/>
              </w:rPr>
            </w:pPr>
          </w:p>
        </w:tc>
      </w:tr>
      <w:tr w:rsidR="005E7495" w:rsidRPr="00000AAD" w14:paraId="5FFA77F7" w14:textId="77777777" w:rsidTr="00856101">
        <w:trPr>
          <w:trHeight w:val="540"/>
        </w:trPr>
        <w:tc>
          <w:tcPr>
            <w:tcW w:w="8928" w:type="dxa"/>
            <w:gridSpan w:val="3"/>
            <w:tcBorders>
              <w:top w:val="nil"/>
              <w:left w:val="nil"/>
              <w:bottom w:val="nil"/>
              <w:right w:val="nil"/>
            </w:tcBorders>
            <w:shd w:val="clear" w:color="000000" w:fill="FFFFFF"/>
            <w:vAlign w:val="bottom"/>
            <w:hideMark/>
          </w:tcPr>
          <w:p w14:paraId="79662DDD" w14:textId="77777777" w:rsidR="005E7495" w:rsidRPr="00000AAD" w:rsidRDefault="005E7495" w:rsidP="00856101">
            <w:pPr>
              <w:spacing w:after="0" w:line="240" w:lineRule="auto"/>
              <w:rPr>
                <w:rFonts w:ascii="Cambria" w:eastAsia="Times New Roman" w:hAnsi="Cambria" w:cs="Calibri"/>
                <w:color w:val="auto"/>
                <w:sz w:val="18"/>
                <w:szCs w:val="18"/>
                <w:lang w:eastAsia="en-AU"/>
              </w:rPr>
            </w:pPr>
            <w:r w:rsidRPr="00000AAD">
              <w:rPr>
                <w:rFonts w:ascii="Cambria" w:eastAsia="Times New Roman" w:hAnsi="Cambria" w:cs="Calibri"/>
                <w:color w:val="auto"/>
                <w:sz w:val="18"/>
                <w:szCs w:val="18"/>
                <w:lang w:eastAsia="en-AU"/>
              </w:rPr>
              <w:t xml:space="preserve">Giving consideration to relationships with related entities, and transactions entered into during the reporting period by IHACPA, it has been determined that there are no related party transactions to be separately disclosed. </w:t>
            </w:r>
          </w:p>
        </w:tc>
      </w:tr>
      <w:tr w:rsidR="005E7495" w:rsidRPr="00000AAD" w14:paraId="3E964D0D" w14:textId="77777777" w:rsidTr="00856101">
        <w:trPr>
          <w:trHeight w:val="222"/>
        </w:trPr>
        <w:tc>
          <w:tcPr>
            <w:tcW w:w="6456" w:type="dxa"/>
            <w:tcBorders>
              <w:top w:val="nil"/>
              <w:left w:val="nil"/>
              <w:bottom w:val="nil"/>
              <w:right w:val="nil"/>
            </w:tcBorders>
            <w:vAlign w:val="bottom"/>
            <w:hideMark/>
          </w:tcPr>
          <w:p w14:paraId="26D926CF" w14:textId="77777777" w:rsidR="005E7495" w:rsidRPr="00000AAD" w:rsidRDefault="005E7495" w:rsidP="00856101">
            <w:pPr>
              <w:spacing w:after="0" w:line="240" w:lineRule="auto"/>
              <w:rPr>
                <w:rFonts w:ascii="Cambria" w:eastAsia="Times New Roman" w:hAnsi="Cambria" w:cs="Calibri"/>
                <w:color w:val="auto"/>
                <w:sz w:val="18"/>
                <w:szCs w:val="18"/>
                <w:lang w:eastAsia="en-AU"/>
              </w:rPr>
            </w:pPr>
          </w:p>
        </w:tc>
        <w:tc>
          <w:tcPr>
            <w:tcW w:w="1236" w:type="dxa"/>
            <w:tcBorders>
              <w:top w:val="nil"/>
              <w:left w:val="nil"/>
              <w:bottom w:val="nil"/>
              <w:right w:val="nil"/>
            </w:tcBorders>
            <w:vAlign w:val="bottom"/>
            <w:hideMark/>
          </w:tcPr>
          <w:p w14:paraId="73B29223" w14:textId="77777777" w:rsidR="005E7495" w:rsidRPr="00000AAD" w:rsidRDefault="005E7495" w:rsidP="00856101">
            <w:pPr>
              <w:spacing w:after="0" w:line="240" w:lineRule="auto"/>
              <w:rPr>
                <w:rFonts w:ascii="Times New Roman" w:eastAsia="Times New Roman" w:hAnsi="Times New Roman" w:cs="Times New Roman"/>
                <w:color w:val="auto"/>
                <w:sz w:val="20"/>
                <w:szCs w:val="20"/>
                <w:lang w:eastAsia="en-AU"/>
              </w:rPr>
            </w:pPr>
          </w:p>
        </w:tc>
        <w:tc>
          <w:tcPr>
            <w:tcW w:w="1236" w:type="dxa"/>
            <w:tcBorders>
              <w:top w:val="nil"/>
              <w:left w:val="nil"/>
              <w:bottom w:val="nil"/>
              <w:right w:val="nil"/>
            </w:tcBorders>
            <w:vAlign w:val="bottom"/>
            <w:hideMark/>
          </w:tcPr>
          <w:p w14:paraId="249D38BC" w14:textId="77777777" w:rsidR="005E7495" w:rsidRPr="00000AAD" w:rsidRDefault="005E7495" w:rsidP="00856101">
            <w:pPr>
              <w:spacing w:after="0" w:line="240" w:lineRule="auto"/>
              <w:rPr>
                <w:rFonts w:ascii="Times New Roman" w:eastAsia="Times New Roman" w:hAnsi="Times New Roman" w:cs="Times New Roman"/>
                <w:color w:val="auto"/>
                <w:sz w:val="20"/>
                <w:szCs w:val="20"/>
                <w:lang w:eastAsia="en-AU"/>
              </w:rPr>
            </w:pPr>
          </w:p>
        </w:tc>
      </w:tr>
    </w:tbl>
    <w:p w14:paraId="2716D3E0" w14:textId="77777777" w:rsidR="005E7495" w:rsidRPr="00000AAD" w:rsidRDefault="005E7495" w:rsidP="005E7495"/>
    <w:p w14:paraId="31CAFE49" w14:textId="77777777" w:rsidR="005E7495" w:rsidRDefault="005E7495" w:rsidP="005E7495"/>
    <w:p w14:paraId="29C234F5" w14:textId="77777777" w:rsidR="005E7495" w:rsidRDefault="005E7495" w:rsidP="00724246">
      <w:pPr>
        <w:pStyle w:val="Sectionnumber"/>
        <w:rPr>
          <w:rFonts w:ascii="Arial" w:hAnsi="Arial" w:cs="Arial"/>
          <w:color w:val="15272F" w:themeColor="text1"/>
        </w:rPr>
      </w:pPr>
    </w:p>
    <w:p w14:paraId="3C74CD79" w14:textId="77777777" w:rsidR="005E7495" w:rsidRDefault="005E7495" w:rsidP="005E7495">
      <w:pPr>
        <w:pStyle w:val="Heading1"/>
      </w:pPr>
      <w:bookmarkStart w:id="1021" w:name="_Toc235786182"/>
      <w:bookmarkStart w:id="1022" w:name="_Toc235787513"/>
      <w:bookmarkStart w:id="1023" w:name="_Toc235791651"/>
      <w:r>
        <w:lastRenderedPageBreak/>
        <w:t>Managing uncertainties</w:t>
      </w:r>
      <w:bookmarkEnd w:id="1021"/>
      <w:bookmarkEnd w:id="1022"/>
      <w:bookmarkEnd w:id="1023"/>
      <w:r>
        <w:t xml:space="preserve"> </w:t>
      </w:r>
    </w:p>
    <w:p w14:paraId="67FB6D73" w14:textId="77777777" w:rsidR="005E7495" w:rsidRDefault="005E7495" w:rsidP="005E7495">
      <w:r>
        <w:t xml:space="preserve">This section analyses how IHACPA manages financial risks within its operating environment. </w:t>
      </w:r>
    </w:p>
    <w:tbl>
      <w:tblPr>
        <w:tblW w:w="9572" w:type="dxa"/>
        <w:tblLook w:val="04A0" w:firstRow="1" w:lastRow="0" w:firstColumn="1" w:lastColumn="0" w:noHBand="0" w:noVBand="1"/>
      </w:tblPr>
      <w:tblGrid>
        <w:gridCol w:w="2734"/>
        <w:gridCol w:w="711"/>
        <w:gridCol w:w="711"/>
        <w:gridCol w:w="916"/>
        <w:gridCol w:w="916"/>
        <w:gridCol w:w="916"/>
        <w:gridCol w:w="916"/>
        <w:gridCol w:w="916"/>
        <w:gridCol w:w="836"/>
      </w:tblGrid>
      <w:tr w:rsidR="005E7495" w:rsidRPr="00801EDB" w14:paraId="79176088" w14:textId="77777777" w:rsidTr="00856101">
        <w:trPr>
          <w:trHeight w:val="300"/>
        </w:trPr>
        <w:tc>
          <w:tcPr>
            <w:tcW w:w="4156" w:type="dxa"/>
            <w:gridSpan w:val="3"/>
            <w:tcBorders>
              <w:top w:val="single" w:sz="4" w:space="0" w:color="FFFFFF"/>
              <w:left w:val="nil"/>
              <w:bottom w:val="single" w:sz="4" w:space="0" w:color="FFFFFF"/>
              <w:right w:val="nil"/>
            </w:tcBorders>
            <w:shd w:val="clear" w:color="000000" w:fill="37424A"/>
            <w:noWrap/>
            <w:vAlign w:val="center"/>
            <w:hideMark/>
          </w:tcPr>
          <w:p w14:paraId="33A2D475" w14:textId="77777777" w:rsidR="005E7495" w:rsidRPr="00801EDB" w:rsidRDefault="005E7495" w:rsidP="00856101">
            <w:pPr>
              <w:spacing w:after="0" w:line="240" w:lineRule="auto"/>
              <w:rPr>
                <w:rFonts w:ascii="Cambria" w:eastAsia="Times New Roman" w:hAnsi="Cambria" w:cs="Calibri"/>
                <w:b/>
                <w:bCs/>
                <w:color w:val="FFFFFF"/>
                <w:sz w:val="18"/>
                <w:szCs w:val="18"/>
                <w:lang w:eastAsia="en-AU"/>
              </w:rPr>
            </w:pPr>
            <w:r w:rsidRPr="00801EDB">
              <w:rPr>
                <w:rFonts w:ascii="Cambria" w:eastAsia="Times New Roman" w:hAnsi="Cambria" w:cs="Calibri"/>
                <w:b/>
                <w:bCs/>
                <w:color w:val="FFFFFF"/>
                <w:sz w:val="18"/>
                <w:szCs w:val="18"/>
                <w:lang w:eastAsia="en-AU"/>
              </w:rPr>
              <w:t xml:space="preserve">Note 4.1 Contingent assets and liabilities </w:t>
            </w:r>
          </w:p>
        </w:tc>
        <w:tc>
          <w:tcPr>
            <w:tcW w:w="916" w:type="dxa"/>
            <w:tcBorders>
              <w:top w:val="single" w:sz="4" w:space="0" w:color="FFFFFF"/>
              <w:left w:val="nil"/>
              <w:bottom w:val="single" w:sz="4" w:space="0" w:color="FFFFFF"/>
              <w:right w:val="nil"/>
            </w:tcBorders>
            <w:shd w:val="clear" w:color="000000" w:fill="37424A"/>
            <w:noWrap/>
            <w:vAlign w:val="center"/>
            <w:hideMark/>
          </w:tcPr>
          <w:p w14:paraId="08BD53C4" w14:textId="77777777" w:rsidR="005E7495" w:rsidRPr="00801EDB" w:rsidRDefault="005E7495" w:rsidP="00856101">
            <w:pPr>
              <w:spacing w:after="0" w:line="240" w:lineRule="auto"/>
              <w:rPr>
                <w:rFonts w:ascii="Cambria" w:eastAsia="Times New Roman" w:hAnsi="Cambria" w:cs="Calibri"/>
                <w:b/>
                <w:bCs/>
                <w:color w:val="FFFFFF"/>
                <w:sz w:val="18"/>
                <w:szCs w:val="18"/>
                <w:lang w:eastAsia="en-AU"/>
              </w:rPr>
            </w:pPr>
            <w:r w:rsidRPr="00801EDB">
              <w:rPr>
                <w:rFonts w:ascii="Cambria" w:eastAsia="Times New Roman" w:hAnsi="Cambria" w:cs="Calibri"/>
                <w:b/>
                <w:bCs/>
                <w:color w:val="FFFFFF"/>
                <w:sz w:val="18"/>
                <w:szCs w:val="18"/>
                <w:lang w:eastAsia="en-AU"/>
              </w:rPr>
              <w:t> </w:t>
            </w:r>
          </w:p>
        </w:tc>
        <w:tc>
          <w:tcPr>
            <w:tcW w:w="916" w:type="dxa"/>
            <w:tcBorders>
              <w:top w:val="single" w:sz="4" w:space="0" w:color="FFFFFF"/>
              <w:left w:val="nil"/>
              <w:bottom w:val="single" w:sz="4" w:space="0" w:color="FFFFFF"/>
              <w:right w:val="nil"/>
            </w:tcBorders>
            <w:shd w:val="clear" w:color="000000" w:fill="37424A"/>
            <w:noWrap/>
            <w:vAlign w:val="center"/>
            <w:hideMark/>
          </w:tcPr>
          <w:p w14:paraId="62432FB6" w14:textId="77777777" w:rsidR="005E7495" w:rsidRPr="00801EDB" w:rsidRDefault="005E7495" w:rsidP="00856101">
            <w:pPr>
              <w:spacing w:after="0" w:line="240" w:lineRule="auto"/>
              <w:rPr>
                <w:rFonts w:ascii="Cambria" w:eastAsia="Times New Roman" w:hAnsi="Cambria" w:cs="Calibri"/>
                <w:b/>
                <w:bCs/>
                <w:color w:val="FFFFFF"/>
                <w:sz w:val="18"/>
                <w:szCs w:val="18"/>
                <w:lang w:eastAsia="en-AU"/>
              </w:rPr>
            </w:pPr>
            <w:r w:rsidRPr="00801EDB">
              <w:rPr>
                <w:rFonts w:ascii="Cambria" w:eastAsia="Times New Roman" w:hAnsi="Cambria" w:cs="Calibri"/>
                <w:b/>
                <w:bCs/>
                <w:color w:val="FFFFFF"/>
                <w:sz w:val="18"/>
                <w:szCs w:val="18"/>
                <w:lang w:eastAsia="en-AU"/>
              </w:rPr>
              <w:t> </w:t>
            </w:r>
          </w:p>
        </w:tc>
        <w:tc>
          <w:tcPr>
            <w:tcW w:w="916" w:type="dxa"/>
            <w:tcBorders>
              <w:top w:val="single" w:sz="4" w:space="0" w:color="FFFFFF"/>
              <w:left w:val="nil"/>
              <w:bottom w:val="single" w:sz="4" w:space="0" w:color="FFFFFF"/>
              <w:right w:val="nil"/>
            </w:tcBorders>
            <w:shd w:val="clear" w:color="000000" w:fill="37424A"/>
            <w:noWrap/>
            <w:vAlign w:val="center"/>
            <w:hideMark/>
          </w:tcPr>
          <w:p w14:paraId="468A4B15" w14:textId="77777777" w:rsidR="005E7495" w:rsidRPr="00801EDB" w:rsidRDefault="005E7495" w:rsidP="00856101">
            <w:pPr>
              <w:spacing w:after="0" w:line="240" w:lineRule="auto"/>
              <w:rPr>
                <w:rFonts w:ascii="Cambria" w:eastAsia="Times New Roman" w:hAnsi="Cambria" w:cs="Calibri"/>
                <w:b/>
                <w:bCs/>
                <w:color w:val="FFFFFF"/>
                <w:sz w:val="18"/>
                <w:szCs w:val="18"/>
                <w:lang w:eastAsia="en-AU"/>
              </w:rPr>
            </w:pPr>
            <w:r w:rsidRPr="00801EDB">
              <w:rPr>
                <w:rFonts w:ascii="Cambria" w:eastAsia="Times New Roman" w:hAnsi="Cambria" w:cs="Calibri"/>
                <w:b/>
                <w:bCs/>
                <w:color w:val="FFFFFF"/>
                <w:sz w:val="18"/>
                <w:szCs w:val="18"/>
                <w:lang w:eastAsia="en-AU"/>
              </w:rPr>
              <w:t> </w:t>
            </w:r>
          </w:p>
        </w:tc>
        <w:tc>
          <w:tcPr>
            <w:tcW w:w="916" w:type="dxa"/>
            <w:tcBorders>
              <w:top w:val="single" w:sz="4" w:space="0" w:color="FFFFFF"/>
              <w:left w:val="nil"/>
              <w:bottom w:val="single" w:sz="4" w:space="0" w:color="FFFFFF"/>
              <w:right w:val="nil"/>
            </w:tcBorders>
            <w:shd w:val="clear" w:color="000000" w:fill="37424A"/>
            <w:noWrap/>
            <w:vAlign w:val="center"/>
            <w:hideMark/>
          </w:tcPr>
          <w:p w14:paraId="426F4908" w14:textId="77777777" w:rsidR="005E7495" w:rsidRPr="00801EDB" w:rsidRDefault="005E7495" w:rsidP="00856101">
            <w:pPr>
              <w:spacing w:after="0" w:line="240" w:lineRule="auto"/>
              <w:rPr>
                <w:rFonts w:ascii="Cambria" w:eastAsia="Times New Roman" w:hAnsi="Cambria" w:cs="Calibri"/>
                <w:b/>
                <w:bCs/>
                <w:color w:val="FFFFFF"/>
                <w:sz w:val="18"/>
                <w:szCs w:val="18"/>
                <w:lang w:eastAsia="en-AU"/>
              </w:rPr>
            </w:pPr>
            <w:r w:rsidRPr="00801EDB">
              <w:rPr>
                <w:rFonts w:ascii="Cambria" w:eastAsia="Times New Roman" w:hAnsi="Cambria" w:cs="Calibri"/>
                <w:b/>
                <w:bCs/>
                <w:color w:val="FFFFFF"/>
                <w:sz w:val="18"/>
                <w:szCs w:val="18"/>
                <w:lang w:eastAsia="en-AU"/>
              </w:rPr>
              <w:t> </w:t>
            </w:r>
          </w:p>
        </w:tc>
        <w:tc>
          <w:tcPr>
            <w:tcW w:w="916" w:type="dxa"/>
            <w:tcBorders>
              <w:top w:val="single" w:sz="4" w:space="0" w:color="FFFFFF"/>
              <w:left w:val="nil"/>
              <w:bottom w:val="single" w:sz="4" w:space="0" w:color="FFFFFF"/>
              <w:right w:val="nil"/>
            </w:tcBorders>
            <w:shd w:val="clear" w:color="000000" w:fill="37424A"/>
            <w:noWrap/>
            <w:vAlign w:val="center"/>
            <w:hideMark/>
          </w:tcPr>
          <w:p w14:paraId="4251A108" w14:textId="77777777" w:rsidR="005E7495" w:rsidRPr="00801EDB" w:rsidRDefault="005E7495" w:rsidP="00856101">
            <w:pPr>
              <w:spacing w:after="0" w:line="240" w:lineRule="auto"/>
              <w:rPr>
                <w:rFonts w:ascii="Cambria" w:eastAsia="Times New Roman" w:hAnsi="Cambria" w:cs="Calibri"/>
                <w:b/>
                <w:bCs/>
                <w:color w:val="FFFFFF"/>
                <w:sz w:val="18"/>
                <w:szCs w:val="18"/>
                <w:lang w:eastAsia="en-AU"/>
              </w:rPr>
            </w:pPr>
            <w:r w:rsidRPr="00801EDB">
              <w:rPr>
                <w:rFonts w:ascii="Cambria" w:eastAsia="Times New Roman" w:hAnsi="Cambria" w:cs="Calibri"/>
                <w:b/>
                <w:bCs/>
                <w:color w:val="FFFFFF"/>
                <w:sz w:val="18"/>
                <w:szCs w:val="18"/>
                <w:lang w:eastAsia="en-AU"/>
              </w:rPr>
              <w:t> </w:t>
            </w:r>
          </w:p>
        </w:tc>
        <w:tc>
          <w:tcPr>
            <w:tcW w:w="836" w:type="dxa"/>
            <w:tcBorders>
              <w:top w:val="single" w:sz="4" w:space="0" w:color="FFFFFF"/>
              <w:left w:val="nil"/>
              <w:bottom w:val="single" w:sz="4" w:space="0" w:color="FFFFFF"/>
              <w:right w:val="nil"/>
            </w:tcBorders>
            <w:shd w:val="clear" w:color="000000" w:fill="37424A"/>
            <w:noWrap/>
            <w:vAlign w:val="center"/>
            <w:hideMark/>
          </w:tcPr>
          <w:p w14:paraId="509B83AD" w14:textId="77777777" w:rsidR="005E7495" w:rsidRPr="00801EDB" w:rsidRDefault="005E7495" w:rsidP="00856101">
            <w:pPr>
              <w:spacing w:after="0" w:line="240" w:lineRule="auto"/>
              <w:rPr>
                <w:rFonts w:ascii="Cambria" w:eastAsia="Times New Roman" w:hAnsi="Cambria" w:cs="Calibri"/>
                <w:b/>
                <w:bCs/>
                <w:color w:val="FFFFFF"/>
                <w:sz w:val="18"/>
                <w:szCs w:val="18"/>
                <w:lang w:eastAsia="en-AU"/>
              </w:rPr>
            </w:pPr>
            <w:r w:rsidRPr="00801EDB">
              <w:rPr>
                <w:rFonts w:ascii="Cambria" w:eastAsia="Times New Roman" w:hAnsi="Cambria" w:cs="Calibri"/>
                <w:b/>
                <w:bCs/>
                <w:color w:val="FFFFFF"/>
                <w:sz w:val="18"/>
                <w:szCs w:val="18"/>
                <w:lang w:eastAsia="en-AU"/>
              </w:rPr>
              <w:t> </w:t>
            </w:r>
          </w:p>
        </w:tc>
      </w:tr>
      <w:tr w:rsidR="005E7495" w:rsidRPr="00801EDB" w14:paraId="7745FE41" w14:textId="77777777" w:rsidTr="00856101">
        <w:trPr>
          <w:trHeight w:val="180"/>
        </w:trPr>
        <w:tc>
          <w:tcPr>
            <w:tcW w:w="2734" w:type="dxa"/>
            <w:tcBorders>
              <w:top w:val="nil"/>
              <w:left w:val="nil"/>
              <w:bottom w:val="nil"/>
              <w:right w:val="nil"/>
            </w:tcBorders>
            <w:noWrap/>
            <w:vAlign w:val="bottom"/>
            <w:hideMark/>
          </w:tcPr>
          <w:p w14:paraId="10DF35B3" w14:textId="77777777" w:rsidR="005E7495" w:rsidRPr="00801EDB" w:rsidRDefault="005E7495" w:rsidP="00856101">
            <w:pPr>
              <w:spacing w:after="0" w:line="240" w:lineRule="auto"/>
              <w:rPr>
                <w:rFonts w:ascii="Cambria" w:eastAsia="Times New Roman" w:hAnsi="Cambria" w:cs="Calibri"/>
                <w:b/>
                <w:bCs/>
                <w:color w:val="FFFFFF"/>
                <w:sz w:val="18"/>
                <w:szCs w:val="18"/>
                <w:lang w:eastAsia="en-AU"/>
              </w:rPr>
            </w:pPr>
          </w:p>
        </w:tc>
        <w:tc>
          <w:tcPr>
            <w:tcW w:w="711" w:type="dxa"/>
            <w:tcBorders>
              <w:top w:val="nil"/>
              <w:left w:val="nil"/>
              <w:bottom w:val="nil"/>
              <w:right w:val="nil"/>
            </w:tcBorders>
            <w:noWrap/>
            <w:vAlign w:val="bottom"/>
            <w:hideMark/>
          </w:tcPr>
          <w:p w14:paraId="5E1BC3E8"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711" w:type="dxa"/>
            <w:tcBorders>
              <w:top w:val="nil"/>
              <w:left w:val="nil"/>
              <w:bottom w:val="nil"/>
              <w:right w:val="nil"/>
            </w:tcBorders>
            <w:noWrap/>
            <w:vAlign w:val="bottom"/>
            <w:hideMark/>
          </w:tcPr>
          <w:p w14:paraId="6A3777BE"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6CF99368"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3D98DF63"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2CBEB44E"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2B17D7EC"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4CC34C6E"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836" w:type="dxa"/>
            <w:tcBorders>
              <w:top w:val="nil"/>
              <w:left w:val="nil"/>
              <w:bottom w:val="nil"/>
              <w:right w:val="nil"/>
            </w:tcBorders>
            <w:noWrap/>
            <w:vAlign w:val="bottom"/>
            <w:hideMark/>
          </w:tcPr>
          <w:p w14:paraId="7B57EDAD"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801EDB" w14:paraId="722EA6CD" w14:textId="77777777" w:rsidTr="00856101">
        <w:trPr>
          <w:trHeight w:val="315"/>
        </w:trPr>
        <w:tc>
          <w:tcPr>
            <w:tcW w:w="2734" w:type="dxa"/>
            <w:tcBorders>
              <w:top w:val="nil"/>
              <w:left w:val="nil"/>
              <w:bottom w:val="nil"/>
              <w:right w:val="nil"/>
            </w:tcBorders>
            <w:vAlign w:val="bottom"/>
            <w:hideMark/>
          </w:tcPr>
          <w:p w14:paraId="5337FFEB" w14:textId="77777777" w:rsidR="005E7495" w:rsidRPr="00801EDB" w:rsidRDefault="005E7495" w:rsidP="00856101">
            <w:pPr>
              <w:spacing w:after="0" w:line="240" w:lineRule="auto"/>
              <w:rPr>
                <w:rFonts w:ascii="Cambria" w:eastAsia="Times New Roman" w:hAnsi="Cambria" w:cs="Calibri"/>
                <w:b/>
                <w:bCs/>
                <w:color w:val="auto"/>
                <w:sz w:val="18"/>
                <w:szCs w:val="18"/>
                <w:u w:val="single"/>
                <w:lang w:eastAsia="en-AU"/>
              </w:rPr>
            </w:pPr>
            <w:r w:rsidRPr="00801EDB">
              <w:rPr>
                <w:rFonts w:ascii="Cambria" w:eastAsia="Times New Roman" w:hAnsi="Cambria" w:cs="Calibri"/>
                <w:b/>
                <w:bCs/>
                <w:color w:val="auto"/>
                <w:sz w:val="18"/>
                <w:szCs w:val="18"/>
                <w:u w:val="single"/>
                <w:lang w:eastAsia="en-AU"/>
              </w:rPr>
              <w:t>Quantifiable contingencies</w:t>
            </w:r>
          </w:p>
        </w:tc>
        <w:tc>
          <w:tcPr>
            <w:tcW w:w="711" w:type="dxa"/>
            <w:tcBorders>
              <w:top w:val="nil"/>
              <w:left w:val="nil"/>
              <w:bottom w:val="nil"/>
              <w:right w:val="nil"/>
            </w:tcBorders>
            <w:hideMark/>
          </w:tcPr>
          <w:p w14:paraId="2661C166" w14:textId="77777777" w:rsidR="005E7495" w:rsidRPr="00801EDB" w:rsidRDefault="005E7495" w:rsidP="00856101">
            <w:pPr>
              <w:spacing w:after="0" w:line="240" w:lineRule="auto"/>
              <w:rPr>
                <w:rFonts w:ascii="Cambria" w:eastAsia="Times New Roman" w:hAnsi="Cambria" w:cs="Calibri"/>
                <w:b/>
                <w:bCs/>
                <w:color w:val="auto"/>
                <w:sz w:val="18"/>
                <w:szCs w:val="18"/>
                <w:u w:val="single"/>
                <w:lang w:eastAsia="en-AU"/>
              </w:rPr>
            </w:pPr>
          </w:p>
        </w:tc>
        <w:tc>
          <w:tcPr>
            <w:tcW w:w="711" w:type="dxa"/>
            <w:tcBorders>
              <w:top w:val="nil"/>
              <w:left w:val="nil"/>
              <w:bottom w:val="nil"/>
              <w:right w:val="nil"/>
            </w:tcBorders>
            <w:hideMark/>
          </w:tcPr>
          <w:p w14:paraId="0F453688"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6D49B607"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3FD91458"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05EE39BB"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1F297288"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141B9CB5"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836" w:type="dxa"/>
            <w:tcBorders>
              <w:top w:val="nil"/>
              <w:left w:val="nil"/>
              <w:bottom w:val="nil"/>
              <w:right w:val="nil"/>
            </w:tcBorders>
            <w:noWrap/>
            <w:vAlign w:val="bottom"/>
            <w:hideMark/>
          </w:tcPr>
          <w:p w14:paraId="0257824E"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801EDB" w14:paraId="6622BF24" w14:textId="77777777" w:rsidTr="00856101">
        <w:trPr>
          <w:trHeight w:val="240"/>
        </w:trPr>
        <w:tc>
          <w:tcPr>
            <w:tcW w:w="9572" w:type="dxa"/>
            <w:gridSpan w:val="9"/>
            <w:tcBorders>
              <w:top w:val="nil"/>
              <w:left w:val="nil"/>
              <w:bottom w:val="nil"/>
              <w:right w:val="nil"/>
            </w:tcBorders>
            <w:hideMark/>
          </w:tcPr>
          <w:p w14:paraId="02C1F6B9" w14:textId="77777777" w:rsidR="005E7495" w:rsidRPr="00801EDB" w:rsidRDefault="005E7495" w:rsidP="00856101">
            <w:pPr>
              <w:spacing w:after="0" w:line="240" w:lineRule="auto"/>
              <w:rPr>
                <w:rFonts w:ascii="Cambria" w:eastAsia="Times New Roman" w:hAnsi="Cambria" w:cs="Calibri"/>
                <w:color w:val="auto"/>
                <w:sz w:val="18"/>
                <w:szCs w:val="18"/>
                <w:lang w:eastAsia="en-AU"/>
              </w:rPr>
            </w:pPr>
            <w:r w:rsidRPr="00801EDB">
              <w:rPr>
                <w:rFonts w:ascii="Cambria" w:eastAsia="Times New Roman" w:hAnsi="Cambria" w:cs="Calibri"/>
                <w:color w:val="auto"/>
                <w:sz w:val="18"/>
                <w:szCs w:val="18"/>
                <w:lang w:eastAsia="en-AU"/>
              </w:rPr>
              <w:t>There were no quantifiable contingent assets or liabilities in this reporting period (2025: nil).</w:t>
            </w:r>
          </w:p>
        </w:tc>
      </w:tr>
      <w:tr w:rsidR="005E7495" w:rsidRPr="00801EDB" w14:paraId="5AB89E1A" w14:textId="77777777" w:rsidTr="00856101">
        <w:trPr>
          <w:trHeight w:val="165"/>
        </w:trPr>
        <w:tc>
          <w:tcPr>
            <w:tcW w:w="2734" w:type="dxa"/>
            <w:tcBorders>
              <w:top w:val="nil"/>
              <w:left w:val="nil"/>
              <w:bottom w:val="nil"/>
              <w:right w:val="nil"/>
            </w:tcBorders>
            <w:hideMark/>
          </w:tcPr>
          <w:p w14:paraId="5E0BC12A" w14:textId="77777777" w:rsidR="005E7495" w:rsidRPr="00801EDB" w:rsidRDefault="005E7495" w:rsidP="00856101">
            <w:pPr>
              <w:spacing w:after="0" w:line="240" w:lineRule="auto"/>
              <w:rPr>
                <w:rFonts w:ascii="Cambria" w:eastAsia="Times New Roman" w:hAnsi="Cambria" w:cs="Calibri"/>
                <w:color w:val="auto"/>
                <w:sz w:val="18"/>
                <w:szCs w:val="18"/>
                <w:lang w:eastAsia="en-AU"/>
              </w:rPr>
            </w:pPr>
          </w:p>
        </w:tc>
        <w:tc>
          <w:tcPr>
            <w:tcW w:w="711" w:type="dxa"/>
            <w:tcBorders>
              <w:top w:val="nil"/>
              <w:left w:val="nil"/>
              <w:bottom w:val="nil"/>
              <w:right w:val="nil"/>
            </w:tcBorders>
            <w:hideMark/>
          </w:tcPr>
          <w:p w14:paraId="03FE471F"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711" w:type="dxa"/>
            <w:tcBorders>
              <w:top w:val="nil"/>
              <w:left w:val="nil"/>
              <w:bottom w:val="nil"/>
              <w:right w:val="nil"/>
            </w:tcBorders>
            <w:hideMark/>
          </w:tcPr>
          <w:p w14:paraId="4CFB2217"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59579E2D"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115C0BAD"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1338B1D5"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010B04E3"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1EC7170A"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836" w:type="dxa"/>
            <w:tcBorders>
              <w:top w:val="nil"/>
              <w:left w:val="nil"/>
              <w:bottom w:val="nil"/>
              <w:right w:val="nil"/>
            </w:tcBorders>
            <w:noWrap/>
            <w:vAlign w:val="bottom"/>
            <w:hideMark/>
          </w:tcPr>
          <w:p w14:paraId="56CB924E"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801EDB" w14:paraId="58297BC8" w14:textId="77777777" w:rsidTr="00856101">
        <w:trPr>
          <w:trHeight w:val="255"/>
        </w:trPr>
        <w:tc>
          <w:tcPr>
            <w:tcW w:w="9572" w:type="dxa"/>
            <w:gridSpan w:val="9"/>
            <w:tcBorders>
              <w:top w:val="nil"/>
              <w:left w:val="nil"/>
              <w:bottom w:val="nil"/>
              <w:right w:val="nil"/>
            </w:tcBorders>
            <w:vAlign w:val="bottom"/>
            <w:hideMark/>
          </w:tcPr>
          <w:p w14:paraId="779632D8" w14:textId="77777777" w:rsidR="005E7495" w:rsidRPr="00801EDB" w:rsidRDefault="005E7495" w:rsidP="00856101">
            <w:pPr>
              <w:spacing w:after="0" w:line="240" w:lineRule="auto"/>
              <w:rPr>
                <w:rFonts w:ascii="Cambria" w:eastAsia="Times New Roman" w:hAnsi="Cambria" w:cs="Calibri"/>
                <w:b/>
                <w:bCs/>
                <w:color w:val="auto"/>
                <w:sz w:val="18"/>
                <w:szCs w:val="18"/>
                <w:u w:val="single"/>
                <w:lang w:eastAsia="en-AU"/>
              </w:rPr>
            </w:pPr>
            <w:r w:rsidRPr="00801EDB">
              <w:rPr>
                <w:rFonts w:ascii="Cambria" w:eastAsia="Times New Roman" w:hAnsi="Cambria" w:cs="Calibri"/>
                <w:b/>
                <w:bCs/>
                <w:color w:val="auto"/>
                <w:sz w:val="18"/>
                <w:szCs w:val="18"/>
                <w:u w:val="single"/>
                <w:lang w:eastAsia="en-AU"/>
              </w:rPr>
              <w:t>Unquantifiable contingencies</w:t>
            </w:r>
          </w:p>
        </w:tc>
      </w:tr>
      <w:tr w:rsidR="005E7495" w:rsidRPr="00801EDB" w14:paraId="755F9298" w14:textId="77777777" w:rsidTr="00856101">
        <w:trPr>
          <w:trHeight w:val="270"/>
        </w:trPr>
        <w:tc>
          <w:tcPr>
            <w:tcW w:w="9572" w:type="dxa"/>
            <w:gridSpan w:val="9"/>
            <w:tcBorders>
              <w:top w:val="nil"/>
              <w:left w:val="nil"/>
              <w:bottom w:val="nil"/>
              <w:right w:val="nil"/>
            </w:tcBorders>
            <w:hideMark/>
          </w:tcPr>
          <w:p w14:paraId="4A7E967A" w14:textId="77777777" w:rsidR="005E7495" w:rsidRPr="00801EDB" w:rsidRDefault="005E7495" w:rsidP="00856101">
            <w:pPr>
              <w:spacing w:after="0" w:line="240" w:lineRule="auto"/>
              <w:rPr>
                <w:rFonts w:ascii="Cambria" w:eastAsia="Times New Roman" w:hAnsi="Cambria" w:cs="Calibri"/>
                <w:color w:val="auto"/>
                <w:sz w:val="18"/>
                <w:szCs w:val="18"/>
                <w:lang w:eastAsia="en-AU"/>
              </w:rPr>
            </w:pPr>
            <w:r w:rsidRPr="00801EDB">
              <w:rPr>
                <w:rFonts w:ascii="Cambria" w:eastAsia="Times New Roman" w:hAnsi="Cambria" w:cs="Calibri"/>
                <w:color w:val="auto"/>
                <w:sz w:val="18"/>
                <w:szCs w:val="18"/>
                <w:lang w:eastAsia="en-AU"/>
              </w:rPr>
              <w:t>There were no unquantifiable contingent assets or liabilities in this reporting period (2025: nil).</w:t>
            </w:r>
          </w:p>
        </w:tc>
      </w:tr>
      <w:tr w:rsidR="005E7495" w:rsidRPr="00801EDB" w14:paraId="1CD48E53" w14:textId="77777777" w:rsidTr="00856101">
        <w:trPr>
          <w:trHeight w:val="135"/>
        </w:trPr>
        <w:tc>
          <w:tcPr>
            <w:tcW w:w="2734" w:type="dxa"/>
            <w:tcBorders>
              <w:top w:val="nil"/>
              <w:left w:val="nil"/>
              <w:bottom w:val="nil"/>
              <w:right w:val="nil"/>
            </w:tcBorders>
            <w:hideMark/>
          </w:tcPr>
          <w:p w14:paraId="6E87CDF9" w14:textId="77777777" w:rsidR="005E7495" w:rsidRPr="00801EDB" w:rsidRDefault="005E7495" w:rsidP="00856101">
            <w:pPr>
              <w:spacing w:after="0" w:line="240" w:lineRule="auto"/>
              <w:rPr>
                <w:rFonts w:ascii="Cambria" w:eastAsia="Times New Roman" w:hAnsi="Cambria" w:cs="Calibri"/>
                <w:color w:val="auto"/>
                <w:sz w:val="18"/>
                <w:szCs w:val="18"/>
                <w:lang w:eastAsia="en-AU"/>
              </w:rPr>
            </w:pPr>
          </w:p>
        </w:tc>
        <w:tc>
          <w:tcPr>
            <w:tcW w:w="711" w:type="dxa"/>
            <w:tcBorders>
              <w:top w:val="nil"/>
              <w:left w:val="nil"/>
              <w:bottom w:val="nil"/>
              <w:right w:val="nil"/>
            </w:tcBorders>
            <w:hideMark/>
          </w:tcPr>
          <w:p w14:paraId="6AF5B3EE"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711" w:type="dxa"/>
            <w:tcBorders>
              <w:top w:val="nil"/>
              <w:left w:val="nil"/>
              <w:bottom w:val="nil"/>
              <w:right w:val="nil"/>
            </w:tcBorders>
            <w:hideMark/>
          </w:tcPr>
          <w:p w14:paraId="6F048FA5"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1D079339"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46A7A2EF"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282291A1"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5139890E"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274BC770"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836" w:type="dxa"/>
            <w:tcBorders>
              <w:top w:val="nil"/>
              <w:left w:val="nil"/>
              <w:bottom w:val="nil"/>
              <w:right w:val="nil"/>
            </w:tcBorders>
            <w:hideMark/>
          </w:tcPr>
          <w:p w14:paraId="212ED600"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801EDB" w14:paraId="3453F792" w14:textId="77777777" w:rsidTr="00856101">
        <w:trPr>
          <w:trHeight w:val="240"/>
        </w:trPr>
        <w:tc>
          <w:tcPr>
            <w:tcW w:w="9572" w:type="dxa"/>
            <w:gridSpan w:val="9"/>
            <w:tcBorders>
              <w:top w:val="nil"/>
              <w:left w:val="nil"/>
              <w:bottom w:val="nil"/>
              <w:right w:val="nil"/>
            </w:tcBorders>
            <w:hideMark/>
          </w:tcPr>
          <w:p w14:paraId="2164D534" w14:textId="77777777" w:rsidR="005E7495" w:rsidRPr="00801EDB" w:rsidRDefault="005E7495" w:rsidP="00856101">
            <w:pPr>
              <w:spacing w:after="0" w:line="240" w:lineRule="auto"/>
              <w:rPr>
                <w:rFonts w:ascii="Cambria" w:eastAsia="Times New Roman" w:hAnsi="Cambria" w:cs="Calibri"/>
                <w:b/>
                <w:bCs/>
                <w:color w:val="auto"/>
                <w:sz w:val="18"/>
                <w:szCs w:val="18"/>
                <w:u w:val="single"/>
                <w:lang w:eastAsia="en-AU"/>
              </w:rPr>
            </w:pPr>
            <w:r w:rsidRPr="00801EDB">
              <w:rPr>
                <w:rFonts w:ascii="Cambria" w:eastAsia="Times New Roman" w:hAnsi="Cambria" w:cs="Calibri"/>
                <w:b/>
                <w:bCs/>
                <w:color w:val="auto"/>
                <w:sz w:val="18"/>
                <w:szCs w:val="18"/>
                <w:u w:val="single"/>
                <w:lang w:eastAsia="en-AU"/>
              </w:rPr>
              <w:t>Significant remote contingencies</w:t>
            </w:r>
          </w:p>
        </w:tc>
      </w:tr>
      <w:tr w:rsidR="005E7495" w:rsidRPr="00801EDB" w14:paraId="7790EE5C" w14:textId="77777777" w:rsidTr="00856101">
        <w:trPr>
          <w:trHeight w:val="240"/>
        </w:trPr>
        <w:tc>
          <w:tcPr>
            <w:tcW w:w="9572" w:type="dxa"/>
            <w:gridSpan w:val="9"/>
            <w:tcBorders>
              <w:top w:val="nil"/>
              <w:left w:val="nil"/>
              <w:bottom w:val="nil"/>
              <w:right w:val="nil"/>
            </w:tcBorders>
            <w:hideMark/>
          </w:tcPr>
          <w:p w14:paraId="144D610D" w14:textId="77777777" w:rsidR="005E7495" w:rsidRPr="00801EDB" w:rsidRDefault="005E7495" w:rsidP="00856101">
            <w:pPr>
              <w:spacing w:after="0" w:line="240" w:lineRule="auto"/>
              <w:rPr>
                <w:rFonts w:ascii="Cambria" w:eastAsia="Times New Roman" w:hAnsi="Cambria" w:cs="Calibri"/>
                <w:color w:val="auto"/>
                <w:sz w:val="18"/>
                <w:szCs w:val="18"/>
                <w:lang w:eastAsia="en-AU"/>
              </w:rPr>
            </w:pPr>
            <w:r w:rsidRPr="00801EDB">
              <w:rPr>
                <w:rFonts w:ascii="Cambria" w:eastAsia="Times New Roman" w:hAnsi="Cambria" w:cs="Calibri"/>
                <w:color w:val="auto"/>
                <w:sz w:val="18"/>
                <w:szCs w:val="18"/>
                <w:lang w:eastAsia="en-AU"/>
              </w:rPr>
              <w:t>There were no significant remote contingent assets or liabilities in this reporting period (2025: nil).</w:t>
            </w:r>
          </w:p>
        </w:tc>
      </w:tr>
      <w:tr w:rsidR="005E7495" w:rsidRPr="00801EDB" w14:paraId="7BA7DA5F" w14:textId="77777777" w:rsidTr="00856101">
        <w:trPr>
          <w:trHeight w:val="165"/>
        </w:trPr>
        <w:tc>
          <w:tcPr>
            <w:tcW w:w="2734" w:type="dxa"/>
            <w:tcBorders>
              <w:top w:val="nil"/>
              <w:left w:val="nil"/>
              <w:bottom w:val="nil"/>
              <w:right w:val="nil"/>
            </w:tcBorders>
            <w:hideMark/>
          </w:tcPr>
          <w:p w14:paraId="0E1539EF" w14:textId="77777777" w:rsidR="005E7495" w:rsidRPr="00801EDB" w:rsidRDefault="005E7495" w:rsidP="00856101">
            <w:pPr>
              <w:spacing w:after="0" w:line="240" w:lineRule="auto"/>
              <w:rPr>
                <w:rFonts w:ascii="Cambria" w:eastAsia="Times New Roman" w:hAnsi="Cambria" w:cs="Calibri"/>
                <w:color w:val="auto"/>
                <w:sz w:val="18"/>
                <w:szCs w:val="18"/>
                <w:lang w:eastAsia="en-AU"/>
              </w:rPr>
            </w:pPr>
          </w:p>
        </w:tc>
        <w:tc>
          <w:tcPr>
            <w:tcW w:w="711" w:type="dxa"/>
            <w:tcBorders>
              <w:top w:val="nil"/>
              <w:left w:val="nil"/>
              <w:bottom w:val="nil"/>
              <w:right w:val="nil"/>
            </w:tcBorders>
            <w:hideMark/>
          </w:tcPr>
          <w:p w14:paraId="5F5C38B3"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711" w:type="dxa"/>
            <w:tcBorders>
              <w:top w:val="nil"/>
              <w:left w:val="nil"/>
              <w:bottom w:val="nil"/>
              <w:right w:val="nil"/>
            </w:tcBorders>
            <w:hideMark/>
          </w:tcPr>
          <w:p w14:paraId="6FF811AD"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1ACB1435"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7BD3008E"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68C9367A"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0A3BDFEF"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360A7FBC"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836" w:type="dxa"/>
            <w:tcBorders>
              <w:top w:val="nil"/>
              <w:left w:val="nil"/>
              <w:bottom w:val="nil"/>
              <w:right w:val="nil"/>
            </w:tcBorders>
            <w:hideMark/>
          </w:tcPr>
          <w:p w14:paraId="4BD313B5"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801EDB" w14:paraId="1EB56865" w14:textId="77777777" w:rsidTr="00856101">
        <w:trPr>
          <w:trHeight w:val="120"/>
        </w:trPr>
        <w:tc>
          <w:tcPr>
            <w:tcW w:w="2734" w:type="dxa"/>
            <w:tcBorders>
              <w:top w:val="nil"/>
              <w:left w:val="nil"/>
              <w:bottom w:val="nil"/>
              <w:right w:val="nil"/>
            </w:tcBorders>
            <w:noWrap/>
            <w:vAlign w:val="bottom"/>
            <w:hideMark/>
          </w:tcPr>
          <w:p w14:paraId="7171639F"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711" w:type="dxa"/>
            <w:tcBorders>
              <w:top w:val="nil"/>
              <w:left w:val="nil"/>
              <w:bottom w:val="nil"/>
              <w:right w:val="nil"/>
            </w:tcBorders>
            <w:noWrap/>
            <w:vAlign w:val="bottom"/>
            <w:hideMark/>
          </w:tcPr>
          <w:p w14:paraId="2607C75F"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711" w:type="dxa"/>
            <w:tcBorders>
              <w:top w:val="nil"/>
              <w:left w:val="nil"/>
              <w:bottom w:val="nil"/>
              <w:right w:val="nil"/>
            </w:tcBorders>
            <w:noWrap/>
            <w:vAlign w:val="bottom"/>
            <w:hideMark/>
          </w:tcPr>
          <w:p w14:paraId="13783DB0"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06E348EE"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58718A95"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16DE51D8"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69F68B88"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3253C5DC"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836" w:type="dxa"/>
            <w:tcBorders>
              <w:top w:val="nil"/>
              <w:left w:val="nil"/>
              <w:bottom w:val="nil"/>
              <w:right w:val="nil"/>
            </w:tcBorders>
            <w:noWrap/>
            <w:vAlign w:val="bottom"/>
            <w:hideMark/>
          </w:tcPr>
          <w:p w14:paraId="52DA6083"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801EDB" w14:paraId="0A6AFB6D" w14:textId="77777777" w:rsidTr="00856101">
        <w:trPr>
          <w:trHeight w:val="288"/>
        </w:trPr>
        <w:tc>
          <w:tcPr>
            <w:tcW w:w="2734" w:type="dxa"/>
            <w:tcBorders>
              <w:top w:val="nil"/>
              <w:left w:val="nil"/>
              <w:bottom w:val="nil"/>
              <w:right w:val="nil"/>
            </w:tcBorders>
            <w:hideMark/>
          </w:tcPr>
          <w:p w14:paraId="3072A643"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r>
              <w:rPr>
                <w:noProof/>
              </w:rPr>
              <mc:AlternateContent>
                <mc:Choice Requires="wps">
                  <w:drawing>
                    <wp:anchor distT="0" distB="0" distL="114300" distR="114300" simplePos="0" relativeHeight="251709440" behindDoc="0" locked="0" layoutInCell="1" allowOverlap="1" wp14:anchorId="18CFA418" wp14:editId="70D6EFA1">
                      <wp:simplePos x="0" y="0"/>
                      <wp:positionH relativeFrom="column">
                        <wp:posOffset>1608</wp:posOffset>
                      </wp:positionH>
                      <wp:positionV relativeFrom="paragraph">
                        <wp:posOffset>4792</wp:posOffset>
                      </wp:positionV>
                      <wp:extent cx="6005830" cy="1169720"/>
                      <wp:effectExtent l="0" t="0" r="13970" b="11430"/>
                      <wp:wrapNone/>
                      <wp:docPr id="5" name="TextBox 4">
                        <a:extLst xmlns:a="http://schemas.openxmlformats.org/drawingml/2006/main">
                          <a:ext uri="{FF2B5EF4-FFF2-40B4-BE49-F238E27FC236}">
                            <a16:creationId xmlns:a16="http://schemas.microsoft.com/office/drawing/2014/main" id="{00000000-0008-0000-1700-000005000000}"/>
                          </a:ext>
                        </a:extLst>
                      </wp:docPr>
                      <wp:cNvGraphicFramePr/>
                      <a:graphic xmlns:a="http://schemas.openxmlformats.org/drawingml/2006/main">
                        <a:graphicData uri="http://schemas.microsoft.com/office/word/2010/wordprocessingShape">
                          <wps:wsp>
                            <wps:cNvSpPr txBox="1"/>
                            <wps:spPr>
                              <a:xfrm>
                                <a:off x="0" y="0"/>
                                <a:ext cx="6005830" cy="1169720"/>
                              </a:xfrm>
                              <a:prstGeom prst="rect">
                                <a:avLst/>
                              </a:prstGeom>
                              <a:noFill/>
                              <a:ln w="12700" cap="flat" cmpd="sng" algn="ctr">
                                <a:solidFill>
                                  <a:srgbClr val="009560"/>
                                </a:solidFill>
                                <a:prstDash val="solid"/>
                                <a:round/>
                                <a:headEnd type="none" w="med" len="med"/>
                                <a:tailEnd type="none" w="med" len="med"/>
                              </a:ln>
                              <a:effectLst/>
                            </wps:spPr>
                            <wps:txbx>
                              <w:txbxContent>
                                <w:p w14:paraId="26551B2B" w14:textId="77777777" w:rsidR="005E7495" w:rsidRPr="00856101" w:rsidRDefault="005E7495" w:rsidP="005E7495">
                                  <w:pPr>
                                    <w:spacing w:after="0"/>
                                    <w:rPr>
                                      <w:rFonts w:cs="Arial"/>
                                      <w:b/>
                                      <w:bCs/>
                                      <w:sz w:val="18"/>
                                      <w:szCs w:val="18"/>
                                    </w:rPr>
                                  </w:pPr>
                                  <w:r w:rsidRPr="00856101">
                                    <w:rPr>
                                      <w:rFonts w:cs="Arial"/>
                                      <w:b/>
                                      <w:bCs/>
                                      <w:sz w:val="18"/>
                                      <w:szCs w:val="18"/>
                                    </w:rPr>
                                    <w:t>Accounting Policy</w:t>
                                  </w:r>
                                </w:p>
                                <w:p w14:paraId="2A0013A5" w14:textId="77777777" w:rsidR="005E7495" w:rsidRPr="00856101" w:rsidRDefault="005E7495" w:rsidP="005E7495">
                                  <w:pPr>
                                    <w:spacing w:after="0"/>
                                    <w:rPr>
                                      <w:rFonts w:cs="Arial"/>
                                      <w:b/>
                                      <w:bCs/>
                                      <w:sz w:val="18"/>
                                      <w:szCs w:val="18"/>
                                    </w:rPr>
                                  </w:pPr>
                                  <w:r w:rsidRPr="00856101">
                                    <w:rPr>
                                      <w:rFonts w:cs="Arial"/>
                                      <w:b/>
                                      <w:bCs/>
                                      <w:sz w:val="18"/>
                                      <w:szCs w:val="18"/>
                                    </w:rPr>
                                    <w:t>Contingent assets and liabilities</w:t>
                                  </w:r>
                                </w:p>
                                <w:p w14:paraId="5FFE5E4E" w14:textId="77777777" w:rsidR="005E7495" w:rsidRPr="00856101" w:rsidRDefault="005E7495" w:rsidP="005E7495">
                                  <w:pPr>
                                    <w:spacing w:after="0"/>
                                    <w:rPr>
                                      <w:rFonts w:cs="Arial"/>
                                      <w:sz w:val="18"/>
                                      <w:szCs w:val="18"/>
                                    </w:rPr>
                                  </w:pPr>
                                  <w:r w:rsidRPr="00856101">
                                    <w:rPr>
                                      <w:rFonts w:cs="Arial"/>
                                      <w:sz w:val="18"/>
                                      <w:szCs w:val="18"/>
                                    </w:rPr>
                                    <w:t>Contingent assets and liabilities are not recognised in the statement of financial position but are reported in the notes.  They may arise from uncertainty as to the existence of a liability or asset, or represent an asset or liability in respect of which the amount cannot be reliably measured. Contingent assets are disclosed when settlement is probable but not virtually certain, and contingent liabilities are disclosed when settlement is greater than remote.</w:t>
                                  </w:r>
                                </w:p>
                              </w:txbxContent>
                            </wps:txbx>
                            <wps:bodyPr vertOverflow="clip" horzOverflow="clip" wrap="square" rtlCol="0" anchor="t">
                              <a:noAutofit/>
                            </wps:bodyPr>
                          </wps:wsp>
                        </a:graphicData>
                      </a:graphic>
                      <wp14:sizeRelV relativeFrom="margin">
                        <wp14:pctHeight>0</wp14:pctHeight>
                      </wp14:sizeRelV>
                    </wp:anchor>
                  </w:drawing>
                </mc:Choice>
                <mc:Fallback>
                  <w:pict>
                    <v:shape w14:anchorId="18CFA418" id="TextBox 4" o:spid="_x0000_s1042" type="#_x0000_t202" style="position:absolute;margin-left:.15pt;margin-top:.4pt;width:472.9pt;height:92.1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" filled="f" strokecolor="#009560" strokeweight="1pt">
                      <v:stroke joinstyle="round"/>
                      <v:textbox>
                        <w:txbxContent>
                          <w:p w14:paraId="26551B2B" w14:textId="77777777" w:rsidR="005E7495" w:rsidRPr="00856101" w:rsidRDefault="005E7495" w:rsidP="005E7495">
                            <w:pPr>
                              <w:spacing w:after="0"/>
                              <w:rPr>
                                <w:rFonts w:cs="Arial"/>
                                <w:b/>
                                <w:bCs/>
                                <w:sz w:val="18"/>
                                <w:szCs w:val="18"/>
                              </w:rPr>
                            </w:pPr>
                            <w:r w:rsidRPr="00856101">
                              <w:rPr>
                                <w:rFonts w:cs="Arial"/>
                                <w:b/>
                                <w:bCs/>
                                <w:sz w:val="18"/>
                                <w:szCs w:val="18"/>
                              </w:rPr>
                              <w:t>Accounting Policy</w:t>
                            </w:r>
                          </w:p>
                          <w:p w14:paraId="2A0013A5" w14:textId="77777777" w:rsidR="005E7495" w:rsidRPr="00856101" w:rsidRDefault="005E7495" w:rsidP="005E7495">
                            <w:pPr>
                              <w:spacing w:after="0"/>
                              <w:rPr>
                                <w:rFonts w:cs="Arial"/>
                                <w:b/>
                                <w:bCs/>
                                <w:sz w:val="18"/>
                                <w:szCs w:val="18"/>
                              </w:rPr>
                            </w:pPr>
                            <w:r w:rsidRPr="00856101">
                              <w:rPr>
                                <w:rFonts w:cs="Arial"/>
                                <w:b/>
                                <w:bCs/>
                                <w:sz w:val="18"/>
                                <w:szCs w:val="18"/>
                              </w:rPr>
                              <w:t>Contingent assets and liabilities</w:t>
                            </w:r>
                          </w:p>
                          <w:p w14:paraId="5FFE5E4E" w14:textId="77777777" w:rsidR="005E7495" w:rsidRPr="00856101" w:rsidRDefault="005E7495" w:rsidP="005E7495">
                            <w:pPr>
                              <w:spacing w:after="0"/>
                              <w:rPr>
                                <w:rFonts w:cs="Arial"/>
                                <w:sz w:val="18"/>
                                <w:szCs w:val="18"/>
                              </w:rPr>
                            </w:pPr>
                            <w:r w:rsidRPr="00856101">
                              <w:rPr>
                                <w:rFonts w:cs="Arial"/>
                                <w:sz w:val="18"/>
                                <w:szCs w:val="18"/>
                              </w:rPr>
                              <w:t>Contingent assets and liabilities are not recognised in the statement of financial position but are reported in the notes.  They may arise from uncertainty as to the existence of a liability or asset, or represent an asset or liability in respect of which the amount cannot be reliably measured. Contingent assets are disclosed when settlement is probable but not virtually certain, and contingent liabilities are disclosed when settlement is greater than remote.</w:t>
                            </w:r>
                          </w:p>
                        </w:txbxContent>
                      </v:textbox>
                    </v:shape>
                  </w:pict>
                </mc:Fallback>
              </mc:AlternateContent>
            </w:r>
          </w:p>
        </w:tc>
        <w:tc>
          <w:tcPr>
            <w:tcW w:w="711" w:type="dxa"/>
            <w:tcBorders>
              <w:top w:val="nil"/>
              <w:left w:val="nil"/>
              <w:bottom w:val="nil"/>
              <w:right w:val="nil"/>
            </w:tcBorders>
            <w:hideMark/>
          </w:tcPr>
          <w:p w14:paraId="39611B54"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711" w:type="dxa"/>
            <w:tcBorders>
              <w:top w:val="nil"/>
              <w:left w:val="nil"/>
              <w:bottom w:val="nil"/>
              <w:right w:val="nil"/>
            </w:tcBorders>
            <w:hideMark/>
          </w:tcPr>
          <w:p w14:paraId="5D6227D3"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hideMark/>
          </w:tcPr>
          <w:p w14:paraId="199EC057"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7A4598A7"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5AFE30B5"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649F7B46"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916" w:type="dxa"/>
            <w:tcBorders>
              <w:top w:val="nil"/>
              <w:left w:val="nil"/>
              <w:bottom w:val="nil"/>
              <w:right w:val="nil"/>
            </w:tcBorders>
            <w:noWrap/>
            <w:vAlign w:val="bottom"/>
            <w:hideMark/>
          </w:tcPr>
          <w:p w14:paraId="55491F5E"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c>
          <w:tcPr>
            <w:tcW w:w="836" w:type="dxa"/>
            <w:tcBorders>
              <w:top w:val="nil"/>
              <w:left w:val="nil"/>
              <w:bottom w:val="nil"/>
              <w:right w:val="nil"/>
            </w:tcBorders>
            <w:noWrap/>
            <w:vAlign w:val="bottom"/>
            <w:hideMark/>
          </w:tcPr>
          <w:p w14:paraId="71454B69" w14:textId="77777777" w:rsidR="005E7495" w:rsidRPr="00801EDB" w:rsidRDefault="005E7495" w:rsidP="00856101">
            <w:pPr>
              <w:spacing w:after="0" w:line="240" w:lineRule="auto"/>
              <w:rPr>
                <w:rFonts w:ascii="Times New Roman" w:eastAsia="Times New Roman" w:hAnsi="Times New Roman" w:cs="Times New Roman"/>
                <w:color w:val="auto"/>
                <w:sz w:val="20"/>
                <w:szCs w:val="20"/>
                <w:lang w:eastAsia="en-AU"/>
              </w:rPr>
            </w:pPr>
          </w:p>
        </w:tc>
      </w:tr>
    </w:tbl>
    <w:p w14:paraId="453C36E0" w14:textId="77777777" w:rsidR="005E7495" w:rsidRDefault="005E7495" w:rsidP="005E7495"/>
    <w:p w14:paraId="321204A5" w14:textId="77777777" w:rsidR="005E7495" w:rsidRDefault="005E7495" w:rsidP="005E7495"/>
    <w:p w14:paraId="7848FC8A" w14:textId="77777777" w:rsidR="005E7495" w:rsidRDefault="005E7495" w:rsidP="005E7495"/>
    <w:p w14:paraId="230D28BB" w14:textId="77777777" w:rsidR="005E7495" w:rsidRDefault="005E7495" w:rsidP="005E7495"/>
    <w:p w14:paraId="4AE0454E" w14:textId="77777777" w:rsidR="005E7495" w:rsidRDefault="005E7495" w:rsidP="005E7495">
      <w:pPr>
        <w:pStyle w:val="Sectionnumber"/>
        <w:rPr>
          <w:rFonts w:ascii="Arial" w:hAnsi="Arial" w:cs="Arial"/>
          <w:color w:val="15272F" w:themeColor="text1"/>
        </w:rPr>
      </w:pPr>
    </w:p>
    <w:tbl>
      <w:tblPr>
        <w:tblW w:w="9276" w:type="dxa"/>
        <w:tblLook w:val="04A0" w:firstRow="1" w:lastRow="0" w:firstColumn="1" w:lastColumn="0" w:noHBand="0" w:noVBand="1"/>
      </w:tblPr>
      <w:tblGrid>
        <w:gridCol w:w="3716"/>
        <w:gridCol w:w="1136"/>
        <w:gridCol w:w="1136"/>
        <w:gridCol w:w="1136"/>
        <w:gridCol w:w="1176"/>
        <w:gridCol w:w="1176"/>
      </w:tblGrid>
      <w:tr w:rsidR="005E7495" w:rsidRPr="007819F6" w14:paraId="1B093F52" w14:textId="77777777" w:rsidTr="00856101">
        <w:trPr>
          <w:trHeight w:val="264"/>
        </w:trPr>
        <w:tc>
          <w:tcPr>
            <w:tcW w:w="3516" w:type="dxa"/>
            <w:tcBorders>
              <w:top w:val="single" w:sz="4" w:space="0" w:color="FFFFFF"/>
              <w:left w:val="nil"/>
              <w:bottom w:val="single" w:sz="4" w:space="0" w:color="FFFFFF"/>
              <w:right w:val="nil"/>
            </w:tcBorders>
            <w:shd w:val="clear" w:color="000000" w:fill="37424A"/>
            <w:noWrap/>
            <w:vAlign w:val="center"/>
            <w:hideMark/>
          </w:tcPr>
          <w:p w14:paraId="3852EDD7" w14:textId="77777777" w:rsidR="005E7495" w:rsidRPr="007819F6" w:rsidRDefault="005E7495" w:rsidP="00856101">
            <w:pPr>
              <w:spacing w:after="0" w:line="240" w:lineRule="auto"/>
              <w:rPr>
                <w:rFonts w:ascii="Cambria" w:eastAsia="Times New Roman" w:hAnsi="Cambria" w:cs="Calibri"/>
                <w:b/>
                <w:bCs/>
                <w:color w:val="FFFFFF"/>
                <w:sz w:val="18"/>
                <w:szCs w:val="18"/>
                <w:lang w:eastAsia="en-AU"/>
              </w:rPr>
            </w:pPr>
            <w:bookmarkStart w:id="1024" w:name="RANGE!C2:H57"/>
            <w:r w:rsidRPr="007819F6">
              <w:rPr>
                <w:rFonts w:ascii="Cambria" w:eastAsia="Times New Roman" w:hAnsi="Cambria" w:cs="Calibri"/>
                <w:b/>
                <w:bCs/>
                <w:color w:val="FFFFFF"/>
                <w:sz w:val="18"/>
                <w:szCs w:val="18"/>
                <w:lang w:eastAsia="en-AU"/>
              </w:rPr>
              <w:lastRenderedPageBreak/>
              <w:t>Note 4.2 Financial instruments</w:t>
            </w:r>
            <w:bookmarkEnd w:id="1024"/>
          </w:p>
        </w:tc>
        <w:tc>
          <w:tcPr>
            <w:tcW w:w="1136" w:type="dxa"/>
            <w:tcBorders>
              <w:top w:val="single" w:sz="4" w:space="0" w:color="FFFFFF"/>
              <w:left w:val="nil"/>
              <w:bottom w:val="single" w:sz="4" w:space="0" w:color="FFFFFF"/>
              <w:right w:val="nil"/>
            </w:tcBorders>
            <w:shd w:val="clear" w:color="000000" w:fill="37424A"/>
            <w:noWrap/>
            <w:vAlign w:val="center"/>
            <w:hideMark/>
          </w:tcPr>
          <w:p w14:paraId="607B1750" w14:textId="77777777" w:rsidR="005E7495" w:rsidRPr="007819F6" w:rsidRDefault="005E7495" w:rsidP="00856101">
            <w:pPr>
              <w:spacing w:after="0" w:line="240" w:lineRule="auto"/>
              <w:rPr>
                <w:rFonts w:ascii="Cambria" w:eastAsia="Times New Roman" w:hAnsi="Cambria" w:cs="Calibri"/>
                <w:b/>
                <w:bCs/>
                <w:color w:val="FFFFFF"/>
                <w:sz w:val="18"/>
                <w:szCs w:val="18"/>
                <w:lang w:eastAsia="en-AU"/>
              </w:rPr>
            </w:pPr>
            <w:r w:rsidRPr="007819F6">
              <w:rPr>
                <w:rFonts w:ascii="Cambria" w:eastAsia="Times New Roman" w:hAnsi="Cambria" w:cs="Calibri"/>
                <w:b/>
                <w:bCs/>
                <w:color w:val="FFFFFF"/>
                <w:sz w:val="18"/>
                <w:szCs w:val="18"/>
                <w:lang w:eastAsia="en-AU"/>
              </w:rPr>
              <w:t> </w:t>
            </w:r>
          </w:p>
        </w:tc>
        <w:tc>
          <w:tcPr>
            <w:tcW w:w="1136" w:type="dxa"/>
            <w:tcBorders>
              <w:top w:val="single" w:sz="4" w:space="0" w:color="FFFFFF"/>
              <w:left w:val="nil"/>
              <w:bottom w:val="single" w:sz="4" w:space="0" w:color="FFFFFF"/>
              <w:right w:val="nil"/>
            </w:tcBorders>
            <w:shd w:val="clear" w:color="000000" w:fill="37424A"/>
            <w:noWrap/>
            <w:vAlign w:val="center"/>
            <w:hideMark/>
          </w:tcPr>
          <w:p w14:paraId="6D3A3978" w14:textId="77777777" w:rsidR="005E7495" w:rsidRPr="007819F6" w:rsidRDefault="005E7495" w:rsidP="00856101">
            <w:pPr>
              <w:spacing w:after="0" w:line="240" w:lineRule="auto"/>
              <w:rPr>
                <w:rFonts w:ascii="Cambria" w:eastAsia="Times New Roman" w:hAnsi="Cambria" w:cs="Calibri"/>
                <w:b/>
                <w:bCs/>
                <w:color w:val="FFFFFF"/>
                <w:sz w:val="18"/>
                <w:szCs w:val="18"/>
                <w:lang w:eastAsia="en-AU"/>
              </w:rPr>
            </w:pPr>
            <w:r w:rsidRPr="007819F6">
              <w:rPr>
                <w:rFonts w:ascii="Cambria" w:eastAsia="Times New Roman" w:hAnsi="Cambria" w:cs="Calibri"/>
                <w:b/>
                <w:bCs/>
                <w:color w:val="FFFFFF"/>
                <w:sz w:val="18"/>
                <w:szCs w:val="18"/>
                <w:lang w:eastAsia="en-AU"/>
              </w:rPr>
              <w:t> </w:t>
            </w:r>
          </w:p>
        </w:tc>
        <w:tc>
          <w:tcPr>
            <w:tcW w:w="1136" w:type="dxa"/>
            <w:tcBorders>
              <w:top w:val="single" w:sz="4" w:space="0" w:color="FFFFFF"/>
              <w:left w:val="nil"/>
              <w:bottom w:val="single" w:sz="4" w:space="0" w:color="FFFFFF"/>
              <w:right w:val="nil"/>
            </w:tcBorders>
            <w:shd w:val="clear" w:color="000000" w:fill="37424A"/>
            <w:noWrap/>
            <w:vAlign w:val="center"/>
            <w:hideMark/>
          </w:tcPr>
          <w:p w14:paraId="6DBB8F87" w14:textId="77777777" w:rsidR="005E7495" w:rsidRPr="007819F6" w:rsidRDefault="005E7495" w:rsidP="00856101">
            <w:pPr>
              <w:spacing w:after="0" w:line="240" w:lineRule="auto"/>
              <w:rPr>
                <w:rFonts w:ascii="Cambria" w:eastAsia="Times New Roman" w:hAnsi="Cambria" w:cs="Calibri"/>
                <w:b/>
                <w:bCs/>
                <w:color w:val="FFFFFF"/>
                <w:sz w:val="18"/>
                <w:szCs w:val="18"/>
                <w:lang w:eastAsia="en-AU"/>
              </w:rPr>
            </w:pPr>
            <w:r w:rsidRPr="007819F6">
              <w:rPr>
                <w:rFonts w:ascii="Cambria" w:eastAsia="Times New Roman" w:hAnsi="Cambria" w:cs="Calibri"/>
                <w:b/>
                <w:bCs/>
                <w:color w:val="FFFFFF"/>
                <w:sz w:val="18"/>
                <w:szCs w:val="18"/>
                <w:lang w:eastAsia="en-AU"/>
              </w:rPr>
              <w:t> </w:t>
            </w:r>
          </w:p>
        </w:tc>
        <w:tc>
          <w:tcPr>
            <w:tcW w:w="1176" w:type="dxa"/>
            <w:tcBorders>
              <w:top w:val="single" w:sz="4" w:space="0" w:color="FFFFFF"/>
              <w:left w:val="nil"/>
              <w:bottom w:val="single" w:sz="4" w:space="0" w:color="FFFFFF"/>
              <w:right w:val="nil"/>
            </w:tcBorders>
            <w:shd w:val="clear" w:color="000000" w:fill="37424A"/>
            <w:noWrap/>
            <w:vAlign w:val="center"/>
            <w:hideMark/>
          </w:tcPr>
          <w:p w14:paraId="4F7E0D47" w14:textId="77777777" w:rsidR="005E7495" w:rsidRPr="007819F6" w:rsidRDefault="005E7495" w:rsidP="00856101">
            <w:pPr>
              <w:spacing w:after="0" w:line="240" w:lineRule="auto"/>
              <w:rPr>
                <w:rFonts w:ascii="Cambria" w:eastAsia="Times New Roman" w:hAnsi="Cambria" w:cs="Calibri"/>
                <w:b/>
                <w:bCs/>
                <w:color w:val="FFFFFF"/>
                <w:sz w:val="18"/>
                <w:szCs w:val="18"/>
                <w:lang w:eastAsia="en-AU"/>
              </w:rPr>
            </w:pPr>
            <w:r w:rsidRPr="007819F6">
              <w:rPr>
                <w:rFonts w:ascii="Cambria" w:eastAsia="Times New Roman" w:hAnsi="Cambria" w:cs="Calibri"/>
                <w:b/>
                <w:bCs/>
                <w:color w:val="FFFFFF"/>
                <w:sz w:val="18"/>
                <w:szCs w:val="18"/>
                <w:lang w:eastAsia="en-AU"/>
              </w:rPr>
              <w:t> </w:t>
            </w:r>
          </w:p>
        </w:tc>
        <w:tc>
          <w:tcPr>
            <w:tcW w:w="1176" w:type="dxa"/>
            <w:tcBorders>
              <w:top w:val="single" w:sz="4" w:space="0" w:color="FFFFFF"/>
              <w:left w:val="nil"/>
              <w:bottom w:val="single" w:sz="4" w:space="0" w:color="FFFFFF"/>
              <w:right w:val="nil"/>
            </w:tcBorders>
            <w:shd w:val="clear" w:color="000000" w:fill="37424A"/>
            <w:noWrap/>
            <w:vAlign w:val="center"/>
            <w:hideMark/>
          </w:tcPr>
          <w:p w14:paraId="31D0318A" w14:textId="77777777" w:rsidR="005E7495" w:rsidRPr="007819F6" w:rsidRDefault="005E7495" w:rsidP="00856101">
            <w:pPr>
              <w:spacing w:after="0" w:line="240" w:lineRule="auto"/>
              <w:rPr>
                <w:rFonts w:ascii="Cambria" w:eastAsia="Times New Roman" w:hAnsi="Cambria" w:cs="Calibri"/>
                <w:b/>
                <w:bCs/>
                <w:color w:val="FFFFFF"/>
                <w:sz w:val="18"/>
                <w:szCs w:val="18"/>
                <w:lang w:eastAsia="en-AU"/>
              </w:rPr>
            </w:pPr>
            <w:r w:rsidRPr="007819F6">
              <w:rPr>
                <w:rFonts w:ascii="Cambria" w:eastAsia="Times New Roman" w:hAnsi="Cambria" w:cs="Calibri"/>
                <w:b/>
                <w:bCs/>
                <w:color w:val="FFFFFF"/>
                <w:sz w:val="18"/>
                <w:szCs w:val="18"/>
                <w:lang w:eastAsia="en-AU"/>
              </w:rPr>
              <w:t> </w:t>
            </w:r>
          </w:p>
        </w:tc>
      </w:tr>
      <w:tr w:rsidR="005E7495" w:rsidRPr="007819F6" w14:paraId="0AED2CD7" w14:textId="77777777" w:rsidTr="00856101">
        <w:trPr>
          <w:trHeight w:val="240"/>
        </w:trPr>
        <w:tc>
          <w:tcPr>
            <w:tcW w:w="3516" w:type="dxa"/>
            <w:tcBorders>
              <w:top w:val="nil"/>
              <w:left w:val="nil"/>
              <w:bottom w:val="nil"/>
              <w:right w:val="nil"/>
            </w:tcBorders>
            <w:noWrap/>
            <w:vAlign w:val="bottom"/>
            <w:hideMark/>
          </w:tcPr>
          <w:p w14:paraId="4CCEEB81" w14:textId="77777777" w:rsidR="005E7495" w:rsidRPr="007819F6" w:rsidRDefault="005E7495" w:rsidP="00856101">
            <w:pPr>
              <w:spacing w:after="0" w:line="240" w:lineRule="auto"/>
              <w:rPr>
                <w:rFonts w:ascii="Calibri" w:eastAsia="Times New Roman" w:hAnsi="Calibri" w:cs="Calibri"/>
                <w:color w:val="000000"/>
                <w:lang w:eastAsia="en-AU"/>
              </w:rPr>
            </w:pPr>
            <w:r w:rsidRPr="007819F6">
              <w:rPr>
                <w:rFonts w:ascii="Calibri" w:eastAsia="Times New Roman" w:hAnsi="Calibri" w:cs="Calibri"/>
                <w:noProof/>
                <w:color w:val="000000"/>
                <w:lang w:eastAsia="en-AU"/>
              </w:rPr>
              <w:drawing>
                <wp:anchor distT="0" distB="0" distL="114300" distR="114300" simplePos="0" relativeHeight="251711488" behindDoc="0" locked="0" layoutInCell="1" allowOverlap="1" wp14:anchorId="13D6E73F" wp14:editId="36720745">
                  <wp:simplePos x="0" y="0"/>
                  <wp:positionH relativeFrom="column">
                    <wp:posOffset>106680</wp:posOffset>
                  </wp:positionH>
                  <wp:positionV relativeFrom="paragraph">
                    <wp:posOffset>0</wp:posOffset>
                  </wp:positionV>
                  <wp:extent cx="2110740" cy="0"/>
                  <wp:effectExtent l="0" t="0" r="0" b="0"/>
                  <wp:wrapNone/>
                  <wp:docPr id="1738406225" name="Picture 85" descr="6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descr="6B"/>
                          <pic:cNvPicPr preferRelativeResize="0">
                            <a:picLocks noRot="1" noChangeArrowheads="1" noChangeShapeType="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11074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19F6">
              <w:rPr>
                <w:rFonts w:ascii="Calibri" w:eastAsia="Times New Roman" w:hAnsi="Calibri" w:cs="Calibri"/>
                <w:noProof/>
                <w:color w:val="000000"/>
                <w:lang w:eastAsia="en-AU"/>
              </w:rPr>
              <w:drawing>
                <wp:anchor distT="0" distB="0" distL="114300" distR="114300" simplePos="0" relativeHeight="251712512" behindDoc="0" locked="0" layoutInCell="1" allowOverlap="1" wp14:anchorId="4F8DC26C" wp14:editId="0C6899B5">
                  <wp:simplePos x="0" y="0"/>
                  <wp:positionH relativeFrom="column">
                    <wp:posOffset>2217420</wp:posOffset>
                  </wp:positionH>
                  <wp:positionV relativeFrom="paragraph">
                    <wp:posOffset>0</wp:posOffset>
                  </wp:positionV>
                  <wp:extent cx="0" cy="0"/>
                  <wp:effectExtent l="0" t="0" r="0" b="0"/>
                  <wp:wrapNone/>
                  <wp:docPr id="750865468" name="Picture 84" descr="6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descr="6A"/>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19F6">
              <w:rPr>
                <w:rFonts w:ascii="Calibri" w:eastAsia="Times New Roman" w:hAnsi="Calibri" w:cs="Calibri"/>
                <w:noProof/>
                <w:color w:val="000000"/>
                <w:lang w:eastAsia="en-AU"/>
              </w:rPr>
              <w:drawing>
                <wp:anchor distT="0" distB="0" distL="114300" distR="114300" simplePos="0" relativeHeight="251713536" behindDoc="0" locked="0" layoutInCell="1" allowOverlap="1" wp14:anchorId="23DD5A85" wp14:editId="7DE668C5">
                  <wp:simplePos x="0" y="0"/>
                  <wp:positionH relativeFrom="column">
                    <wp:posOffset>2217420</wp:posOffset>
                  </wp:positionH>
                  <wp:positionV relativeFrom="paragraph">
                    <wp:posOffset>0</wp:posOffset>
                  </wp:positionV>
                  <wp:extent cx="0" cy="0"/>
                  <wp:effectExtent l="0" t="0" r="0" b="0"/>
                  <wp:wrapNone/>
                  <wp:docPr id="1473478700" name="Picture 83" descr="6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descr="6B"/>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19F6">
              <w:rPr>
                <w:rFonts w:ascii="Calibri" w:eastAsia="Times New Roman" w:hAnsi="Calibri" w:cs="Calibri"/>
                <w:noProof/>
                <w:color w:val="000000"/>
                <w:lang w:eastAsia="en-AU"/>
              </w:rPr>
              <w:drawing>
                <wp:anchor distT="0" distB="0" distL="114300" distR="114300" simplePos="0" relativeHeight="251714560" behindDoc="0" locked="0" layoutInCell="1" allowOverlap="1" wp14:anchorId="0B4E4036" wp14:editId="540207CC">
                  <wp:simplePos x="0" y="0"/>
                  <wp:positionH relativeFrom="column">
                    <wp:posOffset>2217420</wp:posOffset>
                  </wp:positionH>
                  <wp:positionV relativeFrom="paragraph">
                    <wp:posOffset>0</wp:posOffset>
                  </wp:positionV>
                  <wp:extent cx="0" cy="0"/>
                  <wp:effectExtent l="0" t="0" r="0" b="0"/>
                  <wp:wrapNone/>
                  <wp:docPr id="1140413586" name="Picture 82" descr="9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descr="9A"/>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19F6">
              <w:rPr>
                <w:rFonts w:ascii="Calibri" w:eastAsia="Times New Roman" w:hAnsi="Calibri" w:cs="Calibri"/>
                <w:noProof/>
                <w:color w:val="000000"/>
                <w:lang w:eastAsia="en-AU"/>
              </w:rPr>
              <w:drawing>
                <wp:anchor distT="0" distB="0" distL="114300" distR="114300" simplePos="0" relativeHeight="251715584" behindDoc="0" locked="0" layoutInCell="1" allowOverlap="1" wp14:anchorId="6CF1EF14" wp14:editId="186DC788">
                  <wp:simplePos x="0" y="0"/>
                  <wp:positionH relativeFrom="column">
                    <wp:posOffset>2217420</wp:posOffset>
                  </wp:positionH>
                  <wp:positionV relativeFrom="paragraph">
                    <wp:posOffset>0</wp:posOffset>
                  </wp:positionV>
                  <wp:extent cx="0" cy="0"/>
                  <wp:effectExtent l="0" t="0" r="0" b="0"/>
                  <wp:wrapNone/>
                  <wp:docPr id="941656343" name="Picture 81" descr="9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9B"/>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19F6">
              <w:rPr>
                <w:rFonts w:ascii="Calibri" w:eastAsia="Times New Roman" w:hAnsi="Calibri" w:cs="Calibri"/>
                <w:noProof/>
                <w:color w:val="000000"/>
                <w:lang w:eastAsia="en-AU"/>
              </w:rPr>
              <w:drawing>
                <wp:anchor distT="0" distB="0" distL="114300" distR="114300" simplePos="0" relativeHeight="251716608" behindDoc="0" locked="0" layoutInCell="1" allowOverlap="1" wp14:anchorId="468C6A39" wp14:editId="13D3E0EE">
                  <wp:simplePos x="0" y="0"/>
                  <wp:positionH relativeFrom="column">
                    <wp:posOffset>2217420</wp:posOffset>
                  </wp:positionH>
                  <wp:positionV relativeFrom="paragraph">
                    <wp:posOffset>0</wp:posOffset>
                  </wp:positionV>
                  <wp:extent cx="0" cy="0"/>
                  <wp:effectExtent l="0" t="0" r="0" b="0"/>
                  <wp:wrapNone/>
                  <wp:docPr id="600650992" name="Picture 80" descr="8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descr="8A"/>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19F6">
              <w:rPr>
                <w:rFonts w:ascii="Calibri" w:eastAsia="Times New Roman" w:hAnsi="Calibri" w:cs="Calibri"/>
                <w:noProof/>
                <w:color w:val="000000"/>
                <w:lang w:eastAsia="en-AU"/>
              </w:rPr>
              <w:drawing>
                <wp:anchor distT="0" distB="0" distL="114300" distR="114300" simplePos="0" relativeHeight="251717632" behindDoc="0" locked="0" layoutInCell="1" allowOverlap="1" wp14:anchorId="4268C43B" wp14:editId="483CE6FF">
                  <wp:simplePos x="0" y="0"/>
                  <wp:positionH relativeFrom="column">
                    <wp:posOffset>2217420</wp:posOffset>
                  </wp:positionH>
                  <wp:positionV relativeFrom="paragraph">
                    <wp:posOffset>0</wp:posOffset>
                  </wp:positionV>
                  <wp:extent cx="0" cy="0"/>
                  <wp:effectExtent l="0" t="0" r="0" b="0"/>
                  <wp:wrapNone/>
                  <wp:docPr id="1026724946" name="Picture 79" descr="10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descr="10B"/>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19F6">
              <w:rPr>
                <w:rFonts w:ascii="Calibri" w:eastAsia="Times New Roman" w:hAnsi="Calibri" w:cs="Calibri"/>
                <w:noProof/>
                <w:color w:val="000000"/>
                <w:lang w:eastAsia="en-AU"/>
              </w:rPr>
              <w:drawing>
                <wp:anchor distT="0" distB="0" distL="114300" distR="114300" simplePos="0" relativeHeight="251718656" behindDoc="0" locked="0" layoutInCell="1" allowOverlap="1" wp14:anchorId="63769D20" wp14:editId="5876C252">
                  <wp:simplePos x="0" y="0"/>
                  <wp:positionH relativeFrom="column">
                    <wp:posOffset>2217420</wp:posOffset>
                  </wp:positionH>
                  <wp:positionV relativeFrom="paragraph">
                    <wp:posOffset>0</wp:posOffset>
                  </wp:positionV>
                  <wp:extent cx="0" cy="0"/>
                  <wp:effectExtent l="0" t="0" r="0" b="0"/>
                  <wp:wrapNone/>
                  <wp:docPr id="305860685" name="Picture 78" descr="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9" descr="13"/>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500"/>
            </w:tblGrid>
            <w:tr w:rsidR="005E7495" w:rsidRPr="007819F6" w14:paraId="23D2E1DE" w14:textId="77777777" w:rsidTr="00856101">
              <w:trPr>
                <w:trHeight w:val="240"/>
                <w:tblCellSpacing w:w="0" w:type="dxa"/>
              </w:trPr>
              <w:tc>
                <w:tcPr>
                  <w:tcW w:w="3500" w:type="dxa"/>
                  <w:tcBorders>
                    <w:top w:val="nil"/>
                    <w:left w:val="nil"/>
                    <w:bottom w:val="nil"/>
                    <w:right w:val="nil"/>
                  </w:tcBorders>
                  <w:vAlign w:val="bottom"/>
                  <w:hideMark/>
                </w:tcPr>
                <w:p w14:paraId="392D8EFA" w14:textId="77777777" w:rsidR="005E7495" w:rsidRPr="007819F6" w:rsidRDefault="005E7495" w:rsidP="00856101">
                  <w:pPr>
                    <w:spacing w:after="0" w:line="240" w:lineRule="auto"/>
                    <w:rPr>
                      <w:rFonts w:ascii="Calibri" w:eastAsia="Times New Roman" w:hAnsi="Calibri" w:cs="Calibri"/>
                      <w:color w:val="000000"/>
                      <w:lang w:eastAsia="en-AU"/>
                    </w:rPr>
                  </w:pPr>
                </w:p>
              </w:tc>
            </w:tr>
          </w:tbl>
          <w:p w14:paraId="6C2FBB57" w14:textId="77777777" w:rsidR="005E7495" w:rsidRPr="007819F6" w:rsidRDefault="005E7495" w:rsidP="00856101">
            <w:pPr>
              <w:spacing w:after="0" w:line="240" w:lineRule="auto"/>
              <w:rPr>
                <w:rFonts w:ascii="Calibri" w:eastAsia="Times New Roman" w:hAnsi="Calibri" w:cs="Calibri"/>
                <w:color w:val="000000"/>
                <w:lang w:eastAsia="en-AU"/>
              </w:rPr>
            </w:pPr>
          </w:p>
        </w:tc>
        <w:tc>
          <w:tcPr>
            <w:tcW w:w="1136" w:type="dxa"/>
            <w:tcBorders>
              <w:top w:val="nil"/>
              <w:left w:val="nil"/>
              <w:bottom w:val="nil"/>
              <w:right w:val="nil"/>
            </w:tcBorders>
            <w:vAlign w:val="bottom"/>
            <w:hideMark/>
          </w:tcPr>
          <w:p w14:paraId="7E32F38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vAlign w:val="bottom"/>
            <w:hideMark/>
          </w:tcPr>
          <w:p w14:paraId="03B6B80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vAlign w:val="bottom"/>
            <w:hideMark/>
          </w:tcPr>
          <w:p w14:paraId="13BDA60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vAlign w:val="bottom"/>
            <w:hideMark/>
          </w:tcPr>
          <w:p w14:paraId="6D962B3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vAlign w:val="bottom"/>
            <w:hideMark/>
          </w:tcPr>
          <w:p w14:paraId="35048EF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558D78DD" w14:textId="77777777" w:rsidTr="00856101">
        <w:trPr>
          <w:trHeight w:val="240"/>
        </w:trPr>
        <w:tc>
          <w:tcPr>
            <w:tcW w:w="3516" w:type="dxa"/>
            <w:tcBorders>
              <w:top w:val="nil"/>
              <w:left w:val="nil"/>
              <w:bottom w:val="nil"/>
              <w:right w:val="nil"/>
            </w:tcBorders>
            <w:hideMark/>
          </w:tcPr>
          <w:p w14:paraId="47DDF3C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hideMark/>
          </w:tcPr>
          <w:p w14:paraId="28DE9BB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hideMark/>
          </w:tcPr>
          <w:p w14:paraId="7F08CE0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hideMark/>
          </w:tcPr>
          <w:p w14:paraId="0FD53A9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vAlign w:val="bottom"/>
            <w:hideMark/>
          </w:tcPr>
          <w:p w14:paraId="02347391" w14:textId="77777777" w:rsidR="005E7495" w:rsidRPr="007819F6" w:rsidRDefault="005E7495" w:rsidP="00856101">
            <w:pPr>
              <w:spacing w:after="0" w:line="240" w:lineRule="auto"/>
              <w:jc w:val="right"/>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2026</w:t>
            </w:r>
          </w:p>
        </w:tc>
        <w:tc>
          <w:tcPr>
            <w:tcW w:w="1176" w:type="dxa"/>
            <w:tcBorders>
              <w:top w:val="nil"/>
              <w:left w:val="nil"/>
              <w:bottom w:val="nil"/>
              <w:right w:val="nil"/>
            </w:tcBorders>
            <w:vAlign w:val="bottom"/>
            <w:hideMark/>
          </w:tcPr>
          <w:p w14:paraId="31423F91"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2025</w:t>
            </w:r>
          </w:p>
        </w:tc>
      </w:tr>
      <w:tr w:rsidR="005E7495" w:rsidRPr="007819F6" w14:paraId="50B59F78" w14:textId="77777777" w:rsidTr="00856101">
        <w:trPr>
          <w:trHeight w:val="89"/>
        </w:trPr>
        <w:tc>
          <w:tcPr>
            <w:tcW w:w="3516" w:type="dxa"/>
            <w:tcBorders>
              <w:top w:val="nil"/>
              <w:left w:val="nil"/>
              <w:bottom w:val="single" w:sz="8" w:space="0" w:color="009560"/>
              <w:right w:val="nil"/>
            </w:tcBorders>
            <w:hideMark/>
          </w:tcPr>
          <w:p w14:paraId="2F62A94D"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w:t>
            </w:r>
          </w:p>
        </w:tc>
        <w:tc>
          <w:tcPr>
            <w:tcW w:w="1136" w:type="dxa"/>
            <w:tcBorders>
              <w:top w:val="nil"/>
              <w:left w:val="nil"/>
              <w:bottom w:val="single" w:sz="8" w:space="0" w:color="009560"/>
              <w:right w:val="nil"/>
            </w:tcBorders>
            <w:hideMark/>
          </w:tcPr>
          <w:p w14:paraId="7705C1D7"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w:t>
            </w:r>
          </w:p>
        </w:tc>
        <w:tc>
          <w:tcPr>
            <w:tcW w:w="1136" w:type="dxa"/>
            <w:tcBorders>
              <w:top w:val="nil"/>
              <w:left w:val="nil"/>
              <w:bottom w:val="single" w:sz="8" w:space="0" w:color="009560"/>
              <w:right w:val="nil"/>
            </w:tcBorders>
            <w:hideMark/>
          </w:tcPr>
          <w:p w14:paraId="32EA5143"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w:t>
            </w:r>
          </w:p>
        </w:tc>
        <w:tc>
          <w:tcPr>
            <w:tcW w:w="1136" w:type="dxa"/>
            <w:tcBorders>
              <w:top w:val="nil"/>
              <w:left w:val="nil"/>
              <w:bottom w:val="single" w:sz="8" w:space="0" w:color="009560"/>
              <w:right w:val="nil"/>
            </w:tcBorders>
            <w:hideMark/>
          </w:tcPr>
          <w:p w14:paraId="623C506E"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w:t>
            </w:r>
          </w:p>
        </w:tc>
        <w:tc>
          <w:tcPr>
            <w:tcW w:w="1176" w:type="dxa"/>
            <w:tcBorders>
              <w:top w:val="nil"/>
              <w:left w:val="nil"/>
              <w:bottom w:val="single" w:sz="8" w:space="0" w:color="009560"/>
              <w:right w:val="nil"/>
            </w:tcBorders>
            <w:hideMark/>
          </w:tcPr>
          <w:p w14:paraId="3EE664AD" w14:textId="77777777" w:rsidR="005E7495" w:rsidRPr="007819F6" w:rsidRDefault="005E7495" w:rsidP="00856101">
            <w:pPr>
              <w:spacing w:after="0" w:line="240" w:lineRule="auto"/>
              <w:jc w:val="right"/>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$’000</w:t>
            </w:r>
          </w:p>
        </w:tc>
        <w:tc>
          <w:tcPr>
            <w:tcW w:w="1176" w:type="dxa"/>
            <w:tcBorders>
              <w:top w:val="nil"/>
              <w:left w:val="nil"/>
              <w:bottom w:val="single" w:sz="8" w:space="0" w:color="009560"/>
              <w:right w:val="nil"/>
            </w:tcBorders>
            <w:hideMark/>
          </w:tcPr>
          <w:p w14:paraId="27B11D16"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$’000</w:t>
            </w:r>
          </w:p>
        </w:tc>
      </w:tr>
      <w:tr w:rsidR="005E7495" w:rsidRPr="007819F6" w14:paraId="75BDC6A4" w14:textId="77777777" w:rsidTr="00856101">
        <w:trPr>
          <w:trHeight w:val="120"/>
        </w:trPr>
        <w:tc>
          <w:tcPr>
            <w:tcW w:w="3516" w:type="dxa"/>
            <w:tcBorders>
              <w:top w:val="nil"/>
              <w:left w:val="nil"/>
              <w:bottom w:val="nil"/>
              <w:right w:val="nil"/>
            </w:tcBorders>
            <w:noWrap/>
            <w:vAlign w:val="bottom"/>
            <w:hideMark/>
          </w:tcPr>
          <w:p w14:paraId="62B3AD90"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p>
        </w:tc>
        <w:tc>
          <w:tcPr>
            <w:tcW w:w="1136" w:type="dxa"/>
            <w:tcBorders>
              <w:top w:val="nil"/>
              <w:left w:val="nil"/>
              <w:bottom w:val="nil"/>
              <w:right w:val="nil"/>
            </w:tcBorders>
            <w:noWrap/>
            <w:vAlign w:val="bottom"/>
            <w:hideMark/>
          </w:tcPr>
          <w:p w14:paraId="2216478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BC2D43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C5346F4"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center"/>
            <w:hideMark/>
          </w:tcPr>
          <w:p w14:paraId="71D5A85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center"/>
            <w:hideMark/>
          </w:tcPr>
          <w:p w14:paraId="2CA94B62" w14:textId="77777777" w:rsidR="005E7495" w:rsidRPr="007819F6"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7819F6" w14:paraId="6C30CD55" w14:textId="77777777" w:rsidTr="00856101">
        <w:trPr>
          <w:trHeight w:val="105"/>
        </w:trPr>
        <w:tc>
          <w:tcPr>
            <w:tcW w:w="3516" w:type="dxa"/>
            <w:tcBorders>
              <w:top w:val="nil"/>
              <w:left w:val="nil"/>
              <w:bottom w:val="nil"/>
              <w:right w:val="nil"/>
            </w:tcBorders>
            <w:shd w:val="clear" w:color="000000" w:fill="FFFFFF"/>
            <w:noWrap/>
            <w:vAlign w:val="center"/>
            <w:hideMark/>
          </w:tcPr>
          <w:p w14:paraId="0C7A6BD4" w14:textId="77777777" w:rsidR="005E7495" w:rsidRPr="007819F6"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w:t>
            </w:r>
          </w:p>
        </w:tc>
        <w:tc>
          <w:tcPr>
            <w:tcW w:w="1136" w:type="dxa"/>
            <w:tcBorders>
              <w:top w:val="nil"/>
              <w:left w:val="nil"/>
              <w:bottom w:val="nil"/>
              <w:right w:val="nil"/>
            </w:tcBorders>
            <w:shd w:val="clear" w:color="000000" w:fill="FFFFFF"/>
            <w:noWrap/>
            <w:vAlign w:val="center"/>
            <w:hideMark/>
          </w:tcPr>
          <w:p w14:paraId="4F876D5F" w14:textId="77777777" w:rsidR="005E7495" w:rsidRPr="007819F6" w:rsidRDefault="005E7495" w:rsidP="00856101">
            <w:pPr>
              <w:spacing w:after="0" w:line="240" w:lineRule="auto"/>
              <w:ind w:firstLineChars="200" w:firstLine="360"/>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w:t>
            </w:r>
          </w:p>
        </w:tc>
        <w:tc>
          <w:tcPr>
            <w:tcW w:w="1136" w:type="dxa"/>
            <w:tcBorders>
              <w:top w:val="nil"/>
              <w:left w:val="nil"/>
              <w:bottom w:val="nil"/>
              <w:right w:val="nil"/>
            </w:tcBorders>
            <w:shd w:val="clear" w:color="000000" w:fill="FFFFFF"/>
            <w:noWrap/>
            <w:vAlign w:val="center"/>
            <w:hideMark/>
          </w:tcPr>
          <w:p w14:paraId="197BA8AF" w14:textId="77777777" w:rsidR="005E7495" w:rsidRPr="007819F6" w:rsidRDefault="005E7495" w:rsidP="00856101">
            <w:pPr>
              <w:spacing w:after="0" w:line="240" w:lineRule="auto"/>
              <w:ind w:firstLineChars="200" w:firstLine="360"/>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w:t>
            </w:r>
          </w:p>
        </w:tc>
        <w:tc>
          <w:tcPr>
            <w:tcW w:w="1136" w:type="dxa"/>
            <w:tcBorders>
              <w:top w:val="nil"/>
              <w:left w:val="nil"/>
              <w:bottom w:val="nil"/>
              <w:right w:val="nil"/>
            </w:tcBorders>
            <w:shd w:val="clear" w:color="000000" w:fill="FFFFFF"/>
            <w:noWrap/>
            <w:vAlign w:val="center"/>
            <w:hideMark/>
          </w:tcPr>
          <w:p w14:paraId="38030CE1" w14:textId="77777777" w:rsidR="005E7495" w:rsidRPr="007819F6" w:rsidRDefault="005E7495" w:rsidP="00856101">
            <w:pPr>
              <w:spacing w:after="0" w:line="240" w:lineRule="auto"/>
              <w:ind w:firstLineChars="200" w:firstLine="360"/>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6811DC44" w14:textId="77777777" w:rsidR="005E7495" w:rsidRPr="007819F6" w:rsidRDefault="005E7495" w:rsidP="00856101">
            <w:pPr>
              <w:spacing w:after="0" w:line="240" w:lineRule="auto"/>
              <w:jc w:val="right"/>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103C1651"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w:t>
            </w:r>
          </w:p>
        </w:tc>
      </w:tr>
      <w:tr w:rsidR="005E7495" w:rsidRPr="007819F6" w14:paraId="695BF707" w14:textId="77777777" w:rsidTr="00856101">
        <w:trPr>
          <w:trHeight w:val="240"/>
        </w:trPr>
        <w:tc>
          <w:tcPr>
            <w:tcW w:w="3516" w:type="dxa"/>
            <w:tcBorders>
              <w:top w:val="nil"/>
              <w:left w:val="nil"/>
              <w:bottom w:val="nil"/>
              <w:right w:val="nil"/>
            </w:tcBorders>
            <w:noWrap/>
            <w:vAlign w:val="center"/>
            <w:hideMark/>
          </w:tcPr>
          <w:p w14:paraId="274220A7" w14:textId="77777777" w:rsidR="005E7495" w:rsidRPr="007819F6" w:rsidRDefault="005E7495" w:rsidP="00856101">
            <w:pPr>
              <w:spacing w:after="0" w:line="240" w:lineRule="auto"/>
              <w:rPr>
                <w:rFonts w:ascii="Cambria" w:eastAsia="Times New Roman" w:hAnsi="Cambria" w:cs="Calibri"/>
                <w:b/>
                <w:bCs/>
                <w:color w:val="auto"/>
                <w:sz w:val="18"/>
                <w:szCs w:val="18"/>
                <w:u w:val="single"/>
                <w:lang w:eastAsia="en-AU"/>
              </w:rPr>
            </w:pPr>
            <w:r w:rsidRPr="007819F6">
              <w:rPr>
                <w:rFonts w:ascii="Cambria" w:eastAsia="Times New Roman" w:hAnsi="Cambria" w:cs="Calibri"/>
                <w:b/>
                <w:bCs/>
                <w:color w:val="auto"/>
                <w:sz w:val="18"/>
                <w:szCs w:val="18"/>
                <w:u w:val="single"/>
                <w:lang w:eastAsia="en-AU"/>
              </w:rPr>
              <w:t>Note 4.2A: Financial instruments (assets)</w:t>
            </w:r>
          </w:p>
        </w:tc>
        <w:tc>
          <w:tcPr>
            <w:tcW w:w="1136" w:type="dxa"/>
            <w:tcBorders>
              <w:top w:val="nil"/>
              <w:left w:val="nil"/>
              <w:bottom w:val="nil"/>
              <w:right w:val="nil"/>
            </w:tcBorders>
            <w:noWrap/>
            <w:vAlign w:val="center"/>
            <w:hideMark/>
          </w:tcPr>
          <w:p w14:paraId="2EEB7A5D" w14:textId="77777777" w:rsidR="005E7495" w:rsidRPr="007819F6" w:rsidRDefault="005E7495" w:rsidP="00856101">
            <w:pPr>
              <w:spacing w:after="0" w:line="240" w:lineRule="auto"/>
              <w:rPr>
                <w:rFonts w:ascii="Cambria" w:eastAsia="Times New Roman" w:hAnsi="Cambria" w:cs="Calibri"/>
                <w:b/>
                <w:bCs/>
                <w:color w:val="auto"/>
                <w:sz w:val="18"/>
                <w:szCs w:val="18"/>
                <w:u w:val="single"/>
                <w:lang w:eastAsia="en-AU"/>
              </w:rPr>
            </w:pPr>
          </w:p>
        </w:tc>
        <w:tc>
          <w:tcPr>
            <w:tcW w:w="1136" w:type="dxa"/>
            <w:tcBorders>
              <w:top w:val="nil"/>
              <w:left w:val="nil"/>
              <w:bottom w:val="nil"/>
              <w:right w:val="nil"/>
            </w:tcBorders>
            <w:noWrap/>
            <w:vAlign w:val="center"/>
            <w:hideMark/>
          </w:tcPr>
          <w:p w14:paraId="1AC21781"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center"/>
            <w:hideMark/>
          </w:tcPr>
          <w:p w14:paraId="230C81E9"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1E09D83"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1078A94" w14:textId="77777777" w:rsidR="005E7495" w:rsidRPr="007819F6"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7819F6" w14:paraId="25817907" w14:textId="77777777" w:rsidTr="00856101">
        <w:trPr>
          <w:trHeight w:val="240"/>
        </w:trPr>
        <w:tc>
          <w:tcPr>
            <w:tcW w:w="3516" w:type="dxa"/>
            <w:tcBorders>
              <w:top w:val="nil"/>
              <w:left w:val="nil"/>
              <w:bottom w:val="nil"/>
              <w:right w:val="nil"/>
            </w:tcBorders>
            <w:hideMark/>
          </w:tcPr>
          <w:p w14:paraId="0820A847" w14:textId="77777777" w:rsidR="005E7495" w:rsidRPr="007819F6" w:rsidRDefault="005E7495" w:rsidP="00856101">
            <w:pPr>
              <w:spacing w:after="0" w:line="240" w:lineRule="auto"/>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Financial assets at amortised cost</w:t>
            </w:r>
          </w:p>
        </w:tc>
        <w:tc>
          <w:tcPr>
            <w:tcW w:w="1136" w:type="dxa"/>
            <w:tcBorders>
              <w:top w:val="nil"/>
              <w:left w:val="nil"/>
              <w:bottom w:val="nil"/>
              <w:right w:val="nil"/>
            </w:tcBorders>
            <w:noWrap/>
            <w:vAlign w:val="center"/>
            <w:hideMark/>
          </w:tcPr>
          <w:p w14:paraId="67E47260" w14:textId="77777777" w:rsidR="005E7495" w:rsidRPr="007819F6" w:rsidRDefault="005E7495" w:rsidP="00856101">
            <w:pPr>
              <w:spacing w:after="0" w:line="240" w:lineRule="auto"/>
              <w:rPr>
                <w:rFonts w:ascii="Cambria" w:eastAsia="Times New Roman" w:hAnsi="Cambria" w:cs="Calibri"/>
                <w:b/>
                <w:bCs/>
                <w:color w:val="auto"/>
                <w:sz w:val="18"/>
                <w:szCs w:val="18"/>
                <w:lang w:eastAsia="en-AU"/>
              </w:rPr>
            </w:pPr>
          </w:p>
        </w:tc>
        <w:tc>
          <w:tcPr>
            <w:tcW w:w="1136" w:type="dxa"/>
            <w:tcBorders>
              <w:top w:val="nil"/>
              <w:left w:val="nil"/>
              <w:bottom w:val="nil"/>
              <w:right w:val="nil"/>
            </w:tcBorders>
            <w:noWrap/>
            <w:vAlign w:val="center"/>
            <w:hideMark/>
          </w:tcPr>
          <w:p w14:paraId="4204AAC3"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center"/>
            <w:hideMark/>
          </w:tcPr>
          <w:p w14:paraId="4817C52B"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2F3E3A7"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171601F" w14:textId="77777777" w:rsidR="005E7495" w:rsidRPr="007819F6"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7819F6" w14:paraId="7F2A7815" w14:textId="77777777" w:rsidTr="00856101">
        <w:trPr>
          <w:trHeight w:val="240"/>
        </w:trPr>
        <w:tc>
          <w:tcPr>
            <w:tcW w:w="3516" w:type="dxa"/>
            <w:tcBorders>
              <w:top w:val="nil"/>
              <w:left w:val="nil"/>
              <w:bottom w:val="nil"/>
              <w:right w:val="nil"/>
            </w:tcBorders>
            <w:hideMark/>
          </w:tcPr>
          <w:p w14:paraId="730CCD71"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xml:space="preserve">  Cash and cash equivalents</w:t>
            </w:r>
          </w:p>
        </w:tc>
        <w:tc>
          <w:tcPr>
            <w:tcW w:w="1136" w:type="dxa"/>
            <w:tcBorders>
              <w:top w:val="nil"/>
              <w:left w:val="nil"/>
              <w:bottom w:val="nil"/>
              <w:right w:val="nil"/>
            </w:tcBorders>
            <w:noWrap/>
            <w:vAlign w:val="center"/>
            <w:hideMark/>
          </w:tcPr>
          <w:p w14:paraId="4D326854"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p>
        </w:tc>
        <w:tc>
          <w:tcPr>
            <w:tcW w:w="1136" w:type="dxa"/>
            <w:tcBorders>
              <w:top w:val="nil"/>
              <w:left w:val="nil"/>
              <w:bottom w:val="nil"/>
              <w:right w:val="nil"/>
            </w:tcBorders>
            <w:noWrap/>
            <w:vAlign w:val="center"/>
            <w:hideMark/>
          </w:tcPr>
          <w:p w14:paraId="21D93728"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center"/>
            <w:hideMark/>
          </w:tcPr>
          <w:p w14:paraId="2525CECD"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shd w:val="clear" w:color="000000" w:fill="FFFFFF"/>
            <w:noWrap/>
            <w:vAlign w:val="bottom"/>
            <w:hideMark/>
          </w:tcPr>
          <w:p w14:paraId="367B5D13" w14:textId="77777777" w:rsidR="005E7495" w:rsidRPr="007819F6" w:rsidRDefault="005E7495" w:rsidP="00856101">
            <w:pPr>
              <w:spacing w:after="0" w:line="240" w:lineRule="auto"/>
              <w:jc w:val="right"/>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 xml:space="preserve">94,415 </w:t>
            </w:r>
          </w:p>
        </w:tc>
        <w:tc>
          <w:tcPr>
            <w:tcW w:w="1176" w:type="dxa"/>
            <w:tcBorders>
              <w:top w:val="nil"/>
              <w:left w:val="nil"/>
              <w:bottom w:val="nil"/>
              <w:right w:val="nil"/>
            </w:tcBorders>
            <w:shd w:val="clear" w:color="000000" w:fill="FFFFFF"/>
            <w:noWrap/>
            <w:vAlign w:val="bottom"/>
            <w:hideMark/>
          </w:tcPr>
          <w:p w14:paraId="35AE6A22"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xml:space="preserve">74,160 </w:t>
            </w:r>
          </w:p>
        </w:tc>
      </w:tr>
      <w:tr w:rsidR="005E7495" w:rsidRPr="007819F6" w14:paraId="23C27A3E" w14:textId="77777777" w:rsidTr="00856101">
        <w:trPr>
          <w:trHeight w:val="240"/>
        </w:trPr>
        <w:tc>
          <w:tcPr>
            <w:tcW w:w="3516" w:type="dxa"/>
            <w:tcBorders>
              <w:top w:val="nil"/>
              <w:left w:val="nil"/>
              <w:bottom w:val="nil"/>
              <w:right w:val="nil"/>
            </w:tcBorders>
            <w:hideMark/>
          </w:tcPr>
          <w:p w14:paraId="1B4DC6C0"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xml:space="preserve">  Trade and other receivables</w:t>
            </w:r>
          </w:p>
        </w:tc>
        <w:tc>
          <w:tcPr>
            <w:tcW w:w="1136" w:type="dxa"/>
            <w:tcBorders>
              <w:top w:val="nil"/>
              <w:left w:val="nil"/>
              <w:bottom w:val="nil"/>
              <w:right w:val="nil"/>
            </w:tcBorders>
            <w:noWrap/>
            <w:vAlign w:val="center"/>
            <w:hideMark/>
          </w:tcPr>
          <w:p w14:paraId="11CE76D0"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p>
        </w:tc>
        <w:tc>
          <w:tcPr>
            <w:tcW w:w="1136" w:type="dxa"/>
            <w:tcBorders>
              <w:top w:val="nil"/>
              <w:left w:val="nil"/>
              <w:bottom w:val="nil"/>
              <w:right w:val="nil"/>
            </w:tcBorders>
            <w:noWrap/>
            <w:vAlign w:val="center"/>
            <w:hideMark/>
          </w:tcPr>
          <w:p w14:paraId="38B0D2D8"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center"/>
            <w:hideMark/>
          </w:tcPr>
          <w:p w14:paraId="729574AB"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AA9B9E8" w14:textId="77777777" w:rsidR="005E7495" w:rsidRPr="007819F6" w:rsidRDefault="005E7495" w:rsidP="00856101">
            <w:pPr>
              <w:spacing w:after="0" w:line="240" w:lineRule="auto"/>
              <w:jc w:val="right"/>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 xml:space="preserve">345 </w:t>
            </w:r>
          </w:p>
        </w:tc>
        <w:tc>
          <w:tcPr>
            <w:tcW w:w="1176" w:type="dxa"/>
            <w:tcBorders>
              <w:top w:val="nil"/>
              <w:left w:val="nil"/>
              <w:bottom w:val="nil"/>
              <w:right w:val="nil"/>
            </w:tcBorders>
            <w:noWrap/>
            <w:vAlign w:val="bottom"/>
            <w:hideMark/>
          </w:tcPr>
          <w:p w14:paraId="0C4DE7CE"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xml:space="preserve">374 </w:t>
            </w:r>
          </w:p>
        </w:tc>
      </w:tr>
      <w:tr w:rsidR="005E7495" w:rsidRPr="007819F6" w14:paraId="1C9A46E8" w14:textId="77777777" w:rsidTr="00856101">
        <w:trPr>
          <w:trHeight w:val="240"/>
        </w:trPr>
        <w:tc>
          <w:tcPr>
            <w:tcW w:w="3516" w:type="dxa"/>
            <w:tcBorders>
              <w:top w:val="nil"/>
              <w:left w:val="nil"/>
              <w:bottom w:val="nil"/>
              <w:right w:val="nil"/>
            </w:tcBorders>
            <w:noWrap/>
            <w:vAlign w:val="center"/>
            <w:hideMark/>
          </w:tcPr>
          <w:p w14:paraId="76D85D09" w14:textId="77777777" w:rsidR="005E7495" w:rsidRPr="007819F6" w:rsidRDefault="005E7495" w:rsidP="00856101">
            <w:pPr>
              <w:spacing w:after="0" w:line="240" w:lineRule="auto"/>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Total financial assets at amortised cost</w:t>
            </w:r>
          </w:p>
        </w:tc>
        <w:tc>
          <w:tcPr>
            <w:tcW w:w="1136" w:type="dxa"/>
            <w:tcBorders>
              <w:top w:val="nil"/>
              <w:left w:val="nil"/>
              <w:bottom w:val="nil"/>
              <w:right w:val="nil"/>
            </w:tcBorders>
            <w:noWrap/>
            <w:vAlign w:val="center"/>
            <w:hideMark/>
          </w:tcPr>
          <w:p w14:paraId="65760B2B" w14:textId="77777777" w:rsidR="005E7495" w:rsidRPr="007819F6" w:rsidRDefault="005E7495" w:rsidP="00856101">
            <w:pPr>
              <w:spacing w:after="0" w:line="240" w:lineRule="auto"/>
              <w:rPr>
                <w:rFonts w:ascii="Cambria" w:eastAsia="Times New Roman" w:hAnsi="Cambria" w:cs="Calibri"/>
                <w:b/>
                <w:bCs/>
                <w:color w:val="auto"/>
                <w:sz w:val="18"/>
                <w:szCs w:val="18"/>
                <w:lang w:eastAsia="en-AU"/>
              </w:rPr>
            </w:pPr>
          </w:p>
        </w:tc>
        <w:tc>
          <w:tcPr>
            <w:tcW w:w="1136" w:type="dxa"/>
            <w:tcBorders>
              <w:top w:val="nil"/>
              <w:left w:val="nil"/>
              <w:bottom w:val="nil"/>
              <w:right w:val="nil"/>
            </w:tcBorders>
            <w:noWrap/>
            <w:vAlign w:val="center"/>
            <w:hideMark/>
          </w:tcPr>
          <w:p w14:paraId="7C9755D9"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center"/>
            <w:hideMark/>
          </w:tcPr>
          <w:p w14:paraId="54C54EE1"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single" w:sz="4" w:space="0" w:color="auto"/>
              <w:left w:val="nil"/>
              <w:bottom w:val="single" w:sz="4" w:space="0" w:color="auto"/>
              <w:right w:val="nil"/>
            </w:tcBorders>
            <w:noWrap/>
            <w:vAlign w:val="bottom"/>
            <w:hideMark/>
          </w:tcPr>
          <w:p w14:paraId="3070010E" w14:textId="77777777" w:rsidR="005E7495" w:rsidRPr="007819F6" w:rsidRDefault="005E7495" w:rsidP="00856101">
            <w:pPr>
              <w:spacing w:after="0" w:line="240" w:lineRule="auto"/>
              <w:jc w:val="right"/>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 xml:space="preserve">94,760 </w:t>
            </w:r>
          </w:p>
        </w:tc>
        <w:tc>
          <w:tcPr>
            <w:tcW w:w="1176" w:type="dxa"/>
            <w:tcBorders>
              <w:top w:val="single" w:sz="4" w:space="0" w:color="auto"/>
              <w:left w:val="nil"/>
              <w:bottom w:val="single" w:sz="4" w:space="0" w:color="auto"/>
              <w:right w:val="nil"/>
            </w:tcBorders>
            <w:noWrap/>
            <w:vAlign w:val="bottom"/>
            <w:hideMark/>
          </w:tcPr>
          <w:p w14:paraId="53E53E77"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xml:space="preserve">74,534 </w:t>
            </w:r>
          </w:p>
        </w:tc>
      </w:tr>
      <w:tr w:rsidR="005E7495" w:rsidRPr="007819F6" w14:paraId="7C89D994" w14:textId="77777777" w:rsidTr="00856101">
        <w:trPr>
          <w:trHeight w:val="165"/>
        </w:trPr>
        <w:tc>
          <w:tcPr>
            <w:tcW w:w="3516" w:type="dxa"/>
            <w:tcBorders>
              <w:top w:val="nil"/>
              <w:left w:val="nil"/>
              <w:bottom w:val="nil"/>
              <w:right w:val="nil"/>
            </w:tcBorders>
            <w:noWrap/>
            <w:vAlign w:val="center"/>
            <w:hideMark/>
          </w:tcPr>
          <w:p w14:paraId="659EE66E"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p>
        </w:tc>
        <w:tc>
          <w:tcPr>
            <w:tcW w:w="1136" w:type="dxa"/>
            <w:tcBorders>
              <w:top w:val="nil"/>
              <w:left w:val="nil"/>
              <w:bottom w:val="nil"/>
              <w:right w:val="nil"/>
            </w:tcBorders>
            <w:noWrap/>
            <w:vAlign w:val="center"/>
            <w:hideMark/>
          </w:tcPr>
          <w:p w14:paraId="1BFAF3FD"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center"/>
            <w:hideMark/>
          </w:tcPr>
          <w:p w14:paraId="056EE537"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center"/>
            <w:hideMark/>
          </w:tcPr>
          <w:p w14:paraId="0A5C1A38"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A668268"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9A57BC4" w14:textId="77777777" w:rsidR="005E7495" w:rsidRPr="007819F6"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7819F6" w14:paraId="6F869AE0" w14:textId="77777777" w:rsidTr="00856101">
        <w:trPr>
          <w:trHeight w:val="240"/>
        </w:trPr>
        <w:tc>
          <w:tcPr>
            <w:tcW w:w="4652" w:type="dxa"/>
            <w:gridSpan w:val="2"/>
            <w:tcBorders>
              <w:top w:val="nil"/>
              <w:left w:val="nil"/>
              <w:bottom w:val="nil"/>
              <w:right w:val="nil"/>
            </w:tcBorders>
            <w:noWrap/>
            <w:vAlign w:val="bottom"/>
            <w:hideMark/>
          </w:tcPr>
          <w:p w14:paraId="4F6CF8A1" w14:textId="77777777" w:rsidR="005E7495" w:rsidRPr="007819F6" w:rsidRDefault="005E7495" w:rsidP="00856101">
            <w:pPr>
              <w:spacing w:after="0" w:line="240" w:lineRule="auto"/>
              <w:rPr>
                <w:rFonts w:ascii="Cambria" w:eastAsia="Times New Roman" w:hAnsi="Cambria" w:cs="Calibri"/>
                <w:b/>
                <w:bCs/>
                <w:color w:val="auto"/>
                <w:sz w:val="18"/>
                <w:szCs w:val="18"/>
                <w:u w:val="single"/>
                <w:lang w:eastAsia="en-AU"/>
              </w:rPr>
            </w:pPr>
            <w:r w:rsidRPr="007819F6">
              <w:rPr>
                <w:rFonts w:ascii="Cambria" w:eastAsia="Times New Roman" w:hAnsi="Cambria" w:cs="Calibri"/>
                <w:b/>
                <w:bCs/>
                <w:color w:val="auto"/>
                <w:sz w:val="18"/>
                <w:szCs w:val="18"/>
                <w:u w:val="single"/>
                <w:lang w:eastAsia="en-AU"/>
              </w:rPr>
              <w:t>Note 4.2B: Financial instruments (liabilities)</w:t>
            </w:r>
          </w:p>
        </w:tc>
        <w:tc>
          <w:tcPr>
            <w:tcW w:w="1136" w:type="dxa"/>
            <w:tcBorders>
              <w:top w:val="nil"/>
              <w:left w:val="nil"/>
              <w:bottom w:val="nil"/>
              <w:right w:val="nil"/>
            </w:tcBorders>
            <w:noWrap/>
            <w:vAlign w:val="bottom"/>
            <w:hideMark/>
          </w:tcPr>
          <w:p w14:paraId="228B07B1" w14:textId="77777777" w:rsidR="005E7495" w:rsidRPr="007819F6" w:rsidRDefault="005E7495" w:rsidP="00856101">
            <w:pPr>
              <w:spacing w:after="0" w:line="240" w:lineRule="auto"/>
              <w:rPr>
                <w:rFonts w:ascii="Cambria" w:eastAsia="Times New Roman" w:hAnsi="Cambria" w:cs="Calibri"/>
                <w:b/>
                <w:bCs/>
                <w:color w:val="auto"/>
                <w:sz w:val="18"/>
                <w:szCs w:val="18"/>
                <w:u w:val="single"/>
                <w:lang w:eastAsia="en-AU"/>
              </w:rPr>
            </w:pPr>
          </w:p>
        </w:tc>
        <w:tc>
          <w:tcPr>
            <w:tcW w:w="1136" w:type="dxa"/>
            <w:tcBorders>
              <w:top w:val="nil"/>
              <w:left w:val="nil"/>
              <w:bottom w:val="nil"/>
              <w:right w:val="nil"/>
            </w:tcBorders>
            <w:noWrap/>
            <w:vAlign w:val="bottom"/>
            <w:hideMark/>
          </w:tcPr>
          <w:p w14:paraId="4AB2C48D"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72B385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01DBA72" w14:textId="77777777" w:rsidR="005E7495" w:rsidRPr="007819F6"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7819F6" w14:paraId="39782C6B" w14:textId="77777777" w:rsidTr="00856101">
        <w:trPr>
          <w:trHeight w:val="240"/>
        </w:trPr>
        <w:tc>
          <w:tcPr>
            <w:tcW w:w="4652" w:type="dxa"/>
            <w:gridSpan w:val="2"/>
            <w:tcBorders>
              <w:top w:val="nil"/>
              <w:left w:val="nil"/>
              <w:bottom w:val="nil"/>
              <w:right w:val="nil"/>
            </w:tcBorders>
            <w:noWrap/>
            <w:vAlign w:val="center"/>
            <w:hideMark/>
          </w:tcPr>
          <w:p w14:paraId="19F0800F" w14:textId="77777777" w:rsidR="005E7495" w:rsidRPr="007819F6" w:rsidRDefault="005E7495" w:rsidP="00856101">
            <w:pPr>
              <w:spacing w:after="0" w:line="240" w:lineRule="auto"/>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Financial liabilities measured at amortised cost</w:t>
            </w:r>
          </w:p>
        </w:tc>
        <w:tc>
          <w:tcPr>
            <w:tcW w:w="1136" w:type="dxa"/>
            <w:tcBorders>
              <w:top w:val="nil"/>
              <w:left w:val="nil"/>
              <w:bottom w:val="nil"/>
              <w:right w:val="nil"/>
            </w:tcBorders>
            <w:noWrap/>
            <w:vAlign w:val="center"/>
            <w:hideMark/>
          </w:tcPr>
          <w:p w14:paraId="3A6D7C84" w14:textId="77777777" w:rsidR="005E7495" w:rsidRPr="007819F6" w:rsidRDefault="005E7495" w:rsidP="00856101">
            <w:pPr>
              <w:spacing w:after="0" w:line="240" w:lineRule="auto"/>
              <w:rPr>
                <w:rFonts w:ascii="Cambria" w:eastAsia="Times New Roman" w:hAnsi="Cambria" w:cs="Calibri"/>
                <w:b/>
                <w:bCs/>
                <w:color w:val="auto"/>
                <w:sz w:val="18"/>
                <w:szCs w:val="18"/>
                <w:lang w:eastAsia="en-AU"/>
              </w:rPr>
            </w:pPr>
          </w:p>
        </w:tc>
        <w:tc>
          <w:tcPr>
            <w:tcW w:w="1136" w:type="dxa"/>
            <w:tcBorders>
              <w:top w:val="nil"/>
              <w:left w:val="nil"/>
              <w:bottom w:val="nil"/>
              <w:right w:val="nil"/>
            </w:tcBorders>
            <w:noWrap/>
            <w:vAlign w:val="center"/>
            <w:hideMark/>
          </w:tcPr>
          <w:p w14:paraId="154EAF38"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6A4B3F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798BC2E" w14:textId="77777777" w:rsidR="005E7495" w:rsidRPr="007819F6"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7819F6" w14:paraId="7A4C9F5E" w14:textId="77777777" w:rsidTr="00856101">
        <w:trPr>
          <w:trHeight w:val="240"/>
        </w:trPr>
        <w:tc>
          <w:tcPr>
            <w:tcW w:w="3516" w:type="dxa"/>
            <w:tcBorders>
              <w:top w:val="nil"/>
              <w:left w:val="nil"/>
              <w:bottom w:val="nil"/>
              <w:right w:val="nil"/>
            </w:tcBorders>
            <w:hideMark/>
          </w:tcPr>
          <w:p w14:paraId="524CDA83"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xml:space="preserve">  Trade creditors and accruals</w:t>
            </w:r>
          </w:p>
        </w:tc>
        <w:tc>
          <w:tcPr>
            <w:tcW w:w="1136" w:type="dxa"/>
            <w:tcBorders>
              <w:top w:val="nil"/>
              <w:left w:val="nil"/>
              <w:bottom w:val="nil"/>
              <w:right w:val="nil"/>
            </w:tcBorders>
            <w:noWrap/>
            <w:vAlign w:val="center"/>
            <w:hideMark/>
          </w:tcPr>
          <w:p w14:paraId="6967C507"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p>
        </w:tc>
        <w:tc>
          <w:tcPr>
            <w:tcW w:w="1136" w:type="dxa"/>
            <w:tcBorders>
              <w:top w:val="nil"/>
              <w:left w:val="nil"/>
              <w:bottom w:val="nil"/>
              <w:right w:val="nil"/>
            </w:tcBorders>
            <w:noWrap/>
            <w:vAlign w:val="center"/>
            <w:hideMark/>
          </w:tcPr>
          <w:p w14:paraId="4CFE9DE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center"/>
            <w:hideMark/>
          </w:tcPr>
          <w:p w14:paraId="5EFC39C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D423EA0" w14:textId="77777777" w:rsidR="005E7495" w:rsidRPr="007819F6" w:rsidRDefault="005E7495" w:rsidP="00856101">
            <w:pPr>
              <w:spacing w:after="0" w:line="240" w:lineRule="auto"/>
              <w:jc w:val="right"/>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 xml:space="preserve">3,675 </w:t>
            </w:r>
          </w:p>
        </w:tc>
        <w:tc>
          <w:tcPr>
            <w:tcW w:w="1176" w:type="dxa"/>
            <w:tcBorders>
              <w:top w:val="nil"/>
              <w:left w:val="nil"/>
              <w:bottom w:val="nil"/>
              <w:right w:val="nil"/>
            </w:tcBorders>
            <w:noWrap/>
            <w:vAlign w:val="bottom"/>
            <w:hideMark/>
          </w:tcPr>
          <w:p w14:paraId="416928BD"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xml:space="preserve">2,337 </w:t>
            </w:r>
          </w:p>
        </w:tc>
      </w:tr>
      <w:tr w:rsidR="005E7495" w:rsidRPr="007819F6" w14:paraId="219CFD31" w14:textId="77777777" w:rsidTr="00856101">
        <w:trPr>
          <w:trHeight w:val="267"/>
        </w:trPr>
        <w:tc>
          <w:tcPr>
            <w:tcW w:w="4652" w:type="dxa"/>
            <w:gridSpan w:val="2"/>
            <w:tcBorders>
              <w:top w:val="nil"/>
              <w:left w:val="nil"/>
              <w:bottom w:val="nil"/>
              <w:right w:val="nil"/>
            </w:tcBorders>
            <w:noWrap/>
            <w:hideMark/>
          </w:tcPr>
          <w:p w14:paraId="688AC8A4"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xml:space="preserve">  Contract liabilities from contracts with customers</w:t>
            </w:r>
          </w:p>
        </w:tc>
        <w:tc>
          <w:tcPr>
            <w:tcW w:w="1136" w:type="dxa"/>
            <w:tcBorders>
              <w:top w:val="nil"/>
              <w:left w:val="nil"/>
              <w:bottom w:val="nil"/>
              <w:right w:val="nil"/>
            </w:tcBorders>
            <w:noWrap/>
            <w:vAlign w:val="center"/>
            <w:hideMark/>
          </w:tcPr>
          <w:p w14:paraId="2F402035" w14:textId="77777777" w:rsidR="005E7495" w:rsidRPr="007819F6" w:rsidRDefault="005E7495" w:rsidP="00856101">
            <w:pPr>
              <w:spacing w:after="0" w:line="240" w:lineRule="auto"/>
              <w:rPr>
                <w:rFonts w:ascii="Cambria" w:eastAsia="Times New Roman" w:hAnsi="Cambria" w:cs="Calibri"/>
                <w:color w:val="auto"/>
                <w:sz w:val="18"/>
                <w:szCs w:val="18"/>
                <w:lang w:eastAsia="en-AU"/>
              </w:rPr>
            </w:pPr>
          </w:p>
        </w:tc>
        <w:tc>
          <w:tcPr>
            <w:tcW w:w="1136" w:type="dxa"/>
            <w:tcBorders>
              <w:top w:val="nil"/>
              <w:left w:val="nil"/>
              <w:bottom w:val="nil"/>
              <w:right w:val="nil"/>
            </w:tcBorders>
            <w:noWrap/>
            <w:vAlign w:val="center"/>
            <w:hideMark/>
          </w:tcPr>
          <w:p w14:paraId="4A2068EB" w14:textId="77777777" w:rsidR="005E7495" w:rsidRPr="007819F6" w:rsidRDefault="005E7495" w:rsidP="00856101">
            <w:pPr>
              <w:spacing w:after="0" w:line="240" w:lineRule="auto"/>
              <w:ind w:firstLineChars="200" w:firstLine="400"/>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865ED24" w14:textId="77777777" w:rsidR="005E7495" w:rsidRPr="007819F6" w:rsidRDefault="005E7495" w:rsidP="00856101">
            <w:pPr>
              <w:spacing w:after="0" w:line="240" w:lineRule="auto"/>
              <w:jc w:val="right"/>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 xml:space="preserve"> - </w:t>
            </w:r>
          </w:p>
        </w:tc>
        <w:tc>
          <w:tcPr>
            <w:tcW w:w="1176" w:type="dxa"/>
            <w:tcBorders>
              <w:top w:val="nil"/>
              <w:left w:val="nil"/>
              <w:bottom w:val="nil"/>
              <w:right w:val="nil"/>
            </w:tcBorders>
            <w:noWrap/>
            <w:vAlign w:val="bottom"/>
            <w:hideMark/>
          </w:tcPr>
          <w:p w14:paraId="59475BE3"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xml:space="preserve">98 </w:t>
            </w:r>
          </w:p>
        </w:tc>
      </w:tr>
      <w:tr w:rsidR="005E7495" w:rsidRPr="007819F6" w14:paraId="479C5662" w14:textId="77777777" w:rsidTr="00856101">
        <w:trPr>
          <w:trHeight w:val="240"/>
        </w:trPr>
        <w:tc>
          <w:tcPr>
            <w:tcW w:w="5788" w:type="dxa"/>
            <w:gridSpan w:val="3"/>
            <w:tcBorders>
              <w:top w:val="nil"/>
              <w:left w:val="nil"/>
              <w:bottom w:val="nil"/>
              <w:right w:val="nil"/>
            </w:tcBorders>
            <w:noWrap/>
            <w:vAlign w:val="bottom"/>
            <w:hideMark/>
          </w:tcPr>
          <w:p w14:paraId="1EA9FF98" w14:textId="77777777" w:rsidR="005E7495" w:rsidRPr="007819F6" w:rsidRDefault="005E7495" w:rsidP="00856101">
            <w:pPr>
              <w:spacing w:after="0" w:line="240" w:lineRule="auto"/>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Total financial liabilities measured at amortised cost</w:t>
            </w:r>
          </w:p>
        </w:tc>
        <w:tc>
          <w:tcPr>
            <w:tcW w:w="1136" w:type="dxa"/>
            <w:tcBorders>
              <w:top w:val="nil"/>
              <w:left w:val="nil"/>
              <w:bottom w:val="nil"/>
              <w:right w:val="nil"/>
            </w:tcBorders>
            <w:noWrap/>
            <w:vAlign w:val="bottom"/>
            <w:hideMark/>
          </w:tcPr>
          <w:p w14:paraId="7ABF25EF" w14:textId="77777777" w:rsidR="005E7495" w:rsidRPr="007819F6" w:rsidRDefault="005E7495" w:rsidP="00856101">
            <w:pPr>
              <w:spacing w:after="0" w:line="240" w:lineRule="auto"/>
              <w:rPr>
                <w:rFonts w:ascii="Cambria" w:eastAsia="Times New Roman" w:hAnsi="Cambria" w:cs="Calibri"/>
                <w:b/>
                <w:bCs/>
                <w:color w:val="auto"/>
                <w:sz w:val="18"/>
                <w:szCs w:val="18"/>
                <w:lang w:eastAsia="en-AU"/>
              </w:rPr>
            </w:pPr>
          </w:p>
        </w:tc>
        <w:tc>
          <w:tcPr>
            <w:tcW w:w="1176" w:type="dxa"/>
            <w:tcBorders>
              <w:top w:val="single" w:sz="4" w:space="0" w:color="auto"/>
              <w:left w:val="nil"/>
              <w:bottom w:val="single" w:sz="4" w:space="0" w:color="auto"/>
              <w:right w:val="nil"/>
            </w:tcBorders>
            <w:noWrap/>
            <w:vAlign w:val="bottom"/>
            <w:hideMark/>
          </w:tcPr>
          <w:p w14:paraId="121F391D" w14:textId="77777777" w:rsidR="005E7495" w:rsidRPr="007819F6" w:rsidRDefault="005E7495" w:rsidP="00856101">
            <w:pPr>
              <w:spacing w:after="0" w:line="240" w:lineRule="auto"/>
              <w:jc w:val="right"/>
              <w:rPr>
                <w:rFonts w:ascii="Cambria" w:eastAsia="Times New Roman" w:hAnsi="Cambria" w:cs="Calibri"/>
                <w:b/>
                <w:bCs/>
                <w:color w:val="auto"/>
                <w:sz w:val="18"/>
                <w:szCs w:val="18"/>
                <w:lang w:eastAsia="en-AU"/>
              </w:rPr>
            </w:pPr>
            <w:r w:rsidRPr="007819F6">
              <w:rPr>
                <w:rFonts w:ascii="Cambria" w:eastAsia="Times New Roman" w:hAnsi="Cambria" w:cs="Calibri"/>
                <w:b/>
                <w:bCs/>
                <w:color w:val="auto"/>
                <w:sz w:val="18"/>
                <w:szCs w:val="18"/>
                <w:lang w:eastAsia="en-AU"/>
              </w:rPr>
              <w:t xml:space="preserve">3,675 </w:t>
            </w:r>
          </w:p>
        </w:tc>
        <w:tc>
          <w:tcPr>
            <w:tcW w:w="1176" w:type="dxa"/>
            <w:tcBorders>
              <w:top w:val="single" w:sz="4" w:space="0" w:color="auto"/>
              <w:left w:val="nil"/>
              <w:bottom w:val="single" w:sz="4" w:space="0" w:color="auto"/>
              <w:right w:val="nil"/>
            </w:tcBorders>
            <w:noWrap/>
            <w:vAlign w:val="bottom"/>
            <w:hideMark/>
          </w:tcPr>
          <w:p w14:paraId="52DEC79B"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r w:rsidRPr="007819F6">
              <w:rPr>
                <w:rFonts w:ascii="Cambria" w:eastAsia="Times New Roman" w:hAnsi="Cambria" w:cs="Calibri"/>
                <w:color w:val="auto"/>
                <w:sz w:val="18"/>
                <w:szCs w:val="18"/>
                <w:lang w:eastAsia="en-AU"/>
              </w:rPr>
              <w:t xml:space="preserve">2,435 </w:t>
            </w:r>
          </w:p>
        </w:tc>
      </w:tr>
      <w:tr w:rsidR="005E7495" w:rsidRPr="007819F6" w14:paraId="55F6B8FC" w14:textId="77777777" w:rsidTr="00856101">
        <w:trPr>
          <w:trHeight w:val="240"/>
        </w:trPr>
        <w:tc>
          <w:tcPr>
            <w:tcW w:w="3516" w:type="dxa"/>
            <w:tcBorders>
              <w:top w:val="nil"/>
              <w:left w:val="nil"/>
              <w:bottom w:val="nil"/>
              <w:right w:val="nil"/>
            </w:tcBorders>
            <w:noWrap/>
            <w:vAlign w:val="bottom"/>
            <w:hideMark/>
          </w:tcPr>
          <w:p w14:paraId="53AAB59B" w14:textId="77777777" w:rsidR="005E7495" w:rsidRPr="007819F6" w:rsidRDefault="005E7495" w:rsidP="00856101">
            <w:pPr>
              <w:spacing w:after="0" w:line="240" w:lineRule="auto"/>
              <w:jc w:val="right"/>
              <w:rPr>
                <w:rFonts w:ascii="Cambria" w:eastAsia="Times New Roman" w:hAnsi="Cambria" w:cs="Calibri"/>
                <w:color w:val="auto"/>
                <w:sz w:val="18"/>
                <w:szCs w:val="18"/>
                <w:lang w:eastAsia="en-AU"/>
              </w:rPr>
            </w:pPr>
          </w:p>
        </w:tc>
        <w:tc>
          <w:tcPr>
            <w:tcW w:w="1136" w:type="dxa"/>
            <w:tcBorders>
              <w:top w:val="nil"/>
              <w:left w:val="nil"/>
              <w:bottom w:val="nil"/>
              <w:right w:val="nil"/>
            </w:tcBorders>
            <w:noWrap/>
            <w:vAlign w:val="bottom"/>
            <w:hideMark/>
          </w:tcPr>
          <w:p w14:paraId="5705EA80"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9021F9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183D88E"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A175F2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DA960E3" w14:textId="77777777" w:rsidR="005E7495" w:rsidRPr="007819F6"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7819F6" w14:paraId="55065C13" w14:textId="77777777" w:rsidTr="00856101">
        <w:trPr>
          <w:trHeight w:val="135"/>
        </w:trPr>
        <w:tc>
          <w:tcPr>
            <w:tcW w:w="3516" w:type="dxa"/>
            <w:tcBorders>
              <w:top w:val="nil"/>
              <w:left w:val="nil"/>
              <w:bottom w:val="nil"/>
              <w:right w:val="nil"/>
            </w:tcBorders>
            <w:noWrap/>
            <w:vAlign w:val="bottom"/>
            <w:hideMark/>
          </w:tcPr>
          <w:p w14:paraId="75237130" w14:textId="77777777" w:rsidR="005E7495" w:rsidRPr="007819F6" w:rsidRDefault="005E7495" w:rsidP="00856101">
            <w:pPr>
              <w:spacing w:after="0" w:line="240" w:lineRule="auto"/>
              <w:rPr>
                <w:rFonts w:ascii="Calibri" w:eastAsia="Times New Roman" w:hAnsi="Calibri" w:cs="Calibri"/>
                <w:color w:val="000000"/>
                <w:lang w:eastAsia="en-AU"/>
              </w:rPr>
            </w:pPr>
            <w:r w:rsidRPr="007819F6">
              <w:rPr>
                <w:rFonts w:ascii="Calibri" w:eastAsia="Times New Roman" w:hAnsi="Calibri" w:cs="Calibri"/>
                <w:noProof/>
                <w:color w:val="000000"/>
                <w:lang w:eastAsia="en-AU"/>
              </w:rPr>
              <mc:AlternateContent>
                <mc:Choice Requires="wps">
                  <w:drawing>
                    <wp:anchor distT="0" distB="0" distL="114300" distR="114300" simplePos="0" relativeHeight="251719680" behindDoc="0" locked="0" layoutInCell="1" allowOverlap="1" wp14:anchorId="5F099AA1" wp14:editId="0E7E0056">
                      <wp:simplePos x="0" y="0"/>
                      <wp:positionH relativeFrom="column">
                        <wp:posOffset>41910</wp:posOffset>
                      </wp:positionH>
                      <wp:positionV relativeFrom="paragraph">
                        <wp:posOffset>38100</wp:posOffset>
                      </wp:positionV>
                      <wp:extent cx="5829935" cy="5334000"/>
                      <wp:effectExtent l="0" t="0" r="18415" b="19050"/>
                      <wp:wrapNone/>
                      <wp:docPr id="935570203" name="Text Box 77">
                        <a:extLst xmlns:a="http://schemas.openxmlformats.org/drawingml/2006/main">
                          <a:ext uri="{FF2B5EF4-FFF2-40B4-BE49-F238E27FC236}">
                            <a16:creationId xmlns:a16="http://schemas.microsoft.com/office/drawing/2014/main" id="{00000000-0008-0000-1900-00000C000000}"/>
                          </a:ext>
                        </a:extLst>
                      </wp:docPr>
                      <wp:cNvGraphicFramePr/>
                      <a:graphic xmlns:a="http://schemas.openxmlformats.org/drawingml/2006/main">
                        <a:graphicData uri="http://schemas.microsoft.com/office/word/2010/wordprocessingShape">
                          <wps:wsp>
                            <wps:cNvSpPr txBox="1"/>
                            <wps:spPr>
                              <a:xfrm>
                                <a:off x="0" y="0"/>
                                <a:ext cx="5829935" cy="5334000"/>
                              </a:xfrm>
                              <a:prstGeom prst="rect">
                                <a:avLst/>
                              </a:prstGeom>
                              <a:noFill/>
                              <a:ln w="12700" cap="flat" cmpd="sng" algn="ctr">
                                <a:solidFill>
                                  <a:srgbClr val="009560"/>
                                </a:solidFill>
                                <a:prstDash val="solid"/>
                                <a:round/>
                                <a:headEnd type="none" w="med" len="med"/>
                                <a:tailEnd type="none" w="med" len="med"/>
                              </a:ln>
                              <a:effectLst/>
                            </wps:spPr>
                            <wps:txbx>
                              <w:txbxContent>
                                <w:p w14:paraId="1F1B3BCF" w14:textId="77777777" w:rsidR="005E7495" w:rsidRPr="00067431" w:rsidRDefault="005E7495" w:rsidP="005E7495">
                                  <w:pPr>
                                    <w:spacing w:after="0"/>
                                    <w:rPr>
                                      <w:rFonts w:cs="Arial"/>
                                      <w:b/>
                                      <w:bCs/>
                                      <w:sz w:val="18"/>
                                      <w:szCs w:val="18"/>
                                    </w:rPr>
                                  </w:pPr>
                                  <w:r w:rsidRPr="00067431">
                                    <w:rPr>
                                      <w:rFonts w:cs="Arial"/>
                                      <w:b/>
                                      <w:bCs/>
                                      <w:sz w:val="18"/>
                                      <w:szCs w:val="18"/>
                                    </w:rPr>
                                    <w:t>Accounting Policy</w:t>
                                  </w:r>
                                </w:p>
                                <w:p w14:paraId="72D232E9" w14:textId="77777777" w:rsidR="005E7495" w:rsidRPr="00067431" w:rsidRDefault="005E7495" w:rsidP="005E7495">
                                  <w:pPr>
                                    <w:spacing w:after="0"/>
                                    <w:rPr>
                                      <w:rFonts w:cs="Arial"/>
                                      <w:b/>
                                      <w:bCs/>
                                      <w:sz w:val="18"/>
                                      <w:szCs w:val="18"/>
                                    </w:rPr>
                                  </w:pPr>
                                  <w:r w:rsidRPr="00067431">
                                    <w:rPr>
                                      <w:rFonts w:cs="Arial"/>
                                      <w:b/>
                                      <w:bCs/>
                                      <w:sz w:val="18"/>
                                      <w:szCs w:val="18"/>
                                    </w:rPr>
                                    <w:t>Cash and cash equivalents</w:t>
                                  </w:r>
                                </w:p>
                                <w:p w14:paraId="04F81620" w14:textId="77777777" w:rsidR="005E7495" w:rsidRPr="00067431" w:rsidRDefault="005E7495" w:rsidP="005E7495">
                                  <w:pPr>
                                    <w:spacing w:after="0"/>
                                    <w:rPr>
                                      <w:rFonts w:cs="Arial"/>
                                      <w:sz w:val="18"/>
                                      <w:szCs w:val="18"/>
                                    </w:rPr>
                                  </w:pPr>
                                  <w:r w:rsidRPr="00067431">
                                    <w:rPr>
                                      <w:rFonts w:cs="Arial"/>
                                      <w:sz w:val="18"/>
                                      <w:szCs w:val="18"/>
                                    </w:rPr>
                                    <w:t xml:space="preserve">Cash is recognised at its nominal amount. Cash and cash equivalents includes:  </w:t>
                                  </w:r>
                                </w:p>
                                <w:p w14:paraId="3C75784E" w14:textId="77777777" w:rsidR="005E7495" w:rsidRPr="00067431" w:rsidRDefault="005E7495" w:rsidP="005E7495">
                                  <w:pPr>
                                    <w:spacing w:after="0"/>
                                    <w:rPr>
                                      <w:rFonts w:cs="Arial"/>
                                      <w:sz w:val="18"/>
                                      <w:szCs w:val="18"/>
                                    </w:rPr>
                                  </w:pPr>
                                  <w:r w:rsidRPr="00067431">
                                    <w:rPr>
                                      <w:rFonts w:cs="Arial"/>
                                      <w:sz w:val="18"/>
                                      <w:szCs w:val="18"/>
                                    </w:rPr>
                                    <w:t>a) cash on hand, and</w:t>
                                  </w:r>
                                </w:p>
                                <w:p w14:paraId="01952866" w14:textId="77777777" w:rsidR="005E7495" w:rsidRDefault="005E7495" w:rsidP="005E7495">
                                  <w:pPr>
                                    <w:spacing w:after="0"/>
                                    <w:rPr>
                                      <w:rFonts w:cs="Arial"/>
                                      <w:b/>
                                      <w:bCs/>
                                      <w:sz w:val="18"/>
                                      <w:szCs w:val="18"/>
                                    </w:rPr>
                                  </w:pPr>
                                  <w:r w:rsidRPr="00067431">
                                    <w:rPr>
                                      <w:rFonts w:cs="Arial"/>
                                      <w:sz w:val="18"/>
                                      <w:szCs w:val="18"/>
                                    </w:rPr>
                                    <w:t>b) demand deposits in bank accounts with an original maturity of three months or less that are readily convertible to known amounts of cash and subject to insignificant risk of changes in value.</w:t>
                                  </w:r>
                                </w:p>
                                <w:p w14:paraId="523B7F49" w14:textId="77777777" w:rsidR="005E7495" w:rsidRDefault="005E7495" w:rsidP="005E7495">
                                  <w:pPr>
                                    <w:rPr>
                                      <w:rFonts w:cs="Arial"/>
                                      <w:b/>
                                      <w:bCs/>
                                      <w:sz w:val="18"/>
                                      <w:szCs w:val="18"/>
                                    </w:rPr>
                                  </w:pPr>
                                </w:p>
                                <w:p w14:paraId="4F8EF022" w14:textId="77777777" w:rsidR="005E7495" w:rsidRPr="00067431" w:rsidRDefault="005E7495" w:rsidP="005E7495">
                                  <w:pPr>
                                    <w:spacing w:after="0"/>
                                    <w:rPr>
                                      <w:rFonts w:cs="Arial"/>
                                      <w:b/>
                                      <w:bCs/>
                                      <w:sz w:val="18"/>
                                      <w:szCs w:val="18"/>
                                    </w:rPr>
                                  </w:pPr>
                                  <w:r w:rsidRPr="00067431">
                                    <w:rPr>
                                      <w:rFonts w:cs="Arial"/>
                                      <w:b/>
                                      <w:bCs/>
                                      <w:sz w:val="18"/>
                                      <w:szCs w:val="18"/>
                                    </w:rPr>
                                    <w:t>Classification and measurement</w:t>
                                  </w:r>
                                </w:p>
                                <w:p w14:paraId="399F1AC6" w14:textId="77777777" w:rsidR="005E7495" w:rsidRPr="00067431" w:rsidRDefault="005E7495" w:rsidP="005E7495">
                                  <w:pPr>
                                    <w:spacing w:after="0"/>
                                    <w:rPr>
                                      <w:rFonts w:cs="Arial"/>
                                      <w:sz w:val="18"/>
                                      <w:szCs w:val="18"/>
                                    </w:rPr>
                                  </w:pPr>
                                  <w:r w:rsidRPr="00067431">
                                    <w:rPr>
                                      <w:rFonts w:cs="Arial"/>
                                      <w:sz w:val="18"/>
                                      <w:szCs w:val="18"/>
                                    </w:rPr>
                                    <w:t xml:space="preserve">The classification and measurement of IHACPA's financial assets under AASB 9 is determined by its business model for managing its financial assets and the contractual cash flow characteristics of those assets.  </w:t>
                                  </w:r>
                                  <w:r w:rsidRPr="00067431">
                                    <w:rPr>
                                      <w:rFonts w:cs="Arial"/>
                                      <w:sz w:val="18"/>
                                      <w:szCs w:val="18"/>
                                    </w:rPr>
                                    <w:tab/>
                                  </w:r>
                                </w:p>
                                <w:p w14:paraId="27D2F047" w14:textId="77777777" w:rsidR="005E7495" w:rsidRDefault="005E7495" w:rsidP="005E7495">
                                  <w:pPr>
                                    <w:rPr>
                                      <w:rFonts w:cs="Arial"/>
                                      <w:b/>
                                      <w:bCs/>
                                      <w:sz w:val="18"/>
                                      <w:szCs w:val="18"/>
                                    </w:rPr>
                                  </w:pPr>
                                </w:p>
                                <w:p w14:paraId="62589F2B" w14:textId="77777777" w:rsidR="005E7495" w:rsidRPr="00067431" w:rsidRDefault="005E7495" w:rsidP="005E7495">
                                  <w:pPr>
                                    <w:spacing w:after="0"/>
                                    <w:rPr>
                                      <w:rFonts w:cs="Arial"/>
                                      <w:b/>
                                      <w:bCs/>
                                      <w:sz w:val="18"/>
                                      <w:szCs w:val="18"/>
                                    </w:rPr>
                                  </w:pPr>
                                  <w:r w:rsidRPr="00067431">
                                    <w:rPr>
                                      <w:rFonts w:cs="Arial"/>
                                      <w:b/>
                                      <w:bCs/>
                                      <w:sz w:val="18"/>
                                      <w:szCs w:val="18"/>
                                    </w:rPr>
                                    <w:t xml:space="preserve">Financial assets  </w:t>
                                  </w:r>
                                  <w:r w:rsidRPr="00067431">
                                    <w:rPr>
                                      <w:rFonts w:cs="Arial"/>
                                      <w:b/>
                                      <w:bCs/>
                                      <w:sz w:val="18"/>
                                      <w:szCs w:val="18"/>
                                    </w:rPr>
                                    <w:tab/>
                                  </w:r>
                                </w:p>
                                <w:p w14:paraId="7CDF2A7B" w14:textId="77777777" w:rsidR="005E7495" w:rsidRPr="00067431" w:rsidRDefault="005E7495" w:rsidP="005E7495">
                                  <w:pPr>
                                    <w:spacing w:after="0"/>
                                    <w:rPr>
                                      <w:rFonts w:cs="Arial"/>
                                      <w:sz w:val="18"/>
                                      <w:szCs w:val="18"/>
                                    </w:rPr>
                                  </w:pPr>
                                  <w:r w:rsidRPr="00067431">
                                    <w:rPr>
                                      <w:rFonts w:cs="Arial"/>
                                      <w:sz w:val="18"/>
                                      <w:szCs w:val="18"/>
                                    </w:rPr>
                                    <w:t xml:space="preserve">IHACPA's financial assets are comprised of trade receivables and other receivables that are held for the purpose of collecting the contractual cash flows. All of IHACPA's financial assets are measured, and carried, at amortised cost. </w:t>
                                  </w:r>
                                  <w:r w:rsidRPr="00067431">
                                    <w:rPr>
                                      <w:rFonts w:cs="Arial"/>
                                      <w:sz w:val="18"/>
                                      <w:szCs w:val="18"/>
                                    </w:rPr>
                                    <w:tab/>
                                  </w:r>
                                </w:p>
                                <w:p w14:paraId="186DA62D" w14:textId="77777777" w:rsidR="005E7495" w:rsidRDefault="005E7495" w:rsidP="005E7495">
                                  <w:pPr>
                                    <w:rPr>
                                      <w:rFonts w:cs="Arial"/>
                                      <w:b/>
                                      <w:bCs/>
                                      <w:sz w:val="18"/>
                                      <w:szCs w:val="18"/>
                                    </w:rPr>
                                  </w:pPr>
                                </w:p>
                                <w:p w14:paraId="418CB8A1" w14:textId="77777777" w:rsidR="005E7495" w:rsidRPr="00067431" w:rsidRDefault="005E7495" w:rsidP="005E7495">
                                  <w:pPr>
                                    <w:spacing w:after="0"/>
                                    <w:rPr>
                                      <w:rFonts w:cs="Arial"/>
                                      <w:b/>
                                      <w:bCs/>
                                      <w:sz w:val="18"/>
                                      <w:szCs w:val="18"/>
                                    </w:rPr>
                                  </w:pPr>
                                  <w:r w:rsidRPr="00067431">
                                    <w:rPr>
                                      <w:rFonts w:cs="Arial"/>
                                      <w:b/>
                                      <w:bCs/>
                                      <w:sz w:val="18"/>
                                      <w:szCs w:val="18"/>
                                    </w:rPr>
                                    <w:t>Financial liabilities</w:t>
                                  </w:r>
                                </w:p>
                                <w:p w14:paraId="4E93DFBD" w14:textId="77777777" w:rsidR="005E7495" w:rsidRPr="00067431" w:rsidRDefault="005E7495" w:rsidP="005E7495">
                                  <w:pPr>
                                    <w:spacing w:after="0"/>
                                    <w:rPr>
                                      <w:rFonts w:cs="Arial"/>
                                      <w:sz w:val="18"/>
                                      <w:szCs w:val="18"/>
                                    </w:rPr>
                                  </w:pPr>
                                  <w:r w:rsidRPr="00067431">
                                    <w:rPr>
                                      <w:rFonts w:cs="Arial"/>
                                      <w:sz w:val="18"/>
                                      <w:szCs w:val="18"/>
                                    </w:rPr>
                                    <w:t>IHACPA's financial liabilities are measured, and carried, at amortised cost.  Supplier and other payables are recognised to the extent that the goods or services have been received, irrespective of having been invoiced. Lease liabilities are measured using the effective interest method.</w:t>
                                  </w:r>
                                </w:p>
                                <w:p w14:paraId="19FB3B0A" w14:textId="77777777" w:rsidR="005E7495" w:rsidRDefault="005E7495" w:rsidP="005E7495">
                                  <w:pPr>
                                    <w:rPr>
                                      <w:rFonts w:cs="Arial"/>
                                      <w:b/>
                                      <w:bCs/>
                                      <w:sz w:val="18"/>
                                      <w:szCs w:val="18"/>
                                    </w:rPr>
                                  </w:pPr>
                                </w:p>
                                <w:p w14:paraId="5614BF41" w14:textId="77777777" w:rsidR="005E7495" w:rsidRPr="00067431" w:rsidRDefault="005E7495" w:rsidP="005E7495">
                                  <w:pPr>
                                    <w:spacing w:after="0"/>
                                    <w:rPr>
                                      <w:rFonts w:cs="Arial"/>
                                      <w:b/>
                                      <w:bCs/>
                                      <w:sz w:val="18"/>
                                      <w:szCs w:val="18"/>
                                    </w:rPr>
                                  </w:pPr>
                                  <w:r w:rsidRPr="00067431">
                                    <w:rPr>
                                      <w:rFonts w:cs="Arial"/>
                                      <w:b/>
                                      <w:bCs/>
                                      <w:sz w:val="18"/>
                                      <w:szCs w:val="18"/>
                                    </w:rPr>
                                    <w:t>Impairment</w:t>
                                  </w:r>
                                </w:p>
                                <w:p w14:paraId="74FA0B88" w14:textId="77777777" w:rsidR="005E7495" w:rsidRPr="00067431" w:rsidRDefault="005E7495" w:rsidP="005E7495">
                                  <w:pPr>
                                    <w:spacing w:after="0"/>
                                    <w:rPr>
                                      <w:rFonts w:cs="Arial"/>
                                      <w:sz w:val="18"/>
                                      <w:szCs w:val="18"/>
                                    </w:rPr>
                                  </w:pPr>
                                  <w:r w:rsidRPr="00067431">
                                    <w:rPr>
                                      <w:rFonts w:cs="Arial"/>
                                      <w:sz w:val="18"/>
                                      <w:szCs w:val="18"/>
                                    </w:rPr>
                                    <w:t>AASB 9 requires IHACPA to impair its financial assets by applying the 'expected credit losses' (ECL) model.  IHACPA has taken advantage of the practical expedient which allows the use of a Provision Matrix to calculate expected credit losses on trade receivables.  IHACPA has assessed the loss allowance for its financial assets at an amount equal to lifetime expected credit losses.</w:t>
                                  </w:r>
                                </w:p>
                                <w:p w14:paraId="37996854" w14:textId="77777777" w:rsidR="005E7495" w:rsidRDefault="005E7495" w:rsidP="005E7495">
                                  <w:pPr>
                                    <w:rPr>
                                      <w:rFonts w:cs="Arial"/>
                                      <w:sz w:val="18"/>
                                      <w:szCs w:val="18"/>
                                    </w:rPr>
                                  </w:pPr>
                                </w:p>
                                <w:p w14:paraId="1344252D" w14:textId="77777777" w:rsidR="005E7495" w:rsidRPr="00067431" w:rsidRDefault="005E7495" w:rsidP="005E7495">
                                  <w:pPr>
                                    <w:rPr>
                                      <w:rFonts w:cs="Arial"/>
                                      <w:sz w:val="18"/>
                                      <w:szCs w:val="18"/>
                                    </w:rPr>
                                  </w:pPr>
                                  <w:r w:rsidRPr="00067431">
                                    <w:rPr>
                                      <w:rFonts w:cs="Arial"/>
                                      <w:sz w:val="18"/>
                                      <w:szCs w:val="18"/>
                                    </w:rPr>
                                    <w:t>Due to the nature of IHACPA's receivables, a nil loss allowance has been calculated.  There is no impairment of IHACPA's financial assets as at 30 June 2026.</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5F099AA1" id="Text Box 77" o:spid="_x0000_s1043" type="#_x0000_t202" style="position:absolute;margin-left:3.3pt;margin-top:3pt;width:459.05pt;height:420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" filled="f" strokecolor="#009560" strokeweight="1pt">
                      <v:stroke joinstyle="round"/>
                      <v:textbox>
                        <w:txbxContent>
                          <w:p w14:paraId="1F1B3BCF" w14:textId="77777777" w:rsidR="005E7495" w:rsidRPr="00067431" w:rsidRDefault="005E7495" w:rsidP="005E7495">
                            <w:pPr>
                              <w:spacing w:after="0"/>
                              <w:rPr>
                                <w:rFonts w:cs="Arial"/>
                                <w:b/>
                                <w:bCs/>
                                <w:sz w:val="18"/>
                                <w:szCs w:val="18"/>
                              </w:rPr>
                            </w:pPr>
                            <w:r w:rsidRPr="00067431">
                              <w:rPr>
                                <w:rFonts w:cs="Arial"/>
                                <w:b/>
                                <w:bCs/>
                                <w:sz w:val="18"/>
                                <w:szCs w:val="18"/>
                              </w:rPr>
                              <w:t>Accounting Policy</w:t>
                            </w:r>
                          </w:p>
                          <w:p w14:paraId="72D232E9" w14:textId="77777777" w:rsidR="005E7495" w:rsidRPr="00067431" w:rsidRDefault="005E7495" w:rsidP="005E7495">
                            <w:pPr>
                              <w:spacing w:after="0"/>
                              <w:rPr>
                                <w:rFonts w:cs="Arial"/>
                                <w:b/>
                                <w:bCs/>
                                <w:sz w:val="18"/>
                                <w:szCs w:val="18"/>
                              </w:rPr>
                            </w:pPr>
                            <w:r w:rsidRPr="00067431">
                              <w:rPr>
                                <w:rFonts w:cs="Arial"/>
                                <w:b/>
                                <w:bCs/>
                                <w:sz w:val="18"/>
                                <w:szCs w:val="18"/>
                              </w:rPr>
                              <w:t>Cash and cash equivalents</w:t>
                            </w:r>
                          </w:p>
                          <w:p w14:paraId="04F81620" w14:textId="77777777" w:rsidR="005E7495" w:rsidRPr="00067431" w:rsidRDefault="005E7495" w:rsidP="005E7495">
                            <w:pPr>
                              <w:spacing w:after="0"/>
                              <w:rPr>
                                <w:rFonts w:cs="Arial"/>
                                <w:sz w:val="18"/>
                                <w:szCs w:val="18"/>
                              </w:rPr>
                            </w:pPr>
                            <w:r w:rsidRPr="00067431">
                              <w:rPr>
                                <w:rFonts w:cs="Arial"/>
                                <w:sz w:val="18"/>
                                <w:szCs w:val="18"/>
                              </w:rPr>
                              <w:t xml:space="preserve">Cash is recognised at its nominal amount. Cash and cash equivalents includes:  </w:t>
                            </w:r>
                          </w:p>
                          <w:p w14:paraId="3C75784E" w14:textId="77777777" w:rsidR="005E7495" w:rsidRPr="00067431" w:rsidRDefault="005E7495" w:rsidP="005E7495">
                            <w:pPr>
                              <w:spacing w:after="0"/>
                              <w:rPr>
                                <w:rFonts w:cs="Arial"/>
                                <w:sz w:val="18"/>
                                <w:szCs w:val="18"/>
                              </w:rPr>
                            </w:pPr>
                            <w:r w:rsidRPr="00067431">
                              <w:rPr>
                                <w:rFonts w:cs="Arial"/>
                                <w:sz w:val="18"/>
                                <w:szCs w:val="18"/>
                              </w:rPr>
                              <w:t>a) cash on hand, and</w:t>
                            </w:r>
                          </w:p>
                          <w:p w14:paraId="01952866" w14:textId="77777777" w:rsidR="005E7495" w:rsidRDefault="005E7495" w:rsidP="005E7495">
                            <w:pPr>
                              <w:spacing w:after="0"/>
                              <w:rPr>
                                <w:rFonts w:cs="Arial"/>
                                <w:b/>
                                <w:bCs/>
                                <w:sz w:val="18"/>
                                <w:szCs w:val="18"/>
                              </w:rPr>
                            </w:pPr>
                            <w:r w:rsidRPr="00067431">
                              <w:rPr>
                                <w:rFonts w:cs="Arial"/>
                                <w:sz w:val="18"/>
                                <w:szCs w:val="18"/>
                              </w:rPr>
                              <w:t>b) demand deposits in bank accounts with an original maturity of three months or less that are readily convertible to known amounts of cash and subject to insignificant risk of changes in value.</w:t>
                            </w:r>
                          </w:p>
                          <w:p w14:paraId="523B7F49" w14:textId="77777777" w:rsidR="005E7495" w:rsidRDefault="005E7495" w:rsidP="005E7495">
                            <w:pPr>
                              <w:rPr>
                                <w:rFonts w:cs="Arial"/>
                                <w:b/>
                                <w:bCs/>
                                <w:sz w:val="18"/>
                                <w:szCs w:val="18"/>
                              </w:rPr>
                            </w:pPr>
                          </w:p>
                          <w:p w14:paraId="4F8EF022" w14:textId="77777777" w:rsidR="005E7495" w:rsidRPr="00067431" w:rsidRDefault="005E7495" w:rsidP="005E7495">
                            <w:pPr>
                              <w:spacing w:after="0"/>
                              <w:rPr>
                                <w:rFonts w:cs="Arial"/>
                                <w:b/>
                                <w:bCs/>
                                <w:sz w:val="18"/>
                                <w:szCs w:val="18"/>
                              </w:rPr>
                            </w:pPr>
                            <w:r w:rsidRPr="00067431">
                              <w:rPr>
                                <w:rFonts w:cs="Arial"/>
                                <w:b/>
                                <w:bCs/>
                                <w:sz w:val="18"/>
                                <w:szCs w:val="18"/>
                              </w:rPr>
                              <w:t>Classification and measurement</w:t>
                            </w:r>
                          </w:p>
                          <w:p w14:paraId="399F1AC6" w14:textId="77777777" w:rsidR="005E7495" w:rsidRPr="00067431" w:rsidRDefault="005E7495" w:rsidP="005E7495">
                            <w:pPr>
                              <w:spacing w:after="0"/>
                              <w:rPr>
                                <w:rFonts w:cs="Arial"/>
                                <w:sz w:val="18"/>
                                <w:szCs w:val="18"/>
                              </w:rPr>
                            </w:pPr>
                            <w:r w:rsidRPr="00067431">
                              <w:rPr>
                                <w:rFonts w:cs="Arial"/>
                                <w:sz w:val="18"/>
                                <w:szCs w:val="18"/>
                              </w:rPr>
                              <w:t xml:space="preserve">The classification and measurement of IHACPA's financial assets under AASB 9 is determined by its business model for managing its financial assets and the contractual cash flow characteristics of those assets.  </w:t>
                            </w:r>
                            <w:r w:rsidRPr="00067431">
                              <w:rPr>
                                <w:rFonts w:cs="Arial"/>
                                <w:sz w:val="18"/>
                                <w:szCs w:val="18"/>
                              </w:rPr>
                              <w:tab/>
                            </w:r>
                          </w:p>
                          <w:p w14:paraId="27D2F047" w14:textId="77777777" w:rsidR="005E7495" w:rsidRDefault="005E7495" w:rsidP="005E7495">
                            <w:pPr>
                              <w:rPr>
                                <w:rFonts w:cs="Arial"/>
                                <w:b/>
                                <w:bCs/>
                                <w:sz w:val="18"/>
                                <w:szCs w:val="18"/>
                              </w:rPr>
                            </w:pPr>
                          </w:p>
                          <w:p w14:paraId="62589F2B" w14:textId="77777777" w:rsidR="005E7495" w:rsidRPr="00067431" w:rsidRDefault="005E7495" w:rsidP="005E7495">
                            <w:pPr>
                              <w:spacing w:after="0"/>
                              <w:rPr>
                                <w:rFonts w:cs="Arial"/>
                                <w:b/>
                                <w:bCs/>
                                <w:sz w:val="18"/>
                                <w:szCs w:val="18"/>
                              </w:rPr>
                            </w:pPr>
                            <w:r w:rsidRPr="00067431">
                              <w:rPr>
                                <w:rFonts w:cs="Arial"/>
                                <w:b/>
                                <w:bCs/>
                                <w:sz w:val="18"/>
                                <w:szCs w:val="18"/>
                              </w:rPr>
                              <w:t xml:space="preserve">Financial assets  </w:t>
                            </w:r>
                            <w:r w:rsidRPr="00067431">
                              <w:rPr>
                                <w:rFonts w:cs="Arial"/>
                                <w:b/>
                                <w:bCs/>
                                <w:sz w:val="18"/>
                                <w:szCs w:val="18"/>
                              </w:rPr>
                              <w:tab/>
                            </w:r>
                          </w:p>
                          <w:p w14:paraId="7CDF2A7B" w14:textId="77777777" w:rsidR="005E7495" w:rsidRPr="00067431" w:rsidRDefault="005E7495" w:rsidP="005E7495">
                            <w:pPr>
                              <w:spacing w:after="0"/>
                              <w:rPr>
                                <w:rFonts w:cs="Arial"/>
                                <w:sz w:val="18"/>
                                <w:szCs w:val="18"/>
                              </w:rPr>
                            </w:pPr>
                            <w:r w:rsidRPr="00067431">
                              <w:rPr>
                                <w:rFonts w:cs="Arial"/>
                                <w:sz w:val="18"/>
                                <w:szCs w:val="18"/>
                              </w:rPr>
                              <w:t xml:space="preserve">IHACPA's financial assets are comprised of trade receivables and other receivables that are held for the purpose of collecting the contractual cash flows. All of IHACPA's financial assets are measured, and carried, at amortised cost. </w:t>
                            </w:r>
                            <w:r w:rsidRPr="00067431">
                              <w:rPr>
                                <w:rFonts w:cs="Arial"/>
                                <w:sz w:val="18"/>
                                <w:szCs w:val="18"/>
                              </w:rPr>
                              <w:tab/>
                            </w:r>
                          </w:p>
                          <w:p w14:paraId="186DA62D" w14:textId="77777777" w:rsidR="005E7495" w:rsidRDefault="005E7495" w:rsidP="005E7495">
                            <w:pPr>
                              <w:rPr>
                                <w:rFonts w:cs="Arial"/>
                                <w:b/>
                                <w:bCs/>
                                <w:sz w:val="18"/>
                                <w:szCs w:val="18"/>
                              </w:rPr>
                            </w:pPr>
                          </w:p>
                          <w:p w14:paraId="418CB8A1" w14:textId="77777777" w:rsidR="005E7495" w:rsidRPr="00067431" w:rsidRDefault="005E7495" w:rsidP="005E7495">
                            <w:pPr>
                              <w:spacing w:after="0"/>
                              <w:rPr>
                                <w:rFonts w:cs="Arial"/>
                                <w:b/>
                                <w:bCs/>
                                <w:sz w:val="18"/>
                                <w:szCs w:val="18"/>
                              </w:rPr>
                            </w:pPr>
                            <w:r w:rsidRPr="00067431">
                              <w:rPr>
                                <w:rFonts w:cs="Arial"/>
                                <w:b/>
                                <w:bCs/>
                                <w:sz w:val="18"/>
                                <w:szCs w:val="18"/>
                              </w:rPr>
                              <w:t>Financial liabilities</w:t>
                            </w:r>
                          </w:p>
                          <w:p w14:paraId="4E93DFBD" w14:textId="77777777" w:rsidR="005E7495" w:rsidRPr="00067431" w:rsidRDefault="005E7495" w:rsidP="005E7495">
                            <w:pPr>
                              <w:spacing w:after="0"/>
                              <w:rPr>
                                <w:rFonts w:cs="Arial"/>
                                <w:sz w:val="18"/>
                                <w:szCs w:val="18"/>
                              </w:rPr>
                            </w:pPr>
                            <w:r w:rsidRPr="00067431">
                              <w:rPr>
                                <w:rFonts w:cs="Arial"/>
                                <w:sz w:val="18"/>
                                <w:szCs w:val="18"/>
                              </w:rPr>
                              <w:t>IHACPA's financial liabilities are measured, and carried, at amortised cost.  Supplier and other payables are recognised to the extent that the goods or services have been received, irrespective of having been invoiced. Lease liabilities are measured using the effective interest method.</w:t>
                            </w:r>
                          </w:p>
                          <w:p w14:paraId="19FB3B0A" w14:textId="77777777" w:rsidR="005E7495" w:rsidRDefault="005E7495" w:rsidP="005E7495">
                            <w:pPr>
                              <w:rPr>
                                <w:rFonts w:cs="Arial"/>
                                <w:b/>
                                <w:bCs/>
                                <w:sz w:val="18"/>
                                <w:szCs w:val="18"/>
                              </w:rPr>
                            </w:pPr>
                          </w:p>
                          <w:p w14:paraId="5614BF41" w14:textId="77777777" w:rsidR="005E7495" w:rsidRPr="00067431" w:rsidRDefault="005E7495" w:rsidP="005E7495">
                            <w:pPr>
                              <w:spacing w:after="0"/>
                              <w:rPr>
                                <w:rFonts w:cs="Arial"/>
                                <w:b/>
                                <w:bCs/>
                                <w:sz w:val="18"/>
                                <w:szCs w:val="18"/>
                              </w:rPr>
                            </w:pPr>
                            <w:r w:rsidRPr="00067431">
                              <w:rPr>
                                <w:rFonts w:cs="Arial"/>
                                <w:b/>
                                <w:bCs/>
                                <w:sz w:val="18"/>
                                <w:szCs w:val="18"/>
                              </w:rPr>
                              <w:t>Impairment</w:t>
                            </w:r>
                          </w:p>
                          <w:p w14:paraId="74FA0B88" w14:textId="77777777" w:rsidR="005E7495" w:rsidRPr="00067431" w:rsidRDefault="005E7495" w:rsidP="005E7495">
                            <w:pPr>
                              <w:spacing w:after="0"/>
                              <w:rPr>
                                <w:rFonts w:cs="Arial"/>
                                <w:sz w:val="18"/>
                                <w:szCs w:val="18"/>
                              </w:rPr>
                            </w:pPr>
                            <w:r w:rsidRPr="00067431">
                              <w:rPr>
                                <w:rFonts w:cs="Arial"/>
                                <w:sz w:val="18"/>
                                <w:szCs w:val="18"/>
                              </w:rPr>
                              <w:t>AASB 9 requires IHACPA to impair its financial assets by applying the 'expected credit losses' (ECL) model.  IHACPA has taken advantage of the practical expedient which allows the use of a Provision Matrix to calculate expected credit losses on trade receivables.  IHACPA has assessed the loss allowance for its financial assets at an amount equal to lifetime expected credit losses.</w:t>
                            </w:r>
                          </w:p>
                          <w:p w14:paraId="37996854" w14:textId="77777777" w:rsidR="005E7495" w:rsidRDefault="005E7495" w:rsidP="005E7495">
                            <w:pPr>
                              <w:rPr>
                                <w:rFonts w:cs="Arial"/>
                                <w:sz w:val="18"/>
                                <w:szCs w:val="18"/>
                              </w:rPr>
                            </w:pPr>
                          </w:p>
                          <w:p w14:paraId="1344252D" w14:textId="77777777" w:rsidR="005E7495" w:rsidRPr="00067431" w:rsidRDefault="005E7495" w:rsidP="005E7495">
                            <w:pPr>
                              <w:rPr>
                                <w:rFonts w:cs="Arial"/>
                                <w:sz w:val="18"/>
                                <w:szCs w:val="18"/>
                              </w:rPr>
                            </w:pPr>
                            <w:r w:rsidRPr="00067431">
                              <w:rPr>
                                <w:rFonts w:cs="Arial"/>
                                <w:sz w:val="18"/>
                                <w:szCs w:val="18"/>
                              </w:rPr>
                              <w:t>Due to the nature of IHACPA's receivables, a nil loss allowance has been calculated.  There is no impairment of IHACPA's financial assets as at 30 June 2026.</w:t>
                            </w:r>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3500"/>
            </w:tblGrid>
            <w:tr w:rsidR="005E7495" w:rsidRPr="007819F6" w14:paraId="60CBA4E0" w14:textId="77777777" w:rsidTr="00856101">
              <w:trPr>
                <w:trHeight w:val="135"/>
                <w:tblCellSpacing w:w="0" w:type="dxa"/>
              </w:trPr>
              <w:tc>
                <w:tcPr>
                  <w:tcW w:w="3500" w:type="dxa"/>
                  <w:tcBorders>
                    <w:top w:val="nil"/>
                    <w:left w:val="nil"/>
                    <w:bottom w:val="nil"/>
                    <w:right w:val="nil"/>
                  </w:tcBorders>
                  <w:noWrap/>
                  <w:vAlign w:val="bottom"/>
                  <w:hideMark/>
                </w:tcPr>
                <w:p w14:paraId="6BBA2FE0" w14:textId="77777777" w:rsidR="005E7495" w:rsidRPr="007819F6" w:rsidRDefault="005E7495" w:rsidP="00856101">
                  <w:pPr>
                    <w:spacing w:after="0" w:line="240" w:lineRule="auto"/>
                    <w:rPr>
                      <w:rFonts w:ascii="Calibri" w:eastAsia="Times New Roman" w:hAnsi="Calibri" w:cs="Calibri"/>
                      <w:color w:val="000000"/>
                      <w:lang w:eastAsia="en-AU"/>
                    </w:rPr>
                  </w:pPr>
                </w:p>
              </w:tc>
            </w:tr>
          </w:tbl>
          <w:p w14:paraId="7F8112FE" w14:textId="77777777" w:rsidR="005E7495" w:rsidRPr="007819F6" w:rsidRDefault="005E7495" w:rsidP="00856101">
            <w:pPr>
              <w:spacing w:after="0" w:line="240" w:lineRule="auto"/>
              <w:rPr>
                <w:rFonts w:ascii="Calibri" w:eastAsia="Times New Roman" w:hAnsi="Calibri" w:cs="Calibri"/>
                <w:color w:val="000000"/>
                <w:lang w:eastAsia="en-AU"/>
              </w:rPr>
            </w:pPr>
          </w:p>
        </w:tc>
        <w:tc>
          <w:tcPr>
            <w:tcW w:w="1136" w:type="dxa"/>
            <w:tcBorders>
              <w:top w:val="nil"/>
              <w:left w:val="nil"/>
              <w:bottom w:val="nil"/>
              <w:right w:val="nil"/>
            </w:tcBorders>
            <w:noWrap/>
            <w:vAlign w:val="bottom"/>
            <w:hideMark/>
          </w:tcPr>
          <w:p w14:paraId="15C2908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42EBD5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022A4F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C1EB8C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1A43EB4" w14:textId="77777777" w:rsidR="005E7495" w:rsidRPr="007819F6"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7819F6" w14:paraId="047336B2" w14:textId="77777777" w:rsidTr="00856101">
        <w:trPr>
          <w:trHeight w:val="240"/>
        </w:trPr>
        <w:tc>
          <w:tcPr>
            <w:tcW w:w="3516" w:type="dxa"/>
            <w:tcBorders>
              <w:top w:val="nil"/>
              <w:left w:val="nil"/>
              <w:bottom w:val="nil"/>
              <w:right w:val="nil"/>
            </w:tcBorders>
            <w:noWrap/>
            <w:vAlign w:val="bottom"/>
            <w:hideMark/>
          </w:tcPr>
          <w:p w14:paraId="70073930" w14:textId="77777777" w:rsidR="005E7495" w:rsidRPr="007819F6"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029E30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1F7F988"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12CBCC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C523CF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9F98514"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642A71B3" w14:textId="77777777" w:rsidTr="00856101">
        <w:trPr>
          <w:trHeight w:val="240"/>
        </w:trPr>
        <w:tc>
          <w:tcPr>
            <w:tcW w:w="3516" w:type="dxa"/>
            <w:tcBorders>
              <w:top w:val="nil"/>
              <w:left w:val="nil"/>
              <w:bottom w:val="nil"/>
              <w:right w:val="nil"/>
            </w:tcBorders>
            <w:noWrap/>
            <w:vAlign w:val="bottom"/>
            <w:hideMark/>
          </w:tcPr>
          <w:p w14:paraId="530609C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9B108B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7A7C83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AB7E1B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B5BAC4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6ED2ED4"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04AEA7A4" w14:textId="77777777" w:rsidTr="00856101">
        <w:trPr>
          <w:trHeight w:val="240"/>
        </w:trPr>
        <w:tc>
          <w:tcPr>
            <w:tcW w:w="3516" w:type="dxa"/>
            <w:tcBorders>
              <w:top w:val="nil"/>
              <w:left w:val="nil"/>
              <w:bottom w:val="nil"/>
              <w:right w:val="nil"/>
            </w:tcBorders>
            <w:noWrap/>
            <w:vAlign w:val="bottom"/>
            <w:hideMark/>
          </w:tcPr>
          <w:p w14:paraId="4B58D57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A011BB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79199F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7CB978D"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881F6B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CE33D2D"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76027F90" w14:textId="77777777" w:rsidTr="00856101">
        <w:trPr>
          <w:trHeight w:val="240"/>
        </w:trPr>
        <w:tc>
          <w:tcPr>
            <w:tcW w:w="3516" w:type="dxa"/>
            <w:tcBorders>
              <w:top w:val="nil"/>
              <w:left w:val="nil"/>
              <w:bottom w:val="nil"/>
              <w:right w:val="nil"/>
            </w:tcBorders>
            <w:noWrap/>
            <w:vAlign w:val="bottom"/>
            <w:hideMark/>
          </w:tcPr>
          <w:p w14:paraId="3B61EC36"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6AF9ED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A6DAC66"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C7B760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76CEF5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926F14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08E5491F" w14:textId="77777777" w:rsidTr="00856101">
        <w:trPr>
          <w:trHeight w:val="240"/>
        </w:trPr>
        <w:tc>
          <w:tcPr>
            <w:tcW w:w="3516" w:type="dxa"/>
            <w:tcBorders>
              <w:top w:val="nil"/>
              <w:left w:val="nil"/>
              <w:bottom w:val="nil"/>
              <w:right w:val="nil"/>
            </w:tcBorders>
            <w:noWrap/>
            <w:vAlign w:val="bottom"/>
            <w:hideMark/>
          </w:tcPr>
          <w:p w14:paraId="58E4AA8D"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76FCB26"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6D1482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5CA91E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74B531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FC02200"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6AB55D5B" w14:textId="77777777" w:rsidTr="00856101">
        <w:trPr>
          <w:trHeight w:val="288"/>
        </w:trPr>
        <w:tc>
          <w:tcPr>
            <w:tcW w:w="3516" w:type="dxa"/>
            <w:tcBorders>
              <w:top w:val="nil"/>
              <w:left w:val="nil"/>
              <w:bottom w:val="nil"/>
              <w:right w:val="nil"/>
            </w:tcBorders>
            <w:noWrap/>
            <w:vAlign w:val="bottom"/>
            <w:hideMark/>
          </w:tcPr>
          <w:p w14:paraId="5F32EC1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F995480"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84B9A46"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76A5F3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6D3E7D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A72370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031D566C" w14:textId="77777777" w:rsidTr="00856101">
        <w:trPr>
          <w:trHeight w:val="240"/>
        </w:trPr>
        <w:tc>
          <w:tcPr>
            <w:tcW w:w="3516" w:type="dxa"/>
            <w:tcBorders>
              <w:top w:val="nil"/>
              <w:left w:val="nil"/>
              <w:bottom w:val="nil"/>
              <w:right w:val="nil"/>
            </w:tcBorders>
            <w:noWrap/>
            <w:vAlign w:val="bottom"/>
            <w:hideMark/>
          </w:tcPr>
          <w:p w14:paraId="4ACB622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7810978"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C552D3E"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AB565A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C0AD35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659EE7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5A4C0EAD" w14:textId="77777777" w:rsidTr="00856101">
        <w:trPr>
          <w:trHeight w:val="240"/>
        </w:trPr>
        <w:tc>
          <w:tcPr>
            <w:tcW w:w="3516" w:type="dxa"/>
            <w:tcBorders>
              <w:top w:val="nil"/>
              <w:left w:val="nil"/>
              <w:bottom w:val="nil"/>
              <w:right w:val="nil"/>
            </w:tcBorders>
            <w:noWrap/>
            <w:vAlign w:val="bottom"/>
            <w:hideMark/>
          </w:tcPr>
          <w:p w14:paraId="178919E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1B32390"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0680CB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2BD050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875C224"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8A5C390"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7484CF82" w14:textId="77777777" w:rsidTr="00856101">
        <w:trPr>
          <w:trHeight w:val="240"/>
        </w:trPr>
        <w:tc>
          <w:tcPr>
            <w:tcW w:w="3516" w:type="dxa"/>
            <w:tcBorders>
              <w:top w:val="nil"/>
              <w:left w:val="nil"/>
              <w:bottom w:val="nil"/>
              <w:right w:val="nil"/>
            </w:tcBorders>
            <w:noWrap/>
            <w:vAlign w:val="bottom"/>
            <w:hideMark/>
          </w:tcPr>
          <w:p w14:paraId="32DBF8D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BE6ECF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51E49F4"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607D748"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5DA9D2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ECAC8C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59EFFB70" w14:textId="77777777" w:rsidTr="00856101">
        <w:trPr>
          <w:trHeight w:val="240"/>
        </w:trPr>
        <w:tc>
          <w:tcPr>
            <w:tcW w:w="3516" w:type="dxa"/>
            <w:tcBorders>
              <w:top w:val="nil"/>
              <w:left w:val="nil"/>
              <w:bottom w:val="nil"/>
              <w:right w:val="nil"/>
            </w:tcBorders>
            <w:noWrap/>
            <w:vAlign w:val="bottom"/>
            <w:hideMark/>
          </w:tcPr>
          <w:p w14:paraId="2619930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E29730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72F332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8C9536D"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E925FA6"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06C687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547DF172" w14:textId="77777777" w:rsidTr="00856101">
        <w:trPr>
          <w:trHeight w:val="240"/>
        </w:trPr>
        <w:tc>
          <w:tcPr>
            <w:tcW w:w="3516" w:type="dxa"/>
            <w:tcBorders>
              <w:top w:val="nil"/>
              <w:left w:val="nil"/>
              <w:bottom w:val="nil"/>
              <w:right w:val="nil"/>
            </w:tcBorders>
            <w:noWrap/>
            <w:vAlign w:val="bottom"/>
            <w:hideMark/>
          </w:tcPr>
          <w:p w14:paraId="668DD49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A21DFE0"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0967C9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836ECD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E281C1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3C9819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018F3A97" w14:textId="77777777" w:rsidTr="00856101">
        <w:trPr>
          <w:trHeight w:val="240"/>
        </w:trPr>
        <w:tc>
          <w:tcPr>
            <w:tcW w:w="3516" w:type="dxa"/>
            <w:tcBorders>
              <w:top w:val="nil"/>
              <w:left w:val="nil"/>
              <w:bottom w:val="nil"/>
              <w:right w:val="nil"/>
            </w:tcBorders>
            <w:noWrap/>
            <w:vAlign w:val="bottom"/>
            <w:hideMark/>
          </w:tcPr>
          <w:p w14:paraId="7EA48FF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A33994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88BE23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972B61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0BF92B4"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06BC5C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40276E35" w14:textId="77777777" w:rsidTr="00856101">
        <w:trPr>
          <w:trHeight w:val="240"/>
        </w:trPr>
        <w:tc>
          <w:tcPr>
            <w:tcW w:w="3516" w:type="dxa"/>
            <w:tcBorders>
              <w:top w:val="nil"/>
              <w:left w:val="nil"/>
              <w:bottom w:val="nil"/>
              <w:right w:val="nil"/>
            </w:tcBorders>
            <w:noWrap/>
            <w:vAlign w:val="bottom"/>
            <w:hideMark/>
          </w:tcPr>
          <w:p w14:paraId="6EC7576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071964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09F61F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D7ED6F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6089F96"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3DF14A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3384D829" w14:textId="77777777" w:rsidTr="00856101">
        <w:trPr>
          <w:trHeight w:val="240"/>
        </w:trPr>
        <w:tc>
          <w:tcPr>
            <w:tcW w:w="3516" w:type="dxa"/>
            <w:tcBorders>
              <w:top w:val="nil"/>
              <w:left w:val="nil"/>
              <w:bottom w:val="nil"/>
              <w:right w:val="nil"/>
            </w:tcBorders>
            <w:noWrap/>
            <w:vAlign w:val="bottom"/>
            <w:hideMark/>
          </w:tcPr>
          <w:p w14:paraId="43BBBB8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416D0F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A5B44C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A6B921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BCF59F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CBC012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55A992EF" w14:textId="77777777" w:rsidTr="00856101">
        <w:trPr>
          <w:trHeight w:val="240"/>
        </w:trPr>
        <w:tc>
          <w:tcPr>
            <w:tcW w:w="3516" w:type="dxa"/>
            <w:tcBorders>
              <w:top w:val="nil"/>
              <w:left w:val="nil"/>
              <w:bottom w:val="nil"/>
              <w:right w:val="nil"/>
            </w:tcBorders>
            <w:noWrap/>
            <w:vAlign w:val="bottom"/>
            <w:hideMark/>
          </w:tcPr>
          <w:p w14:paraId="0A65701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089077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3F0C23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6578B3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785025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4B7AE6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6A11845A" w14:textId="77777777" w:rsidTr="00856101">
        <w:trPr>
          <w:trHeight w:val="240"/>
        </w:trPr>
        <w:tc>
          <w:tcPr>
            <w:tcW w:w="3516" w:type="dxa"/>
            <w:tcBorders>
              <w:top w:val="nil"/>
              <w:left w:val="nil"/>
              <w:bottom w:val="nil"/>
              <w:right w:val="nil"/>
            </w:tcBorders>
            <w:noWrap/>
            <w:vAlign w:val="bottom"/>
            <w:hideMark/>
          </w:tcPr>
          <w:p w14:paraId="6576B08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55F968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F1F285E"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95C57C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69FEE3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081AE88"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6A6E27F6" w14:textId="77777777" w:rsidTr="00856101">
        <w:trPr>
          <w:trHeight w:val="240"/>
        </w:trPr>
        <w:tc>
          <w:tcPr>
            <w:tcW w:w="3516" w:type="dxa"/>
            <w:tcBorders>
              <w:top w:val="nil"/>
              <w:left w:val="nil"/>
              <w:bottom w:val="nil"/>
              <w:right w:val="nil"/>
            </w:tcBorders>
            <w:noWrap/>
            <w:vAlign w:val="bottom"/>
            <w:hideMark/>
          </w:tcPr>
          <w:p w14:paraId="3D0F4E9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F467476"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CEE8D8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6B8A33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45AB578"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6F0AEC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45CDC487" w14:textId="77777777" w:rsidTr="00856101">
        <w:trPr>
          <w:trHeight w:val="240"/>
        </w:trPr>
        <w:tc>
          <w:tcPr>
            <w:tcW w:w="3516" w:type="dxa"/>
            <w:tcBorders>
              <w:top w:val="nil"/>
              <w:left w:val="nil"/>
              <w:bottom w:val="nil"/>
              <w:right w:val="nil"/>
            </w:tcBorders>
            <w:noWrap/>
            <w:vAlign w:val="bottom"/>
            <w:hideMark/>
          </w:tcPr>
          <w:p w14:paraId="1F000B7E"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FC5B5A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ED7333E"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0D5AE5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08EDB4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37F4D86"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0091D217" w14:textId="77777777" w:rsidTr="00856101">
        <w:trPr>
          <w:trHeight w:val="240"/>
        </w:trPr>
        <w:tc>
          <w:tcPr>
            <w:tcW w:w="3516" w:type="dxa"/>
            <w:tcBorders>
              <w:top w:val="nil"/>
              <w:left w:val="nil"/>
              <w:bottom w:val="nil"/>
              <w:right w:val="nil"/>
            </w:tcBorders>
            <w:noWrap/>
            <w:vAlign w:val="bottom"/>
            <w:hideMark/>
          </w:tcPr>
          <w:p w14:paraId="01F952E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4ED688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2D0581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DCF5E2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75C50DE"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B9725C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4676E751" w14:textId="77777777" w:rsidTr="00856101">
        <w:trPr>
          <w:trHeight w:val="240"/>
        </w:trPr>
        <w:tc>
          <w:tcPr>
            <w:tcW w:w="3516" w:type="dxa"/>
            <w:tcBorders>
              <w:top w:val="nil"/>
              <w:left w:val="nil"/>
              <w:bottom w:val="nil"/>
              <w:right w:val="nil"/>
            </w:tcBorders>
            <w:noWrap/>
            <w:vAlign w:val="bottom"/>
            <w:hideMark/>
          </w:tcPr>
          <w:p w14:paraId="75355AB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AE57486"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FB4027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7D025A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741C3B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0FD74CE"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791055D4" w14:textId="77777777" w:rsidTr="00856101">
        <w:trPr>
          <w:trHeight w:val="240"/>
        </w:trPr>
        <w:tc>
          <w:tcPr>
            <w:tcW w:w="3516" w:type="dxa"/>
            <w:tcBorders>
              <w:top w:val="nil"/>
              <w:left w:val="nil"/>
              <w:bottom w:val="nil"/>
              <w:right w:val="nil"/>
            </w:tcBorders>
            <w:noWrap/>
            <w:vAlign w:val="bottom"/>
            <w:hideMark/>
          </w:tcPr>
          <w:p w14:paraId="5A94D83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B38260E"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41899A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ECBD98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D65413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084FDF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73E99E49" w14:textId="77777777" w:rsidTr="00856101">
        <w:trPr>
          <w:trHeight w:val="240"/>
        </w:trPr>
        <w:tc>
          <w:tcPr>
            <w:tcW w:w="3516" w:type="dxa"/>
            <w:tcBorders>
              <w:top w:val="nil"/>
              <w:left w:val="nil"/>
              <w:bottom w:val="nil"/>
              <w:right w:val="nil"/>
            </w:tcBorders>
            <w:noWrap/>
            <w:vAlign w:val="bottom"/>
            <w:hideMark/>
          </w:tcPr>
          <w:p w14:paraId="02B9A97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7A61E9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AF0EFE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82F9E3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5D4CFF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03BDF1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4A6D8DF7" w14:textId="77777777" w:rsidTr="00856101">
        <w:trPr>
          <w:trHeight w:val="240"/>
        </w:trPr>
        <w:tc>
          <w:tcPr>
            <w:tcW w:w="3516" w:type="dxa"/>
            <w:tcBorders>
              <w:top w:val="nil"/>
              <w:left w:val="nil"/>
              <w:bottom w:val="nil"/>
              <w:right w:val="nil"/>
            </w:tcBorders>
            <w:noWrap/>
            <w:vAlign w:val="bottom"/>
            <w:hideMark/>
          </w:tcPr>
          <w:p w14:paraId="646A542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E2C0D5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B0908B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4A0383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199406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F480ED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23780548" w14:textId="77777777" w:rsidTr="00856101">
        <w:trPr>
          <w:trHeight w:val="240"/>
        </w:trPr>
        <w:tc>
          <w:tcPr>
            <w:tcW w:w="3516" w:type="dxa"/>
            <w:tcBorders>
              <w:top w:val="nil"/>
              <w:left w:val="nil"/>
              <w:bottom w:val="nil"/>
              <w:right w:val="nil"/>
            </w:tcBorders>
            <w:noWrap/>
            <w:vAlign w:val="bottom"/>
            <w:hideMark/>
          </w:tcPr>
          <w:p w14:paraId="67EC2A5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A218E9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46742A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87471FC"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6459350"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631117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5CA2B67A" w14:textId="77777777" w:rsidTr="00856101">
        <w:trPr>
          <w:trHeight w:val="240"/>
        </w:trPr>
        <w:tc>
          <w:tcPr>
            <w:tcW w:w="3516" w:type="dxa"/>
            <w:tcBorders>
              <w:top w:val="nil"/>
              <w:left w:val="nil"/>
              <w:bottom w:val="nil"/>
              <w:right w:val="nil"/>
            </w:tcBorders>
            <w:noWrap/>
            <w:vAlign w:val="bottom"/>
            <w:hideMark/>
          </w:tcPr>
          <w:p w14:paraId="4E6F691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31F20E0"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C3CE778"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788EC5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ADFA849"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147DAD4"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7CB11F6F" w14:textId="77777777" w:rsidTr="00856101">
        <w:trPr>
          <w:trHeight w:val="162"/>
        </w:trPr>
        <w:tc>
          <w:tcPr>
            <w:tcW w:w="3516" w:type="dxa"/>
            <w:tcBorders>
              <w:top w:val="nil"/>
              <w:left w:val="nil"/>
              <w:bottom w:val="nil"/>
              <w:right w:val="nil"/>
            </w:tcBorders>
            <w:noWrap/>
            <w:vAlign w:val="bottom"/>
            <w:hideMark/>
          </w:tcPr>
          <w:p w14:paraId="693F60C0"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F6F9E4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8192081"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700CC9B"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4B624A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AAA274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15D57567" w14:textId="77777777" w:rsidTr="00856101">
        <w:trPr>
          <w:trHeight w:val="240"/>
        </w:trPr>
        <w:tc>
          <w:tcPr>
            <w:tcW w:w="3516" w:type="dxa"/>
            <w:tcBorders>
              <w:top w:val="nil"/>
              <w:left w:val="nil"/>
              <w:bottom w:val="nil"/>
              <w:right w:val="nil"/>
            </w:tcBorders>
            <w:noWrap/>
            <w:vAlign w:val="bottom"/>
            <w:hideMark/>
          </w:tcPr>
          <w:p w14:paraId="320FED5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810305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01B535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35A2E38"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5ABD17E"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B909CA0"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39CEA783" w14:textId="77777777" w:rsidTr="00856101">
        <w:trPr>
          <w:trHeight w:val="240"/>
        </w:trPr>
        <w:tc>
          <w:tcPr>
            <w:tcW w:w="3516" w:type="dxa"/>
            <w:tcBorders>
              <w:top w:val="nil"/>
              <w:left w:val="nil"/>
              <w:bottom w:val="nil"/>
              <w:right w:val="nil"/>
            </w:tcBorders>
            <w:noWrap/>
            <w:vAlign w:val="bottom"/>
            <w:hideMark/>
          </w:tcPr>
          <w:p w14:paraId="3905AAA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9700E3A"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ADE86D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5E78952"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E8BF6DE"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A8A6196"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819F6" w14:paraId="56A1AF82" w14:textId="77777777" w:rsidTr="00856101">
        <w:trPr>
          <w:trHeight w:val="240"/>
        </w:trPr>
        <w:tc>
          <w:tcPr>
            <w:tcW w:w="3516" w:type="dxa"/>
            <w:tcBorders>
              <w:top w:val="nil"/>
              <w:left w:val="nil"/>
              <w:bottom w:val="nil"/>
              <w:right w:val="nil"/>
            </w:tcBorders>
            <w:noWrap/>
            <w:vAlign w:val="bottom"/>
            <w:hideMark/>
          </w:tcPr>
          <w:p w14:paraId="47FD1545"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325D93F"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E0C3647"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58B2D50"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7564914"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43E5723" w14:textId="77777777" w:rsidR="005E7495" w:rsidRPr="007819F6" w:rsidRDefault="005E7495" w:rsidP="00856101">
            <w:pPr>
              <w:spacing w:after="0" w:line="240" w:lineRule="auto"/>
              <w:rPr>
                <w:rFonts w:ascii="Times New Roman" w:eastAsia="Times New Roman" w:hAnsi="Times New Roman" w:cs="Times New Roman"/>
                <w:color w:val="auto"/>
                <w:sz w:val="20"/>
                <w:szCs w:val="20"/>
                <w:lang w:eastAsia="en-AU"/>
              </w:rPr>
            </w:pPr>
          </w:p>
        </w:tc>
      </w:tr>
    </w:tbl>
    <w:p w14:paraId="4C52FA32" w14:textId="77777777" w:rsidR="005E7495" w:rsidRDefault="005E7495" w:rsidP="005E7495"/>
    <w:p w14:paraId="3E976B33" w14:textId="77777777" w:rsidR="005E7495" w:rsidRDefault="005E7495" w:rsidP="005E7495"/>
    <w:p w14:paraId="47BDD335" w14:textId="77777777" w:rsidR="005E7495" w:rsidRDefault="005E7495" w:rsidP="005E7495"/>
    <w:p w14:paraId="6DBA1294" w14:textId="77777777" w:rsidR="005E7495" w:rsidRDefault="005E7495" w:rsidP="005E7495"/>
    <w:tbl>
      <w:tblPr>
        <w:tblW w:w="9276" w:type="dxa"/>
        <w:tblLook w:val="04A0" w:firstRow="1" w:lastRow="0" w:firstColumn="1" w:lastColumn="0" w:noHBand="0" w:noVBand="1"/>
      </w:tblPr>
      <w:tblGrid>
        <w:gridCol w:w="3516"/>
        <w:gridCol w:w="1136"/>
        <w:gridCol w:w="1136"/>
        <w:gridCol w:w="1136"/>
        <w:gridCol w:w="1176"/>
        <w:gridCol w:w="1176"/>
      </w:tblGrid>
      <w:tr w:rsidR="005E7495" w:rsidRPr="00141C3A" w14:paraId="5D36E8F0" w14:textId="77777777" w:rsidTr="00856101">
        <w:trPr>
          <w:trHeight w:val="264"/>
        </w:trPr>
        <w:tc>
          <w:tcPr>
            <w:tcW w:w="3516" w:type="dxa"/>
            <w:tcBorders>
              <w:top w:val="single" w:sz="4" w:space="0" w:color="FFFFFF"/>
              <w:left w:val="nil"/>
              <w:bottom w:val="single" w:sz="4" w:space="0" w:color="FFFFFF"/>
              <w:right w:val="nil"/>
            </w:tcBorders>
            <w:shd w:val="clear" w:color="000000" w:fill="37424A"/>
            <w:noWrap/>
            <w:vAlign w:val="center"/>
            <w:hideMark/>
          </w:tcPr>
          <w:p w14:paraId="645F5932" w14:textId="77777777" w:rsidR="005E7495" w:rsidRPr="00141C3A" w:rsidRDefault="005E7495" w:rsidP="00856101">
            <w:pPr>
              <w:spacing w:after="0" w:line="240" w:lineRule="auto"/>
              <w:rPr>
                <w:rFonts w:ascii="Cambria" w:eastAsia="Times New Roman" w:hAnsi="Cambria" w:cs="Calibri"/>
                <w:b/>
                <w:bCs/>
                <w:color w:val="FFFFFF"/>
                <w:sz w:val="18"/>
                <w:szCs w:val="18"/>
                <w:lang w:eastAsia="en-AU"/>
              </w:rPr>
            </w:pPr>
            <w:bookmarkStart w:id="1025" w:name="RANGE!C2:H53"/>
            <w:r w:rsidRPr="00141C3A">
              <w:rPr>
                <w:rFonts w:ascii="Cambria" w:eastAsia="Times New Roman" w:hAnsi="Cambria" w:cs="Calibri"/>
                <w:b/>
                <w:bCs/>
                <w:color w:val="FFFFFF"/>
                <w:sz w:val="18"/>
                <w:szCs w:val="18"/>
                <w:lang w:eastAsia="en-AU"/>
              </w:rPr>
              <w:lastRenderedPageBreak/>
              <w:t>Note 4.3 Fair value measurement</w:t>
            </w:r>
            <w:bookmarkEnd w:id="1025"/>
          </w:p>
        </w:tc>
        <w:tc>
          <w:tcPr>
            <w:tcW w:w="1136" w:type="dxa"/>
            <w:tcBorders>
              <w:top w:val="single" w:sz="4" w:space="0" w:color="FFFFFF"/>
              <w:left w:val="nil"/>
              <w:bottom w:val="single" w:sz="4" w:space="0" w:color="FFFFFF"/>
              <w:right w:val="nil"/>
            </w:tcBorders>
            <w:shd w:val="clear" w:color="000000" w:fill="37424A"/>
            <w:noWrap/>
            <w:vAlign w:val="center"/>
            <w:hideMark/>
          </w:tcPr>
          <w:p w14:paraId="38EDBC37" w14:textId="77777777" w:rsidR="005E7495" w:rsidRPr="00141C3A" w:rsidRDefault="005E7495" w:rsidP="00856101">
            <w:pPr>
              <w:spacing w:after="0" w:line="240" w:lineRule="auto"/>
              <w:rPr>
                <w:rFonts w:ascii="Cambria" w:eastAsia="Times New Roman" w:hAnsi="Cambria" w:cs="Calibri"/>
                <w:b/>
                <w:bCs/>
                <w:color w:val="FFFFFF"/>
                <w:sz w:val="18"/>
                <w:szCs w:val="18"/>
                <w:lang w:eastAsia="en-AU"/>
              </w:rPr>
            </w:pPr>
            <w:r w:rsidRPr="00141C3A">
              <w:rPr>
                <w:rFonts w:ascii="Cambria" w:eastAsia="Times New Roman" w:hAnsi="Cambria" w:cs="Calibri"/>
                <w:b/>
                <w:bCs/>
                <w:color w:val="FFFFFF"/>
                <w:sz w:val="18"/>
                <w:szCs w:val="18"/>
                <w:lang w:eastAsia="en-AU"/>
              </w:rPr>
              <w:t> </w:t>
            </w:r>
          </w:p>
        </w:tc>
        <w:tc>
          <w:tcPr>
            <w:tcW w:w="1136" w:type="dxa"/>
            <w:tcBorders>
              <w:top w:val="single" w:sz="4" w:space="0" w:color="FFFFFF"/>
              <w:left w:val="nil"/>
              <w:bottom w:val="single" w:sz="4" w:space="0" w:color="FFFFFF"/>
              <w:right w:val="nil"/>
            </w:tcBorders>
            <w:shd w:val="clear" w:color="000000" w:fill="37424A"/>
            <w:noWrap/>
            <w:vAlign w:val="center"/>
            <w:hideMark/>
          </w:tcPr>
          <w:p w14:paraId="135A56C9" w14:textId="77777777" w:rsidR="005E7495" w:rsidRPr="00141C3A" w:rsidRDefault="005E7495" w:rsidP="00856101">
            <w:pPr>
              <w:spacing w:after="0" w:line="240" w:lineRule="auto"/>
              <w:rPr>
                <w:rFonts w:ascii="Cambria" w:eastAsia="Times New Roman" w:hAnsi="Cambria" w:cs="Calibri"/>
                <w:b/>
                <w:bCs/>
                <w:color w:val="FFFFFF"/>
                <w:sz w:val="18"/>
                <w:szCs w:val="18"/>
                <w:lang w:eastAsia="en-AU"/>
              </w:rPr>
            </w:pPr>
            <w:r w:rsidRPr="00141C3A">
              <w:rPr>
                <w:rFonts w:ascii="Cambria" w:eastAsia="Times New Roman" w:hAnsi="Cambria" w:cs="Calibri"/>
                <w:b/>
                <w:bCs/>
                <w:color w:val="FFFFFF"/>
                <w:sz w:val="18"/>
                <w:szCs w:val="18"/>
                <w:lang w:eastAsia="en-AU"/>
              </w:rPr>
              <w:t> </w:t>
            </w:r>
          </w:p>
        </w:tc>
        <w:tc>
          <w:tcPr>
            <w:tcW w:w="1136" w:type="dxa"/>
            <w:tcBorders>
              <w:top w:val="single" w:sz="4" w:space="0" w:color="FFFFFF"/>
              <w:left w:val="nil"/>
              <w:bottom w:val="single" w:sz="4" w:space="0" w:color="FFFFFF"/>
              <w:right w:val="nil"/>
            </w:tcBorders>
            <w:shd w:val="clear" w:color="000000" w:fill="37424A"/>
            <w:noWrap/>
            <w:vAlign w:val="center"/>
            <w:hideMark/>
          </w:tcPr>
          <w:p w14:paraId="0BC01778" w14:textId="77777777" w:rsidR="005E7495" w:rsidRPr="00141C3A" w:rsidRDefault="005E7495" w:rsidP="00856101">
            <w:pPr>
              <w:spacing w:after="0" w:line="240" w:lineRule="auto"/>
              <w:rPr>
                <w:rFonts w:ascii="Cambria" w:eastAsia="Times New Roman" w:hAnsi="Cambria" w:cs="Calibri"/>
                <w:b/>
                <w:bCs/>
                <w:color w:val="FFFFFF"/>
                <w:sz w:val="18"/>
                <w:szCs w:val="18"/>
                <w:lang w:eastAsia="en-AU"/>
              </w:rPr>
            </w:pPr>
            <w:r w:rsidRPr="00141C3A">
              <w:rPr>
                <w:rFonts w:ascii="Cambria" w:eastAsia="Times New Roman" w:hAnsi="Cambria" w:cs="Calibri"/>
                <w:b/>
                <w:bCs/>
                <w:color w:val="FFFFFF"/>
                <w:sz w:val="18"/>
                <w:szCs w:val="18"/>
                <w:lang w:eastAsia="en-AU"/>
              </w:rPr>
              <w:t> </w:t>
            </w:r>
          </w:p>
        </w:tc>
        <w:tc>
          <w:tcPr>
            <w:tcW w:w="1176" w:type="dxa"/>
            <w:tcBorders>
              <w:top w:val="single" w:sz="4" w:space="0" w:color="FFFFFF"/>
              <w:left w:val="nil"/>
              <w:bottom w:val="single" w:sz="4" w:space="0" w:color="FFFFFF"/>
              <w:right w:val="nil"/>
            </w:tcBorders>
            <w:shd w:val="clear" w:color="000000" w:fill="37424A"/>
            <w:noWrap/>
            <w:vAlign w:val="center"/>
            <w:hideMark/>
          </w:tcPr>
          <w:p w14:paraId="6350FDC8" w14:textId="77777777" w:rsidR="005E7495" w:rsidRPr="00141C3A" w:rsidRDefault="005E7495" w:rsidP="00856101">
            <w:pPr>
              <w:spacing w:after="0" w:line="240" w:lineRule="auto"/>
              <w:rPr>
                <w:rFonts w:ascii="Cambria" w:eastAsia="Times New Roman" w:hAnsi="Cambria" w:cs="Calibri"/>
                <w:b/>
                <w:bCs/>
                <w:color w:val="FFFFFF"/>
                <w:sz w:val="18"/>
                <w:szCs w:val="18"/>
                <w:lang w:eastAsia="en-AU"/>
              </w:rPr>
            </w:pPr>
            <w:r w:rsidRPr="00141C3A">
              <w:rPr>
                <w:rFonts w:ascii="Cambria" w:eastAsia="Times New Roman" w:hAnsi="Cambria" w:cs="Calibri"/>
                <w:b/>
                <w:bCs/>
                <w:color w:val="FFFFFF"/>
                <w:sz w:val="18"/>
                <w:szCs w:val="18"/>
                <w:lang w:eastAsia="en-AU"/>
              </w:rPr>
              <w:t> </w:t>
            </w:r>
          </w:p>
        </w:tc>
        <w:tc>
          <w:tcPr>
            <w:tcW w:w="1176" w:type="dxa"/>
            <w:tcBorders>
              <w:top w:val="single" w:sz="4" w:space="0" w:color="FFFFFF"/>
              <w:left w:val="nil"/>
              <w:bottom w:val="single" w:sz="4" w:space="0" w:color="FFFFFF"/>
              <w:right w:val="nil"/>
            </w:tcBorders>
            <w:shd w:val="clear" w:color="000000" w:fill="37424A"/>
            <w:noWrap/>
            <w:vAlign w:val="center"/>
            <w:hideMark/>
          </w:tcPr>
          <w:p w14:paraId="3524BB6C" w14:textId="77777777" w:rsidR="005E7495" w:rsidRPr="00141C3A" w:rsidRDefault="005E7495" w:rsidP="00856101">
            <w:pPr>
              <w:spacing w:after="0" w:line="240" w:lineRule="auto"/>
              <w:rPr>
                <w:rFonts w:ascii="Cambria" w:eastAsia="Times New Roman" w:hAnsi="Cambria" w:cs="Calibri"/>
                <w:b/>
                <w:bCs/>
                <w:color w:val="FFFFFF"/>
                <w:sz w:val="18"/>
                <w:szCs w:val="18"/>
                <w:lang w:eastAsia="en-AU"/>
              </w:rPr>
            </w:pPr>
            <w:r w:rsidRPr="00141C3A">
              <w:rPr>
                <w:rFonts w:ascii="Cambria" w:eastAsia="Times New Roman" w:hAnsi="Cambria" w:cs="Calibri"/>
                <w:b/>
                <w:bCs/>
                <w:color w:val="FFFFFF"/>
                <w:sz w:val="18"/>
                <w:szCs w:val="18"/>
                <w:lang w:eastAsia="en-AU"/>
              </w:rPr>
              <w:t> </w:t>
            </w:r>
          </w:p>
        </w:tc>
      </w:tr>
      <w:tr w:rsidR="005E7495" w:rsidRPr="00141C3A" w14:paraId="376CD864" w14:textId="77777777" w:rsidTr="00856101">
        <w:trPr>
          <w:trHeight w:val="240"/>
        </w:trPr>
        <w:tc>
          <w:tcPr>
            <w:tcW w:w="3516" w:type="dxa"/>
            <w:tcBorders>
              <w:top w:val="nil"/>
              <w:left w:val="nil"/>
              <w:bottom w:val="nil"/>
              <w:right w:val="nil"/>
            </w:tcBorders>
            <w:noWrap/>
            <w:vAlign w:val="bottom"/>
            <w:hideMark/>
          </w:tcPr>
          <w:p w14:paraId="1E931CB3" w14:textId="77777777" w:rsidR="005E7495" w:rsidRPr="00141C3A" w:rsidRDefault="005E7495" w:rsidP="00856101">
            <w:pPr>
              <w:spacing w:after="0" w:line="240" w:lineRule="auto"/>
              <w:rPr>
                <w:rFonts w:ascii="Calibri" w:eastAsia="Times New Roman" w:hAnsi="Calibri" w:cs="Calibri"/>
                <w:color w:val="000000"/>
                <w:lang w:eastAsia="en-AU"/>
              </w:rPr>
            </w:pPr>
            <w:r w:rsidRPr="00141C3A">
              <w:rPr>
                <w:rFonts w:ascii="Calibri" w:eastAsia="Times New Roman" w:hAnsi="Calibri" w:cs="Calibri"/>
                <w:noProof/>
                <w:color w:val="000000"/>
                <w:lang w:eastAsia="en-AU"/>
              </w:rPr>
              <w:drawing>
                <wp:anchor distT="0" distB="0" distL="114300" distR="114300" simplePos="0" relativeHeight="251721728" behindDoc="0" locked="0" layoutInCell="1" allowOverlap="1" wp14:anchorId="1264AA90" wp14:editId="3AF0188D">
                  <wp:simplePos x="0" y="0"/>
                  <wp:positionH relativeFrom="column">
                    <wp:posOffset>106680</wp:posOffset>
                  </wp:positionH>
                  <wp:positionV relativeFrom="paragraph">
                    <wp:posOffset>0</wp:posOffset>
                  </wp:positionV>
                  <wp:extent cx="2110740" cy="0"/>
                  <wp:effectExtent l="0" t="0" r="0" b="0"/>
                  <wp:wrapNone/>
                  <wp:docPr id="234571674" name="Picture 103" descr="6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0" descr="6B"/>
                          <pic:cNvPicPr preferRelativeResize="0">
                            <a:picLocks noRot="1" noChangeArrowheads="1" noChangeShapeType="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11074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1C3A">
              <w:rPr>
                <w:rFonts w:ascii="Calibri" w:eastAsia="Times New Roman" w:hAnsi="Calibri" w:cs="Calibri"/>
                <w:noProof/>
                <w:color w:val="000000"/>
                <w:lang w:eastAsia="en-AU"/>
              </w:rPr>
              <w:drawing>
                <wp:anchor distT="0" distB="0" distL="114300" distR="114300" simplePos="0" relativeHeight="251722752" behindDoc="0" locked="0" layoutInCell="1" allowOverlap="1" wp14:anchorId="27EAA294" wp14:editId="6F6BDAEF">
                  <wp:simplePos x="0" y="0"/>
                  <wp:positionH relativeFrom="column">
                    <wp:posOffset>2217420</wp:posOffset>
                  </wp:positionH>
                  <wp:positionV relativeFrom="paragraph">
                    <wp:posOffset>0</wp:posOffset>
                  </wp:positionV>
                  <wp:extent cx="0" cy="0"/>
                  <wp:effectExtent l="0" t="0" r="0" b="0"/>
                  <wp:wrapNone/>
                  <wp:docPr id="2053549644" name="Picture 102" descr="6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1" descr="6A"/>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1C3A">
              <w:rPr>
                <w:rFonts w:ascii="Calibri" w:eastAsia="Times New Roman" w:hAnsi="Calibri" w:cs="Calibri"/>
                <w:noProof/>
                <w:color w:val="000000"/>
                <w:lang w:eastAsia="en-AU"/>
              </w:rPr>
              <w:drawing>
                <wp:anchor distT="0" distB="0" distL="114300" distR="114300" simplePos="0" relativeHeight="251723776" behindDoc="0" locked="0" layoutInCell="1" allowOverlap="1" wp14:anchorId="17BAF47E" wp14:editId="7A424E60">
                  <wp:simplePos x="0" y="0"/>
                  <wp:positionH relativeFrom="column">
                    <wp:posOffset>2217420</wp:posOffset>
                  </wp:positionH>
                  <wp:positionV relativeFrom="paragraph">
                    <wp:posOffset>0</wp:posOffset>
                  </wp:positionV>
                  <wp:extent cx="0" cy="0"/>
                  <wp:effectExtent l="0" t="0" r="0" b="0"/>
                  <wp:wrapNone/>
                  <wp:docPr id="1977100572" name="Picture 101" descr="6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2" descr="6B"/>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1C3A">
              <w:rPr>
                <w:rFonts w:ascii="Calibri" w:eastAsia="Times New Roman" w:hAnsi="Calibri" w:cs="Calibri"/>
                <w:noProof/>
                <w:color w:val="000000"/>
                <w:lang w:eastAsia="en-AU"/>
              </w:rPr>
              <w:drawing>
                <wp:anchor distT="0" distB="0" distL="114300" distR="114300" simplePos="0" relativeHeight="251724800" behindDoc="0" locked="0" layoutInCell="1" allowOverlap="1" wp14:anchorId="5CC5B973" wp14:editId="2868654B">
                  <wp:simplePos x="0" y="0"/>
                  <wp:positionH relativeFrom="column">
                    <wp:posOffset>2217420</wp:posOffset>
                  </wp:positionH>
                  <wp:positionV relativeFrom="paragraph">
                    <wp:posOffset>0</wp:posOffset>
                  </wp:positionV>
                  <wp:extent cx="0" cy="0"/>
                  <wp:effectExtent l="0" t="0" r="0" b="0"/>
                  <wp:wrapNone/>
                  <wp:docPr id="1176423514" name="Picture 100" descr="9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descr="9A"/>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1C3A">
              <w:rPr>
                <w:rFonts w:ascii="Calibri" w:eastAsia="Times New Roman" w:hAnsi="Calibri" w:cs="Calibri"/>
                <w:noProof/>
                <w:color w:val="000000"/>
                <w:lang w:eastAsia="en-AU"/>
              </w:rPr>
              <w:drawing>
                <wp:anchor distT="0" distB="0" distL="114300" distR="114300" simplePos="0" relativeHeight="251725824" behindDoc="0" locked="0" layoutInCell="1" allowOverlap="1" wp14:anchorId="4802B308" wp14:editId="2A9B0A02">
                  <wp:simplePos x="0" y="0"/>
                  <wp:positionH relativeFrom="column">
                    <wp:posOffset>2217420</wp:posOffset>
                  </wp:positionH>
                  <wp:positionV relativeFrom="paragraph">
                    <wp:posOffset>0</wp:posOffset>
                  </wp:positionV>
                  <wp:extent cx="0" cy="0"/>
                  <wp:effectExtent l="0" t="0" r="0" b="0"/>
                  <wp:wrapNone/>
                  <wp:docPr id="724209601" name="Picture 99" descr="9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4" descr="9B"/>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1C3A">
              <w:rPr>
                <w:rFonts w:ascii="Calibri" w:eastAsia="Times New Roman" w:hAnsi="Calibri" w:cs="Calibri"/>
                <w:noProof/>
                <w:color w:val="000000"/>
                <w:lang w:eastAsia="en-AU"/>
              </w:rPr>
              <w:drawing>
                <wp:anchor distT="0" distB="0" distL="114300" distR="114300" simplePos="0" relativeHeight="251726848" behindDoc="0" locked="0" layoutInCell="1" allowOverlap="1" wp14:anchorId="18DBA8E0" wp14:editId="3DEA4B0E">
                  <wp:simplePos x="0" y="0"/>
                  <wp:positionH relativeFrom="column">
                    <wp:posOffset>2217420</wp:posOffset>
                  </wp:positionH>
                  <wp:positionV relativeFrom="paragraph">
                    <wp:posOffset>0</wp:posOffset>
                  </wp:positionV>
                  <wp:extent cx="0" cy="0"/>
                  <wp:effectExtent l="0" t="0" r="0" b="0"/>
                  <wp:wrapNone/>
                  <wp:docPr id="114988666" name="Picture 98" descr="8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5" descr="8A"/>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1C3A">
              <w:rPr>
                <w:rFonts w:ascii="Calibri" w:eastAsia="Times New Roman" w:hAnsi="Calibri" w:cs="Calibri"/>
                <w:noProof/>
                <w:color w:val="000000"/>
                <w:lang w:eastAsia="en-AU"/>
              </w:rPr>
              <w:drawing>
                <wp:anchor distT="0" distB="0" distL="114300" distR="114300" simplePos="0" relativeHeight="251727872" behindDoc="0" locked="0" layoutInCell="1" allowOverlap="1" wp14:anchorId="604E1BF8" wp14:editId="2F93E8AA">
                  <wp:simplePos x="0" y="0"/>
                  <wp:positionH relativeFrom="column">
                    <wp:posOffset>2217420</wp:posOffset>
                  </wp:positionH>
                  <wp:positionV relativeFrom="paragraph">
                    <wp:posOffset>0</wp:posOffset>
                  </wp:positionV>
                  <wp:extent cx="0" cy="0"/>
                  <wp:effectExtent l="0" t="0" r="0" b="0"/>
                  <wp:wrapNone/>
                  <wp:docPr id="2103627969" name="Picture 97" descr="10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 descr="10B"/>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1C3A">
              <w:rPr>
                <w:rFonts w:ascii="Calibri" w:eastAsia="Times New Roman" w:hAnsi="Calibri" w:cs="Calibri"/>
                <w:noProof/>
                <w:color w:val="000000"/>
                <w:lang w:eastAsia="en-AU"/>
              </w:rPr>
              <w:drawing>
                <wp:anchor distT="0" distB="0" distL="114300" distR="114300" simplePos="0" relativeHeight="251728896" behindDoc="0" locked="0" layoutInCell="1" allowOverlap="1" wp14:anchorId="585186FE" wp14:editId="4AB491D1">
                  <wp:simplePos x="0" y="0"/>
                  <wp:positionH relativeFrom="column">
                    <wp:posOffset>2217420</wp:posOffset>
                  </wp:positionH>
                  <wp:positionV relativeFrom="paragraph">
                    <wp:posOffset>0</wp:posOffset>
                  </wp:positionV>
                  <wp:extent cx="0" cy="0"/>
                  <wp:effectExtent l="0" t="0" r="0" b="0"/>
                  <wp:wrapNone/>
                  <wp:docPr id="1570726425" name="Picture 96" descr="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 descr="13"/>
                          <pic:cNvPicPr preferRelativeResize="0">
                            <a:picLocks noRot="1" noChangeArrowheads="1" noChangeShapeType="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300"/>
            </w:tblGrid>
            <w:tr w:rsidR="005E7495" w:rsidRPr="00141C3A" w14:paraId="5B80A303" w14:textId="77777777" w:rsidTr="00856101">
              <w:trPr>
                <w:trHeight w:val="240"/>
                <w:tblCellSpacing w:w="0" w:type="dxa"/>
              </w:trPr>
              <w:tc>
                <w:tcPr>
                  <w:tcW w:w="3500" w:type="dxa"/>
                  <w:tcBorders>
                    <w:top w:val="nil"/>
                    <w:left w:val="nil"/>
                    <w:bottom w:val="nil"/>
                    <w:right w:val="nil"/>
                  </w:tcBorders>
                  <w:vAlign w:val="bottom"/>
                  <w:hideMark/>
                </w:tcPr>
                <w:p w14:paraId="0CC0CCE2" w14:textId="77777777" w:rsidR="005E7495" w:rsidRPr="00141C3A" w:rsidRDefault="005E7495" w:rsidP="00856101">
                  <w:pPr>
                    <w:spacing w:after="0" w:line="240" w:lineRule="auto"/>
                    <w:rPr>
                      <w:rFonts w:ascii="Calibri" w:eastAsia="Times New Roman" w:hAnsi="Calibri" w:cs="Calibri"/>
                      <w:color w:val="000000"/>
                      <w:lang w:eastAsia="en-AU"/>
                    </w:rPr>
                  </w:pPr>
                </w:p>
              </w:tc>
            </w:tr>
          </w:tbl>
          <w:p w14:paraId="70FA8AAB" w14:textId="77777777" w:rsidR="005E7495" w:rsidRPr="00141C3A" w:rsidRDefault="005E7495" w:rsidP="00856101">
            <w:pPr>
              <w:spacing w:after="0" w:line="240" w:lineRule="auto"/>
              <w:rPr>
                <w:rFonts w:ascii="Calibri" w:eastAsia="Times New Roman" w:hAnsi="Calibri" w:cs="Calibri"/>
                <w:color w:val="000000"/>
                <w:lang w:eastAsia="en-AU"/>
              </w:rPr>
            </w:pPr>
          </w:p>
        </w:tc>
        <w:tc>
          <w:tcPr>
            <w:tcW w:w="1136" w:type="dxa"/>
            <w:tcBorders>
              <w:top w:val="nil"/>
              <w:left w:val="nil"/>
              <w:bottom w:val="nil"/>
              <w:right w:val="nil"/>
            </w:tcBorders>
            <w:vAlign w:val="bottom"/>
            <w:hideMark/>
          </w:tcPr>
          <w:p w14:paraId="56A6C77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vAlign w:val="bottom"/>
            <w:hideMark/>
          </w:tcPr>
          <w:p w14:paraId="574012E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vAlign w:val="bottom"/>
            <w:hideMark/>
          </w:tcPr>
          <w:p w14:paraId="5021F17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r w:rsidRPr="00141C3A">
              <w:rPr>
                <w:rFonts w:ascii="Calibri" w:eastAsia="Times New Roman" w:hAnsi="Calibri" w:cs="Calibri"/>
                <w:noProof/>
                <w:color w:val="000000"/>
                <w:lang w:eastAsia="en-AU"/>
              </w:rPr>
              <mc:AlternateContent>
                <mc:Choice Requires="wps">
                  <w:drawing>
                    <wp:anchor distT="0" distB="0" distL="114300" distR="114300" simplePos="0" relativeHeight="251729920" behindDoc="0" locked="0" layoutInCell="1" allowOverlap="1" wp14:anchorId="0C4AED13" wp14:editId="3175A5D4">
                      <wp:simplePos x="0" y="0"/>
                      <wp:positionH relativeFrom="column">
                        <wp:posOffset>-3743325</wp:posOffset>
                      </wp:positionH>
                      <wp:positionV relativeFrom="paragraph">
                        <wp:posOffset>262255</wp:posOffset>
                      </wp:positionV>
                      <wp:extent cx="5921375" cy="6305550"/>
                      <wp:effectExtent l="0" t="0" r="22225" b="19050"/>
                      <wp:wrapNone/>
                      <wp:docPr id="2023496278" name="Text Box 95">
                        <a:extLst xmlns:a="http://schemas.openxmlformats.org/drawingml/2006/main">
                          <a:ext uri="{FF2B5EF4-FFF2-40B4-BE49-F238E27FC236}">
                            <a16:creationId xmlns:a16="http://schemas.microsoft.com/office/drawing/2014/main" id="{00000000-0008-0000-2100-00000B000000}"/>
                          </a:ext>
                        </a:extLst>
                      </wp:docPr>
                      <wp:cNvGraphicFramePr/>
                      <a:graphic xmlns:a="http://schemas.openxmlformats.org/drawingml/2006/main">
                        <a:graphicData uri="http://schemas.microsoft.com/office/word/2010/wordprocessingShape">
                          <wps:wsp>
                            <wps:cNvSpPr txBox="1"/>
                            <wps:spPr>
                              <a:xfrm>
                                <a:off x="0" y="0"/>
                                <a:ext cx="5921375" cy="6305550"/>
                              </a:xfrm>
                              <a:prstGeom prst="rect">
                                <a:avLst/>
                              </a:prstGeom>
                              <a:noFill/>
                              <a:ln w="12700" cap="flat" cmpd="sng" algn="ctr">
                                <a:solidFill>
                                  <a:srgbClr val="009560"/>
                                </a:solidFill>
                                <a:prstDash val="solid"/>
                                <a:round/>
                                <a:headEnd type="none" w="med" len="med"/>
                                <a:tailEnd type="none" w="med" len="med"/>
                              </a:ln>
                              <a:effectLst/>
                            </wps:spPr>
                            <wps:txbx>
                              <w:txbxContent>
                                <w:p w14:paraId="785B370A" w14:textId="77777777" w:rsidR="005E7495" w:rsidRPr="00067431" w:rsidRDefault="005E7495" w:rsidP="005E7495">
                                  <w:pPr>
                                    <w:rPr>
                                      <w:rFonts w:cs="Arial"/>
                                      <w:b/>
                                      <w:bCs/>
                                      <w:color w:val="15272F" w:themeColor="dark1"/>
                                      <w:sz w:val="18"/>
                                      <w:szCs w:val="18"/>
                                    </w:rPr>
                                  </w:pPr>
                                  <w:r w:rsidRPr="00067431">
                                    <w:rPr>
                                      <w:rFonts w:cs="Arial"/>
                                      <w:b/>
                                      <w:bCs/>
                                      <w:color w:val="15272F" w:themeColor="dark1"/>
                                      <w:sz w:val="18"/>
                                      <w:szCs w:val="18"/>
                                    </w:rPr>
                                    <w:t>Accounting Policy</w:t>
                                  </w:r>
                                </w:p>
                                <w:p w14:paraId="5E5B6CD3" w14:textId="77777777" w:rsidR="005E7495" w:rsidRPr="00067431" w:rsidRDefault="005E7495" w:rsidP="005E7495">
                                  <w:pPr>
                                    <w:textAlignment w:val="baseline"/>
                                    <w:rPr>
                                      <w:rFonts w:cs="Arial"/>
                                      <w:color w:val="15272F" w:themeColor="dark1"/>
                                      <w:sz w:val="18"/>
                                      <w:szCs w:val="18"/>
                                    </w:rPr>
                                  </w:pPr>
                                  <w:r w:rsidRPr="00067431">
                                    <w:rPr>
                                      <w:rFonts w:cs="Arial"/>
                                      <w:color w:val="15272F" w:themeColor="dark1"/>
                                      <w:sz w:val="18"/>
                                      <w:szCs w:val="18"/>
                                    </w:rPr>
                                    <w:t xml:space="preserve">As allowed for by AASB 13 </w:t>
                                  </w:r>
                                  <w:r w:rsidRPr="00067431">
                                    <w:rPr>
                                      <w:rFonts w:cs="Arial"/>
                                      <w:i/>
                                      <w:iCs/>
                                      <w:color w:val="15272F" w:themeColor="dark1"/>
                                      <w:sz w:val="18"/>
                                      <w:szCs w:val="18"/>
                                    </w:rPr>
                                    <w:t>Fair Value Measurement</w:t>
                                  </w:r>
                                  <w:r w:rsidRPr="00067431">
                                    <w:rPr>
                                      <w:rFonts w:cs="Arial"/>
                                      <w:color w:val="15272F" w:themeColor="dark1"/>
                                      <w:sz w:val="18"/>
                                      <w:szCs w:val="18"/>
                                    </w:rPr>
                                    <w:t>, quantitative information on significant unobservable inputs used in determining fair value is not disclosed.</w:t>
                                  </w:r>
                                  <w:r w:rsidRPr="00067431">
                                    <w:rPr>
                                      <w:rFonts w:cs="Arial"/>
                                      <w:color w:val="15272F" w:themeColor="dark1"/>
                                      <w:sz w:val="18"/>
                                      <w:szCs w:val="18"/>
                                    </w:rPr>
                                    <w:tab/>
                                  </w:r>
                                </w:p>
                                <w:p w14:paraId="746AC4AC" w14:textId="77777777" w:rsidR="005E7495" w:rsidRPr="00067431" w:rsidRDefault="005E7495" w:rsidP="005E7495">
                                  <w:pPr>
                                    <w:textAlignment w:val="baseline"/>
                                    <w:rPr>
                                      <w:rFonts w:cs="Arial"/>
                                      <w:color w:val="15272F" w:themeColor="dark1"/>
                                      <w:sz w:val="18"/>
                                      <w:szCs w:val="18"/>
                                    </w:rPr>
                                  </w:pPr>
                                  <w:r w:rsidRPr="00067431">
                                    <w:rPr>
                                      <w:rFonts w:cs="Arial"/>
                                      <w:color w:val="15272F" w:themeColor="dark1"/>
                                      <w:sz w:val="18"/>
                                      <w:szCs w:val="18"/>
                                    </w:rPr>
                                    <w:t xml:space="preserve">Assets held at fair value include leasehold improvements and property, plant and equipment. Assets not held at fair value include computer software and Right-of-Use (ROU) assets. </w:t>
                                  </w:r>
                                </w:p>
                                <w:p w14:paraId="3F07FB83" w14:textId="77777777" w:rsidR="005E7495" w:rsidRPr="00067431" w:rsidRDefault="005E7495" w:rsidP="005E7495">
                                  <w:pPr>
                                    <w:rPr>
                                      <w:rFonts w:cs="Arial"/>
                                      <w:color w:val="15272F" w:themeColor="dark1"/>
                                      <w:sz w:val="18"/>
                                      <w:szCs w:val="18"/>
                                    </w:rPr>
                                  </w:pPr>
                                  <w:r w:rsidRPr="00067431">
                                    <w:rPr>
                                      <w:rFonts w:cs="Arial"/>
                                      <w:color w:val="15272F" w:themeColor="dark1"/>
                                      <w:sz w:val="18"/>
                                      <w:szCs w:val="18"/>
                                    </w:rPr>
                                    <w:t>IHACPA tests the procedures of the valuation model as an internal management review at least once every 12 months (with a formal revaluation undertaken once every three years). An independent revaluation was undertaken by Jones Lang LaSalle Public Sector Valuations Pty Ltd in June 2025 in accordance with the valuation methodologies outlined below. This revaluation resulted in a fair value adjustment to leasehold improvement assets, which was recognised through movements in the asset revaluation reserve.</w:t>
                                  </w:r>
                                </w:p>
                                <w:p w14:paraId="3048A257" w14:textId="77777777" w:rsidR="005E7495" w:rsidRPr="00067431" w:rsidRDefault="005E7495" w:rsidP="005E7495">
                                  <w:pPr>
                                    <w:rPr>
                                      <w:rFonts w:cs="Arial"/>
                                      <w:sz w:val="18"/>
                                      <w:szCs w:val="18"/>
                                    </w:rPr>
                                  </w:pPr>
                                  <w:r w:rsidRPr="00067431">
                                    <w:rPr>
                                      <w:rFonts w:cs="Arial"/>
                                      <w:sz w:val="18"/>
                                      <w:szCs w:val="18"/>
                                    </w:rPr>
                                    <w:t xml:space="preserve">If a particular asset class experiences significant and volatile changes in fair value (that is, where indicators suggest that the value of the class has changed materially since the previous reporting period), that class is subject to specific valuation in the reporting period, where practicable, regardless of the timing of the last specific valuation.  </w:t>
                                  </w:r>
                                </w:p>
                                <w:p w14:paraId="6D889D99" w14:textId="77777777" w:rsidR="005E7495" w:rsidRPr="00067431" w:rsidRDefault="005E7495" w:rsidP="005E7495">
                                  <w:pPr>
                                    <w:spacing w:after="0"/>
                                    <w:textAlignment w:val="baseline"/>
                                    <w:rPr>
                                      <w:rFonts w:cs="Arial"/>
                                      <w:sz w:val="18"/>
                                      <w:szCs w:val="18"/>
                                    </w:rPr>
                                  </w:pPr>
                                  <w:r w:rsidRPr="00067431">
                                    <w:rPr>
                                      <w:rFonts w:cs="Arial"/>
                                      <w:sz w:val="18"/>
                                      <w:szCs w:val="18"/>
                                    </w:rPr>
                                    <w:t>The categories of fair value measurement are:</w:t>
                                  </w:r>
                                  <w:r w:rsidRPr="00067431">
                                    <w:rPr>
                                      <w:rFonts w:cs="Arial"/>
                                      <w:sz w:val="18"/>
                                      <w:szCs w:val="18"/>
                                    </w:rPr>
                                    <w:tab/>
                                  </w:r>
                                </w:p>
                                <w:p w14:paraId="2D12E70D" w14:textId="77777777" w:rsidR="005E7495" w:rsidRPr="00067431" w:rsidRDefault="005E7495" w:rsidP="005E7495">
                                  <w:pPr>
                                    <w:spacing w:after="0"/>
                                    <w:textAlignment w:val="baseline"/>
                                    <w:rPr>
                                      <w:rFonts w:cs="Arial"/>
                                      <w:sz w:val="18"/>
                                      <w:szCs w:val="18"/>
                                    </w:rPr>
                                  </w:pPr>
                                  <w:r w:rsidRPr="00067431">
                                    <w:rPr>
                                      <w:rFonts w:cs="Arial"/>
                                      <w:sz w:val="18"/>
                                      <w:szCs w:val="18"/>
                                    </w:rPr>
                                    <w:t>a) Level 1: quoted prices (unadjusted) in active markets for identical assets that the entity can access at measurement date.</w:t>
                                  </w:r>
                                  <w:r w:rsidRPr="00067431">
                                    <w:rPr>
                                      <w:rFonts w:cs="Arial"/>
                                      <w:sz w:val="18"/>
                                      <w:szCs w:val="18"/>
                                    </w:rPr>
                                    <w:tab/>
                                  </w:r>
                                </w:p>
                                <w:p w14:paraId="4936A9ED" w14:textId="77777777" w:rsidR="005E7495" w:rsidRPr="00067431" w:rsidRDefault="005E7495" w:rsidP="005E7495">
                                  <w:pPr>
                                    <w:spacing w:after="0"/>
                                    <w:textAlignment w:val="baseline"/>
                                    <w:rPr>
                                      <w:rFonts w:cs="Arial"/>
                                      <w:sz w:val="18"/>
                                      <w:szCs w:val="18"/>
                                    </w:rPr>
                                  </w:pPr>
                                  <w:r w:rsidRPr="00067431">
                                    <w:rPr>
                                      <w:rFonts w:cs="Arial"/>
                                      <w:sz w:val="18"/>
                                      <w:szCs w:val="18"/>
                                    </w:rPr>
                                    <w:t>b) Level 2: inputs other than quoted prices included within Level 1 that are observable for the asset, either directly or indirectly.</w:t>
                                  </w:r>
                                  <w:r w:rsidRPr="00067431">
                                    <w:rPr>
                                      <w:rFonts w:cs="Arial"/>
                                      <w:sz w:val="18"/>
                                      <w:szCs w:val="18"/>
                                    </w:rPr>
                                    <w:tab/>
                                  </w:r>
                                </w:p>
                                <w:p w14:paraId="5121B885" w14:textId="77777777" w:rsidR="005E7495" w:rsidRPr="00067431" w:rsidRDefault="005E7495" w:rsidP="005E7495">
                                  <w:pPr>
                                    <w:spacing w:after="0"/>
                                    <w:textAlignment w:val="baseline"/>
                                    <w:rPr>
                                      <w:rFonts w:cs="Arial"/>
                                      <w:sz w:val="18"/>
                                      <w:szCs w:val="18"/>
                                    </w:rPr>
                                  </w:pPr>
                                  <w:r w:rsidRPr="00067431">
                                    <w:rPr>
                                      <w:rFonts w:cs="Arial"/>
                                      <w:sz w:val="18"/>
                                      <w:szCs w:val="18"/>
                                    </w:rPr>
                                    <w:t>c) Level 3: unobservable inputs.</w:t>
                                  </w:r>
                                </w:p>
                                <w:p w14:paraId="15B0B4D7" w14:textId="77777777" w:rsidR="005E7495" w:rsidRDefault="005E7495" w:rsidP="005E7495">
                                  <w:pPr>
                                    <w:textAlignment w:val="baseline"/>
                                    <w:rPr>
                                      <w:rFonts w:cs="Arial"/>
                                      <w:sz w:val="18"/>
                                      <w:szCs w:val="18"/>
                                    </w:rPr>
                                  </w:pPr>
                                </w:p>
                                <w:p w14:paraId="37164C83" w14:textId="77777777" w:rsidR="005E7495" w:rsidRPr="00067431" w:rsidRDefault="005E7495" w:rsidP="005E7495">
                                  <w:pPr>
                                    <w:textAlignment w:val="baseline"/>
                                    <w:rPr>
                                      <w:rFonts w:cs="Arial"/>
                                      <w:sz w:val="18"/>
                                      <w:szCs w:val="18"/>
                                    </w:rPr>
                                  </w:pPr>
                                  <w:r w:rsidRPr="00067431">
                                    <w:rPr>
                                      <w:rFonts w:cs="Arial"/>
                                      <w:sz w:val="18"/>
                                      <w:szCs w:val="18"/>
                                    </w:rPr>
                                    <w:t xml:space="preserve">IHACPA's assets are held at fair value and are measured at category Levels 2 or 3 with no fair values measured at category Level 1. </w:t>
                                  </w:r>
                                  <w:r w:rsidRPr="00067431">
                                    <w:rPr>
                                      <w:rFonts w:cs="Arial"/>
                                      <w:sz w:val="18"/>
                                      <w:szCs w:val="18"/>
                                    </w:rPr>
                                    <w:tab/>
                                  </w:r>
                                </w:p>
                                <w:p w14:paraId="6D81FE1A" w14:textId="77777777" w:rsidR="005E7495" w:rsidRPr="00067431" w:rsidRDefault="005E7495" w:rsidP="005E7495">
                                  <w:pPr>
                                    <w:textAlignment w:val="baseline"/>
                                    <w:rPr>
                                      <w:rFonts w:cs="Arial"/>
                                      <w:sz w:val="18"/>
                                      <w:szCs w:val="18"/>
                                    </w:rPr>
                                  </w:pPr>
                                  <w:r w:rsidRPr="00067431">
                                    <w:rPr>
                                      <w:rFonts w:cs="Arial"/>
                                      <w:sz w:val="18"/>
                                      <w:szCs w:val="18"/>
                                    </w:rPr>
                                    <w:t xml:space="preserve">Leasehold improvements are measured at category Level 3 and the valuation methodology used is Current Replacement Cost (CRC). Under CRC the estimated cost to replace the asset is calculated, with reference to new replacement price per square metre, and then adjusted to take into account its consumed economic benefit (accumulated depreciation). The consumed economic benefit has been determined based on the professional judgement with regard to physical, economic and external obsolescence factors. </w:t>
                                  </w:r>
                                </w:p>
                                <w:p w14:paraId="2EFE1459" w14:textId="77777777" w:rsidR="005E7495" w:rsidRPr="00067431" w:rsidRDefault="005E7495" w:rsidP="005E7495">
                                  <w:pPr>
                                    <w:textAlignment w:val="baseline"/>
                                    <w:rPr>
                                      <w:rFonts w:asciiTheme="majorHAnsi" w:hAnsi="Josefin Sans Bold"/>
                                      <w:sz w:val="20"/>
                                      <w:szCs w:val="20"/>
                                    </w:rPr>
                                  </w:pPr>
                                  <w:r w:rsidRPr="00067431">
                                    <w:rPr>
                                      <w:rFonts w:cs="Arial"/>
                                      <w:sz w:val="18"/>
                                      <w:szCs w:val="18"/>
                                    </w:rPr>
                                    <w:t>Property, plant and equipment is measured at either category Level 2 or 3. The valuation methodology is either market approach or CRC, based on replacement cost for a new equivalent asset. The significant unobservable inputs used in the fair value measurement of property, plant and equipment assets are the market demand and professional judgement.</w:t>
                                  </w:r>
                                  <w:r w:rsidRPr="00067431">
                                    <w:rPr>
                                      <w:rFonts w:asciiTheme="majorHAnsi" w:hAnsi="Josefin Sans Bold"/>
                                    </w:rPr>
                                    <w:tab/>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0C4AED13" id="Text Box 95" o:spid="_x0000_s1044" type="#_x0000_t202" style="position:absolute;margin-left:-294.75pt;margin-top:20.65pt;width:466.25pt;height:49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" filled="f" strokecolor="#009560" strokeweight="1pt">
                      <v:stroke joinstyle="round"/>
                      <v:textbox>
                        <w:txbxContent>
                          <w:p w14:paraId="785B370A" w14:textId="77777777" w:rsidR="005E7495" w:rsidRPr="00067431" w:rsidRDefault="005E7495" w:rsidP="005E7495">
                            <w:pPr>
                              <w:rPr>
                                <w:rFonts w:cs="Arial"/>
                                <w:b/>
                                <w:bCs/>
                                <w:color w:val="15272F" w:themeColor="dark1"/>
                                <w:sz w:val="18"/>
                                <w:szCs w:val="18"/>
                              </w:rPr>
                            </w:pPr>
                            <w:r w:rsidRPr="00067431">
                              <w:rPr>
                                <w:rFonts w:cs="Arial"/>
                                <w:b/>
                                <w:bCs/>
                                <w:color w:val="15272F" w:themeColor="dark1"/>
                                <w:sz w:val="18"/>
                                <w:szCs w:val="18"/>
                              </w:rPr>
                              <w:t>Accounting Policy</w:t>
                            </w:r>
                          </w:p>
                          <w:p w14:paraId="5E5B6CD3" w14:textId="77777777" w:rsidR="005E7495" w:rsidRPr="00067431" w:rsidRDefault="005E7495" w:rsidP="005E7495">
                            <w:pPr>
                              <w:textAlignment w:val="baseline"/>
                              <w:rPr>
                                <w:rFonts w:cs="Arial"/>
                                <w:color w:val="15272F" w:themeColor="dark1"/>
                                <w:sz w:val="18"/>
                                <w:szCs w:val="18"/>
                              </w:rPr>
                            </w:pPr>
                            <w:r w:rsidRPr="00067431">
                              <w:rPr>
                                <w:rFonts w:cs="Arial"/>
                                <w:color w:val="15272F" w:themeColor="dark1"/>
                                <w:sz w:val="18"/>
                                <w:szCs w:val="18"/>
                              </w:rPr>
                              <w:t xml:space="preserve">As allowed for by AASB 13 </w:t>
                            </w:r>
                            <w:r w:rsidRPr="00067431">
                              <w:rPr>
                                <w:rFonts w:cs="Arial"/>
                                <w:i/>
                                <w:iCs/>
                                <w:color w:val="15272F" w:themeColor="dark1"/>
                                <w:sz w:val="18"/>
                                <w:szCs w:val="18"/>
                              </w:rPr>
                              <w:t>Fair Value Measurement</w:t>
                            </w:r>
                            <w:r w:rsidRPr="00067431">
                              <w:rPr>
                                <w:rFonts w:cs="Arial"/>
                                <w:color w:val="15272F" w:themeColor="dark1"/>
                                <w:sz w:val="18"/>
                                <w:szCs w:val="18"/>
                              </w:rPr>
                              <w:t>, quantitative information on significant unobservable inputs used in determining fair value is not disclosed.</w:t>
                            </w:r>
                            <w:r w:rsidRPr="00067431">
                              <w:rPr>
                                <w:rFonts w:cs="Arial"/>
                                <w:color w:val="15272F" w:themeColor="dark1"/>
                                <w:sz w:val="18"/>
                                <w:szCs w:val="18"/>
                              </w:rPr>
                              <w:tab/>
                            </w:r>
                          </w:p>
                          <w:p w14:paraId="746AC4AC" w14:textId="77777777" w:rsidR="005E7495" w:rsidRPr="00067431" w:rsidRDefault="005E7495" w:rsidP="005E7495">
                            <w:pPr>
                              <w:textAlignment w:val="baseline"/>
                              <w:rPr>
                                <w:rFonts w:cs="Arial"/>
                                <w:color w:val="15272F" w:themeColor="dark1"/>
                                <w:sz w:val="18"/>
                                <w:szCs w:val="18"/>
                              </w:rPr>
                            </w:pPr>
                            <w:r w:rsidRPr="00067431">
                              <w:rPr>
                                <w:rFonts w:cs="Arial"/>
                                <w:color w:val="15272F" w:themeColor="dark1"/>
                                <w:sz w:val="18"/>
                                <w:szCs w:val="18"/>
                              </w:rPr>
                              <w:t xml:space="preserve">Assets held at fair value include leasehold improvements and property, plant and equipment. Assets not held at fair value include computer software and Right-of-Use (ROU) assets. </w:t>
                            </w:r>
                          </w:p>
                          <w:p w14:paraId="3F07FB83" w14:textId="77777777" w:rsidR="005E7495" w:rsidRPr="00067431" w:rsidRDefault="005E7495" w:rsidP="005E7495">
                            <w:pPr>
                              <w:rPr>
                                <w:rFonts w:cs="Arial"/>
                                <w:color w:val="15272F" w:themeColor="dark1"/>
                                <w:sz w:val="18"/>
                                <w:szCs w:val="18"/>
                              </w:rPr>
                            </w:pPr>
                            <w:r w:rsidRPr="00067431">
                              <w:rPr>
                                <w:rFonts w:cs="Arial"/>
                                <w:color w:val="15272F" w:themeColor="dark1"/>
                                <w:sz w:val="18"/>
                                <w:szCs w:val="18"/>
                              </w:rPr>
                              <w:t>IHACPA tests the procedures of the valuation model as an internal management review at least once every 12 months (with a formal revaluation undertaken once every three years). An independent revaluation was undertaken by Jones Lang LaSalle Public Sector Valuations Pty Ltd in June 2025 in accordance with the valuation methodologies outlined below. This revaluation resulted in a fair value adjustment to leasehold improvement assets, which was recognised through movements in the asset revaluation reserve.</w:t>
                            </w:r>
                          </w:p>
                          <w:p w14:paraId="3048A257" w14:textId="77777777" w:rsidR="005E7495" w:rsidRPr="00067431" w:rsidRDefault="005E7495" w:rsidP="005E7495">
                            <w:pPr>
                              <w:rPr>
                                <w:rFonts w:cs="Arial"/>
                                <w:sz w:val="18"/>
                                <w:szCs w:val="18"/>
                              </w:rPr>
                            </w:pPr>
                            <w:r w:rsidRPr="00067431">
                              <w:rPr>
                                <w:rFonts w:cs="Arial"/>
                                <w:sz w:val="18"/>
                                <w:szCs w:val="18"/>
                              </w:rPr>
                              <w:t xml:space="preserve">If a particular asset class experiences significant and volatile changes in fair value (that is, where indicators suggest that the value of the class has changed materially since the previous reporting period), that class is subject to specific valuation in the reporting period, where practicable, regardless of the timing of the last specific valuation.  </w:t>
                            </w:r>
                          </w:p>
                          <w:p w14:paraId="6D889D99" w14:textId="77777777" w:rsidR="005E7495" w:rsidRPr="00067431" w:rsidRDefault="005E7495" w:rsidP="005E7495">
                            <w:pPr>
                              <w:spacing w:after="0"/>
                              <w:textAlignment w:val="baseline"/>
                              <w:rPr>
                                <w:rFonts w:cs="Arial"/>
                                <w:sz w:val="18"/>
                                <w:szCs w:val="18"/>
                              </w:rPr>
                            </w:pPr>
                            <w:r w:rsidRPr="00067431">
                              <w:rPr>
                                <w:rFonts w:cs="Arial"/>
                                <w:sz w:val="18"/>
                                <w:szCs w:val="18"/>
                              </w:rPr>
                              <w:t>The categories of fair value measurement are:</w:t>
                            </w:r>
                            <w:r w:rsidRPr="00067431">
                              <w:rPr>
                                <w:rFonts w:cs="Arial"/>
                                <w:sz w:val="18"/>
                                <w:szCs w:val="18"/>
                              </w:rPr>
                              <w:tab/>
                            </w:r>
                          </w:p>
                          <w:p w14:paraId="2D12E70D" w14:textId="77777777" w:rsidR="005E7495" w:rsidRPr="00067431" w:rsidRDefault="005E7495" w:rsidP="005E7495">
                            <w:pPr>
                              <w:spacing w:after="0"/>
                              <w:textAlignment w:val="baseline"/>
                              <w:rPr>
                                <w:rFonts w:cs="Arial"/>
                                <w:sz w:val="18"/>
                                <w:szCs w:val="18"/>
                              </w:rPr>
                            </w:pPr>
                            <w:r w:rsidRPr="00067431">
                              <w:rPr>
                                <w:rFonts w:cs="Arial"/>
                                <w:sz w:val="18"/>
                                <w:szCs w:val="18"/>
                              </w:rPr>
                              <w:t>a) Level 1: quoted prices (unadjusted) in active markets for identical assets that the entity can access at measurement date.</w:t>
                            </w:r>
                            <w:r w:rsidRPr="00067431">
                              <w:rPr>
                                <w:rFonts w:cs="Arial"/>
                                <w:sz w:val="18"/>
                                <w:szCs w:val="18"/>
                              </w:rPr>
                              <w:tab/>
                            </w:r>
                          </w:p>
                          <w:p w14:paraId="4936A9ED" w14:textId="77777777" w:rsidR="005E7495" w:rsidRPr="00067431" w:rsidRDefault="005E7495" w:rsidP="005E7495">
                            <w:pPr>
                              <w:spacing w:after="0"/>
                              <w:textAlignment w:val="baseline"/>
                              <w:rPr>
                                <w:rFonts w:cs="Arial"/>
                                <w:sz w:val="18"/>
                                <w:szCs w:val="18"/>
                              </w:rPr>
                            </w:pPr>
                            <w:r w:rsidRPr="00067431">
                              <w:rPr>
                                <w:rFonts w:cs="Arial"/>
                                <w:sz w:val="18"/>
                                <w:szCs w:val="18"/>
                              </w:rPr>
                              <w:t>b) Level 2: inputs other than quoted prices included within Level 1 that are observable for the asset, either directly or indirectly.</w:t>
                            </w:r>
                            <w:r w:rsidRPr="00067431">
                              <w:rPr>
                                <w:rFonts w:cs="Arial"/>
                                <w:sz w:val="18"/>
                                <w:szCs w:val="18"/>
                              </w:rPr>
                              <w:tab/>
                            </w:r>
                          </w:p>
                          <w:p w14:paraId="5121B885" w14:textId="77777777" w:rsidR="005E7495" w:rsidRPr="00067431" w:rsidRDefault="005E7495" w:rsidP="005E7495">
                            <w:pPr>
                              <w:spacing w:after="0"/>
                              <w:textAlignment w:val="baseline"/>
                              <w:rPr>
                                <w:rFonts w:cs="Arial"/>
                                <w:sz w:val="18"/>
                                <w:szCs w:val="18"/>
                              </w:rPr>
                            </w:pPr>
                            <w:r w:rsidRPr="00067431">
                              <w:rPr>
                                <w:rFonts w:cs="Arial"/>
                                <w:sz w:val="18"/>
                                <w:szCs w:val="18"/>
                              </w:rPr>
                              <w:t>c) Level 3: unobservable inputs.</w:t>
                            </w:r>
                          </w:p>
                          <w:p w14:paraId="15B0B4D7" w14:textId="77777777" w:rsidR="005E7495" w:rsidRDefault="005E7495" w:rsidP="005E7495">
                            <w:pPr>
                              <w:textAlignment w:val="baseline"/>
                              <w:rPr>
                                <w:rFonts w:cs="Arial"/>
                                <w:sz w:val="18"/>
                                <w:szCs w:val="18"/>
                              </w:rPr>
                            </w:pPr>
                          </w:p>
                          <w:p w14:paraId="37164C83" w14:textId="77777777" w:rsidR="005E7495" w:rsidRPr="00067431" w:rsidRDefault="005E7495" w:rsidP="005E7495">
                            <w:pPr>
                              <w:textAlignment w:val="baseline"/>
                              <w:rPr>
                                <w:rFonts w:cs="Arial"/>
                                <w:sz w:val="18"/>
                                <w:szCs w:val="18"/>
                              </w:rPr>
                            </w:pPr>
                            <w:r w:rsidRPr="00067431">
                              <w:rPr>
                                <w:rFonts w:cs="Arial"/>
                                <w:sz w:val="18"/>
                                <w:szCs w:val="18"/>
                              </w:rPr>
                              <w:t xml:space="preserve">IHACPA's assets are held at fair value and are measured at category Levels 2 or 3 with no fair values measured at category Level 1. </w:t>
                            </w:r>
                            <w:r w:rsidRPr="00067431">
                              <w:rPr>
                                <w:rFonts w:cs="Arial"/>
                                <w:sz w:val="18"/>
                                <w:szCs w:val="18"/>
                              </w:rPr>
                              <w:tab/>
                            </w:r>
                          </w:p>
                          <w:p w14:paraId="6D81FE1A" w14:textId="77777777" w:rsidR="005E7495" w:rsidRPr="00067431" w:rsidRDefault="005E7495" w:rsidP="005E7495">
                            <w:pPr>
                              <w:textAlignment w:val="baseline"/>
                              <w:rPr>
                                <w:rFonts w:cs="Arial"/>
                                <w:sz w:val="18"/>
                                <w:szCs w:val="18"/>
                              </w:rPr>
                            </w:pPr>
                            <w:r w:rsidRPr="00067431">
                              <w:rPr>
                                <w:rFonts w:cs="Arial"/>
                                <w:sz w:val="18"/>
                                <w:szCs w:val="18"/>
                              </w:rPr>
                              <w:t xml:space="preserve">Leasehold improvements are measured at category Level 3 and the valuation methodology used is Current Replacement Cost (CRC). Under CRC the estimated cost to replace the asset is calculated, with reference to new replacement price per square metre, and then adjusted to take into account its consumed economic benefit (accumulated depreciation). The consumed economic benefit has been determined based on the professional judgement with regard to physical, economic and external obsolescence factors. </w:t>
                            </w:r>
                          </w:p>
                          <w:p w14:paraId="2EFE1459" w14:textId="77777777" w:rsidR="005E7495" w:rsidRPr="00067431" w:rsidRDefault="005E7495" w:rsidP="005E7495">
                            <w:pPr>
                              <w:textAlignment w:val="baseline"/>
                              <w:rPr>
                                <w:rFonts w:asciiTheme="majorHAnsi" w:hAnsi="Josefin Sans Bold"/>
                                <w:sz w:val="20"/>
                                <w:szCs w:val="20"/>
                              </w:rPr>
                            </w:pPr>
                            <w:r w:rsidRPr="00067431">
                              <w:rPr>
                                <w:rFonts w:cs="Arial"/>
                                <w:sz w:val="18"/>
                                <w:szCs w:val="18"/>
                              </w:rPr>
                              <w:t>Property, plant and equipment is measured at either category Level 2 or 3. The valuation methodology is either market approach or CRC, based on replacement cost for a new equivalent asset. The significant unobservable inputs used in the fair value measurement of property, plant and equipment assets are the market demand and professional judgement.</w:t>
                            </w:r>
                            <w:r w:rsidRPr="00067431">
                              <w:rPr>
                                <w:rFonts w:asciiTheme="majorHAnsi" w:hAnsi="Josefin Sans Bold"/>
                              </w:rPr>
                              <w:tab/>
                            </w:r>
                          </w:p>
                        </w:txbxContent>
                      </v:textbox>
                    </v:shape>
                  </w:pict>
                </mc:Fallback>
              </mc:AlternateContent>
            </w:r>
          </w:p>
        </w:tc>
        <w:tc>
          <w:tcPr>
            <w:tcW w:w="1176" w:type="dxa"/>
            <w:tcBorders>
              <w:top w:val="nil"/>
              <w:left w:val="nil"/>
              <w:bottom w:val="nil"/>
              <w:right w:val="nil"/>
            </w:tcBorders>
            <w:vAlign w:val="bottom"/>
            <w:hideMark/>
          </w:tcPr>
          <w:p w14:paraId="413A7D3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vAlign w:val="bottom"/>
            <w:hideMark/>
          </w:tcPr>
          <w:p w14:paraId="7BE265E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2AC4D572" w14:textId="77777777" w:rsidTr="00856101">
        <w:trPr>
          <w:trHeight w:val="240"/>
        </w:trPr>
        <w:tc>
          <w:tcPr>
            <w:tcW w:w="3516" w:type="dxa"/>
            <w:tcBorders>
              <w:top w:val="nil"/>
              <w:left w:val="nil"/>
              <w:bottom w:val="nil"/>
              <w:right w:val="nil"/>
            </w:tcBorders>
            <w:noWrap/>
            <w:vAlign w:val="bottom"/>
            <w:hideMark/>
          </w:tcPr>
          <w:p w14:paraId="65B63D15" w14:textId="77777777" w:rsidR="005E7495" w:rsidRPr="00141C3A" w:rsidRDefault="005E7495" w:rsidP="00856101">
            <w:pPr>
              <w:spacing w:after="0" w:line="240" w:lineRule="auto"/>
              <w:rPr>
                <w:rFonts w:ascii="Calibri" w:eastAsia="Times New Roman" w:hAnsi="Calibri" w:cs="Calibri"/>
                <w:color w:val="000000"/>
                <w:lang w:eastAsia="en-AU"/>
              </w:rPr>
            </w:pPr>
          </w:p>
          <w:tbl>
            <w:tblPr>
              <w:tblW w:w="0" w:type="auto"/>
              <w:tblCellSpacing w:w="0" w:type="dxa"/>
              <w:tblCellMar>
                <w:left w:w="0" w:type="dxa"/>
                <w:right w:w="0" w:type="dxa"/>
              </w:tblCellMar>
              <w:tblLook w:val="04A0" w:firstRow="1" w:lastRow="0" w:firstColumn="1" w:lastColumn="0" w:noHBand="0" w:noVBand="1"/>
            </w:tblPr>
            <w:tblGrid>
              <w:gridCol w:w="3300"/>
            </w:tblGrid>
            <w:tr w:rsidR="005E7495" w:rsidRPr="00141C3A" w14:paraId="3C0C5C91" w14:textId="77777777" w:rsidTr="00856101">
              <w:trPr>
                <w:trHeight w:val="240"/>
                <w:tblCellSpacing w:w="0" w:type="dxa"/>
              </w:trPr>
              <w:tc>
                <w:tcPr>
                  <w:tcW w:w="3500" w:type="dxa"/>
                  <w:tcBorders>
                    <w:top w:val="nil"/>
                    <w:left w:val="nil"/>
                    <w:bottom w:val="nil"/>
                    <w:right w:val="nil"/>
                  </w:tcBorders>
                  <w:hideMark/>
                </w:tcPr>
                <w:p w14:paraId="1B5236C8" w14:textId="77777777" w:rsidR="005E7495" w:rsidRPr="00141C3A" w:rsidRDefault="005E7495" w:rsidP="00856101">
                  <w:pPr>
                    <w:spacing w:after="0" w:line="240" w:lineRule="auto"/>
                    <w:rPr>
                      <w:rFonts w:ascii="Calibri" w:eastAsia="Times New Roman" w:hAnsi="Calibri" w:cs="Calibri"/>
                      <w:color w:val="000000"/>
                      <w:lang w:eastAsia="en-AU"/>
                    </w:rPr>
                  </w:pPr>
                </w:p>
              </w:tc>
            </w:tr>
          </w:tbl>
          <w:p w14:paraId="4147EC36" w14:textId="77777777" w:rsidR="005E7495" w:rsidRPr="00141C3A" w:rsidRDefault="005E7495" w:rsidP="00856101">
            <w:pPr>
              <w:spacing w:after="0" w:line="240" w:lineRule="auto"/>
              <w:rPr>
                <w:rFonts w:ascii="Calibri" w:eastAsia="Times New Roman" w:hAnsi="Calibri" w:cs="Calibri"/>
                <w:color w:val="000000"/>
                <w:lang w:eastAsia="en-AU"/>
              </w:rPr>
            </w:pPr>
          </w:p>
        </w:tc>
        <w:tc>
          <w:tcPr>
            <w:tcW w:w="1136" w:type="dxa"/>
            <w:tcBorders>
              <w:top w:val="nil"/>
              <w:left w:val="nil"/>
              <w:bottom w:val="nil"/>
              <w:right w:val="nil"/>
            </w:tcBorders>
            <w:hideMark/>
          </w:tcPr>
          <w:p w14:paraId="7F3D9CA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hideMark/>
          </w:tcPr>
          <w:p w14:paraId="79B05024"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hideMark/>
          </w:tcPr>
          <w:p w14:paraId="7BFF776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vAlign w:val="bottom"/>
            <w:hideMark/>
          </w:tcPr>
          <w:p w14:paraId="1293994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vAlign w:val="bottom"/>
            <w:hideMark/>
          </w:tcPr>
          <w:p w14:paraId="436C3F4A" w14:textId="77777777" w:rsidR="005E7495" w:rsidRPr="00141C3A"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141C3A" w14:paraId="55543A33" w14:textId="77777777" w:rsidTr="00856101">
        <w:trPr>
          <w:trHeight w:val="105"/>
        </w:trPr>
        <w:tc>
          <w:tcPr>
            <w:tcW w:w="3516" w:type="dxa"/>
            <w:tcBorders>
              <w:top w:val="nil"/>
              <w:left w:val="nil"/>
              <w:bottom w:val="nil"/>
              <w:right w:val="nil"/>
            </w:tcBorders>
            <w:shd w:val="clear" w:color="000000" w:fill="FFFFFF"/>
            <w:noWrap/>
            <w:vAlign w:val="center"/>
            <w:hideMark/>
          </w:tcPr>
          <w:p w14:paraId="5C3D4EE7" w14:textId="77777777" w:rsidR="005E7495" w:rsidRPr="00141C3A"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141C3A">
              <w:rPr>
                <w:rFonts w:ascii="Cambria" w:eastAsia="Times New Roman" w:hAnsi="Cambria" w:cs="Calibri"/>
                <w:color w:val="auto"/>
                <w:sz w:val="18"/>
                <w:szCs w:val="18"/>
                <w:lang w:eastAsia="en-AU"/>
              </w:rPr>
              <w:t> </w:t>
            </w:r>
          </w:p>
        </w:tc>
        <w:tc>
          <w:tcPr>
            <w:tcW w:w="1136" w:type="dxa"/>
            <w:tcBorders>
              <w:top w:val="nil"/>
              <w:left w:val="nil"/>
              <w:bottom w:val="nil"/>
              <w:right w:val="nil"/>
            </w:tcBorders>
            <w:shd w:val="clear" w:color="000000" w:fill="FFFFFF"/>
            <w:noWrap/>
            <w:vAlign w:val="center"/>
            <w:hideMark/>
          </w:tcPr>
          <w:p w14:paraId="3708E19D" w14:textId="77777777" w:rsidR="005E7495" w:rsidRPr="00141C3A" w:rsidRDefault="005E7495" w:rsidP="00856101">
            <w:pPr>
              <w:spacing w:after="0" w:line="240" w:lineRule="auto"/>
              <w:ind w:firstLineChars="200" w:firstLine="360"/>
              <w:rPr>
                <w:rFonts w:ascii="Cambria" w:eastAsia="Times New Roman" w:hAnsi="Cambria" w:cs="Calibri"/>
                <w:color w:val="auto"/>
                <w:sz w:val="18"/>
                <w:szCs w:val="18"/>
                <w:lang w:eastAsia="en-AU"/>
              </w:rPr>
            </w:pPr>
            <w:r w:rsidRPr="00141C3A">
              <w:rPr>
                <w:rFonts w:ascii="Cambria" w:eastAsia="Times New Roman" w:hAnsi="Cambria" w:cs="Calibri"/>
                <w:color w:val="auto"/>
                <w:sz w:val="18"/>
                <w:szCs w:val="18"/>
                <w:lang w:eastAsia="en-AU"/>
              </w:rPr>
              <w:t> </w:t>
            </w:r>
          </w:p>
        </w:tc>
        <w:tc>
          <w:tcPr>
            <w:tcW w:w="1136" w:type="dxa"/>
            <w:tcBorders>
              <w:top w:val="nil"/>
              <w:left w:val="nil"/>
              <w:bottom w:val="nil"/>
              <w:right w:val="nil"/>
            </w:tcBorders>
            <w:shd w:val="clear" w:color="000000" w:fill="FFFFFF"/>
            <w:noWrap/>
            <w:vAlign w:val="center"/>
            <w:hideMark/>
          </w:tcPr>
          <w:p w14:paraId="6AC41AE0" w14:textId="77777777" w:rsidR="005E7495" w:rsidRPr="00141C3A" w:rsidRDefault="005E7495" w:rsidP="00856101">
            <w:pPr>
              <w:spacing w:after="0" w:line="240" w:lineRule="auto"/>
              <w:ind w:firstLineChars="200" w:firstLine="360"/>
              <w:rPr>
                <w:rFonts w:ascii="Cambria" w:eastAsia="Times New Roman" w:hAnsi="Cambria" w:cs="Calibri"/>
                <w:color w:val="auto"/>
                <w:sz w:val="18"/>
                <w:szCs w:val="18"/>
                <w:lang w:eastAsia="en-AU"/>
              </w:rPr>
            </w:pPr>
            <w:r w:rsidRPr="00141C3A">
              <w:rPr>
                <w:rFonts w:ascii="Cambria" w:eastAsia="Times New Roman" w:hAnsi="Cambria" w:cs="Calibri"/>
                <w:color w:val="auto"/>
                <w:sz w:val="18"/>
                <w:szCs w:val="18"/>
                <w:lang w:eastAsia="en-AU"/>
              </w:rPr>
              <w:t> </w:t>
            </w:r>
          </w:p>
        </w:tc>
        <w:tc>
          <w:tcPr>
            <w:tcW w:w="1136" w:type="dxa"/>
            <w:tcBorders>
              <w:top w:val="nil"/>
              <w:left w:val="nil"/>
              <w:bottom w:val="nil"/>
              <w:right w:val="nil"/>
            </w:tcBorders>
            <w:shd w:val="clear" w:color="000000" w:fill="FFFFFF"/>
            <w:noWrap/>
            <w:vAlign w:val="center"/>
            <w:hideMark/>
          </w:tcPr>
          <w:p w14:paraId="0047F139" w14:textId="77777777" w:rsidR="005E7495" w:rsidRPr="00141C3A" w:rsidRDefault="005E7495" w:rsidP="00856101">
            <w:pPr>
              <w:spacing w:after="0" w:line="240" w:lineRule="auto"/>
              <w:ind w:firstLineChars="200" w:firstLine="360"/>
              <w:rPr>
                <w:rFonts w:ascii="Cambria" w:eastAsia="Times New Roman" w:hAnsi="Cambria" w:cs="Calibri"/>
                <w:color w:val="auto"/>
                <w:sz w:val="18"/>
                <w:szCs w:val="18"/>
                <w:lang w:eastAsia="en-AU"/>
              </w:rPr>
            </w:pPr>
            <w:r w:rsidRPr="00141C3A">
              <w:rPr>
                <w:rFonts w:ascii="Cambria" w:eastAsia="Times New Roman" w:hAnsi="Cambria" w:cs="Calibri"/>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62FDD61F" w14:textId="77777777" w:rsidR="005E7495" w:rsidRPr="00141C3A" w:rsidRDefault="005E7495" w:rsidP="00856101">
            <w:pPr>
              <w:spacing w:after="0" w:line="240" w:lineRule="auto"/>
              <w:jc w:val="right"/>
              <w:rPr>
                <w:rFonts w:ascii="Cambria" w:eastAsia="Times New Roman" w:hAnsi="Cambria" w:cs="Calibri"/>
                <w:b/>
                <w:bCs/>
                <w:color w:val="auto"/>
                <w:sz w:val="18"/>
                <w:szCs w:val="18"/>
                <w:lang w:eastAsia="en-AU"/>
              </w:rPr>
            </w:pPr>
            <w:r w:rsidRPr="00141C3A">
              <w:rPr>
                <w:rFonts w:ascii="Cambria" w:eastAsia="Times New Roman" w:hAnsi="Cambria" w:cs="Calibri"/>
                <w:b/>
                <w:bCs/>
                <w:color w:val="auto"/>
                <w:sz w:val="18"/>
                <w:szCs w:val="18"/>
                <w:lang w:eastAsia="en-AU"/>
              </w:rPr>
              <w:t> </w:t>
            </w:r>
          </w:p>
        </w:tc>
        <w:tc>
          <w:tcPr>
            <w:tcW w:w="1176" w:type="dxa"/>
            <w:tcBorders>
              <w:top w:val="nil"/>
              <w:left w:val="nil"/>
              <w:bottom w:val="nil"/>
              <w:right w:val="nil"/>
            </w:tcBorders>
            <w:shd w:val="clear" w:color="000000" w:fill="FFFFFF"/>
            <w:noWrap/>
            <w:vAlign w:val="bottom"/>
            <w:hideMark/>
          </w:tcPr>
          <w:p w14:paraId="3F0C48DE" w14:textId="77777777" w:rsidR="005E7495" w:rsidRPr="00141C3A" w:rsidRDefault="005E7495" w:rsidP="00856101">
            <w:pPr>
              <w:spacing w:after="0" w:line="240" w:lineRule="auto"/>
              <w:jc w:val="right"/>
              <w:rPr>
                <w:rFonts w:ascii="Cambria" w:eastAsia="Times New Roman" w:hAnsi="Cambria" w:cs="Calibri"/>
                <w:color w:val="auto"/>
                <w:sz w:val="18"/>
                <w:szCs w:val="18"/>
                <w:lang w:eastAsia="en-AU"/>
              </w:rPr>
            </w:pPr>
            <w:r w:rsidRPr="00141C3A">
              <w:rPr>
                <w:rFonts w:ascii="Cambria" w:eastAsia="Times New Roman" w:hAnsi="Cambria" w:cs="Calibri"/>
                <w:color w:val="auto"/>
                <w:sz w:val="18"/>
                <w:szCs w:val="18"/>
                <w:lang w:eastAsia="en-AU"/>
              </w:rPr>
              <w:t> </w:t>
            </w:r>
          </w:p>
        </w:tc>
      </w:tr>
      <w:tr w:rsidR="005E7495" w:rsidRPr="00141C3A" w14:paraId="090FC146" w14:textId="77777777" w:rsidTr="00856101">
        <w:trPr>
          <w:trHeight w:val="135"/>
        </w:trPr>
        <w:tc>
          <w:tcPr>
            <w:tcW w:w="3516" w:type="dxa"/>
            <w:tcBorders>
              <w:top w:val="nil"/>
              <w:left w:val="nil"/>
              <w:bottom w:val="nil"/>
              <w:right w:val="nil"/>
            </w:tcBorders>
            <w:noWrap/>
            <w:vAlign w:val="bottom"/>
            <w:hideMark/>
          </w:tcPr>
          <w:p w14:paraId="1B49904B" w14:textId="77777777" w:rsidR="005E7495" w:rsidRPr="00141C3A" w:rsidRDefault="005E7495" w:rsidP="00856101">
            <w:pPr>
              <w:spacing w:after="0" w:line="240" w:lineRule="auto"/>
              <w:jc w:val="right"/>
              <w:rPr>
                <w:rFonts w:ascii="Cambria" w:eastAsia="Times New Roman" w:hAnsi="Cambria" w:cs="Calibri"/>
                <w:color w:val="auto"/>
                <w:sz w:val="18"/>
                <w:szCs w:val="18"/>
                <w:lang w:eastAsia="en-AU"/>
              </w:rPr>
            </w:pPr>
          </w:p>
        </w:tc>
        <w:tc>
          <w:tcPr>
            <w:tcW w:w="1136" w:type="dxa"/>
            <w:tcBorders>
              <w:top w:val="nil"/>
              <w:left w:val="nil"/>
              <w:bottom w:val="nil"/>
              <w:right w:val="nil"/>
            </w:tcBorders>
            <w:noWrap/>
            <w:vAlign w:val="bottom"/>
            <w:hideMark/>
          </w:tcPr>
          <w:p w14:paraId="703157F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007E2C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9942D3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498261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BF9611F" w14:textId="77777777" w:rsidR="005E7495" w:rsidRPr="00141C3A" w:rsidRDefault="005E7495" w:rsidP="00856101">
            <w:pPr>
              <w:spacing w:after="0" w:line="240" w:lineRule="auto"/>
              <w:jc w:val="right"/>
              <w:rPr>
                <w:rFonts w:ascii="Times New Roman" w:eastAsia="Times New Roman" w:hAnsi="Times New Roman" w:cs="Times New Roman"/>
                <w:color w:val="auto"/>
                <w:sz w:val="20"/>
                <w:szCs w:val="20"/>
                <w:lang w:eastAsia="en-AU"/>
              </w:rPr>
            </w:pPr>
          </w:p>
        </w:tc>
      </w:tr>
      <w:tr w:rsidR="005E7495" w:rsidRPr="00141C3A" w14:paraId="65803D3B" w14:textId="77777777" w:rsidTr="00856101">
        <w:trPr>
          <w:trHeight w:val="240"/>
        </w:trPr>
        <w:tc>
          <w:tcPr>
            <w:tcW w:w="3516" w:type="dxa"/>
            <w:tcBorders>
              <w:top w:val="nil"/>
              <w:left w:val="nil"/>
              <w:bottom w:val="nil"/>
              <w:right w:val="nil"/>
            </w:tcBorders>
            <w:noWrap/>
            <w:vAlign w:val="bottom"/>
            <w:hideMark/>
          </w:tcPr>
          <w:p w14:paraId="3C765A32" w14:textId="77777777" w:rsidR="005E7495" w:rsidRPr="00141C3A" w:rsidRDefault="005E7495" w:rsidP="00856101">
            <w:pPr>
              <w:spacing w:after="0" w:line="240" w:lineRule="auto"/>
              <w:jc w:val="right"/>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36EF9B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36FD61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475626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64C399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54B517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6B2AE7BA" w14:textId="77777777" w:rsidTr="00856101">
        <w:trPr>
          <w:trHeight w:val="240"/>
        </w:trPr>
        <w:tc>
          <w:tcPr>
            <w:tcW w:w="3516" w:type="dxa"/>
            <w:tcBorders>
              <w:top w:val="nil"/>
              <w:left w:val="nil"/>
              <w:bottom w:val="nil"/>
              <w:right w:val="nil"/>
            </w:tcBorders>
            <w:noWrap/>
            <w:vAlign w:val="bottom"/>
            <w:hideMark/>
          </w:tcPr>
          <w:p w14:paraId="03B9F0E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F5B9A0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83186D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F0DCC34"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F5FBD4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6ED5D8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10E54002" w14:textId="77777777" w:rsidTr="00856101">
        <w:trPr>
          <w:trHeight w:val="240"/>
        </w:trPr>
        <w:tc>
          <w:tcPr>
            <w:tcW w:w="3516" w:type="dxa"/>
            <w:tcBorders>
              <w:top w:val="nil"/>
              <w:left w:val="nil"/>
              <w:bottom w:val="nil"/>
              <w:right w:val="nil"/>
            </w:tcBorders>
            <w:noWrap/>
            <w:vAlign w:val="bottom"/>
            <w:hideMark/>
          </w:tcPr>
          <w:p w14:paraId="6808ADE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005318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24A702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CBE173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38C3FB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674261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0796C182" w14:textId="77777777" w:rsidTr="00856101">
        <w:trPr>
          <w:trHeight w:val="240"/>
        </w:trPr>
        <w:tc>
          <w:tcPr>
            <w:tcW w:w="3516" w:type="dxa"/>
            <w:tcBorders>
              <w:top w:val="nil"/>
              <w:left w:val="nil"/>
              <w:bottom w:val="nil"/>
              <w:right w:val="nil"/>
            </w:tcBorders>
            <w:noWrap/>
            <w:vAlign w:val="bottom"/>
            <w:hideMark/>
          </w:tcPr>
          <w:p w14:paraId="45D53A6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02F868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A48801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A67FD0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261DDB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F84755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0DF0EB67" w14:textId="77777777" w:rsidTr="00856101">
        <w:trPr>
          <w:trHeight w:val="240"/>
        </w:trPr>
        <w:tc>
          <w:tcPr>
            <w:tcW w:w="3516" w:type="dxa"/>
            <w:tcBorders>
              <w:top w:val="nil"/>
              <w:left w:val="nil"/>
              <w:bottom w:val="nil"/>
              <w:right w:val="nil"/>
            </w:tcBorders>
            <w:noWrap/>
            <w:vAlign w:val="bottom"/>
            <w:hideMark/>
          </w:tcPr>
          <w:p w14:paraId="3D8A5A7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FBD509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CC95DA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41B0E3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CFD041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1928B2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5BF64B01" w14:textId="77777777" w:rsidTr="00856101">
        <w:trPr>
          <w:trHeight w:val="288"/>
        </w:trPr>
        <w:tc>
          <w:tcPr>
            <w:tcW w:w="3516" w:type="dxa"/>
            <w:tcBorders>
              <w:top w:val="nil"/>
              <w:left w:val="nil"/>
              <w:bottom w:val="nil"/>
              <w:right w:val="nil"/>
            </w:tcBorders>
            <w:noWrap/>
            <w:vAlign w:val="bottom"/>
            <w:hideMark/>
          </w:tcPr>
          <w:p w14:paraId="6E83838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65A3D0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EE3B44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087918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BE6FFC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7EF21F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7450F0B7" w14:textId="77777777" w:rsidTr="00856101">
        <w:trPr>
          <w:trHeight w:val="240"/>
        </w:trPr>
        <w:tc>
          <w:tcPr>
            <w:tcW w:w="3516" w:type="dxa"/>
            <w:tcBorders>
              <w:top w:val="nil"/>
              <w:left w:val="nil"/>
              <w:bottom w:val="nil"/>
              <w:right w:val="nil"/>
            </w:tcBorders>
            <w:noWrap/>
            <w:vAlign w:val="bottom"/>
            <w:hideMark/>
          </w:tcPr>
          <w:p w14:paraId="12A85C8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FF16CF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BEF4BF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64196E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D46C56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F10D89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4E2198AB" w14:textId="77777777" w:rsidTr="00856101">
        <w:trPr>
          <w:trHeight w:val="240"/>
        </w:trPr>
        <w:tc>
          <w:tcPr>
            <w:tcW w:w="3516" w:type="dxa"/>
            <w:tcBorders>
              <w:top w:val="nil"/>
              <w:left w:val="nil"/>
              <w:bottom w:val="nil"/>
              <w:right w:val="nil"/>
            </w:tcBorders>
            <w:noWrap/>
            <w:vAlign w:val="bottom"/>
            <w:hideMark/>
          </w:tcPr>
          <w:p w14:paraId="602F859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A255F2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6C03ED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836EE7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E66D51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A0ADF34"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06A6DF35" w14:textId="77777777" w:rsidTr="00856101">
        <w:trPr>
          <w:trHeight w:val="240"/>
        </w:trPr>
        <w:tc>
          <w:tcPr>
            <w:tcW w:w="3516" w:type="dxa"/>
            <w:tcBorders>
              <w:top w:val="nil"/>
              <w:left w:val="nil"/>
              <w:bottom w:val="nil"/>
              <w:right w:val="nil"/>
            </w:tcBorders>
            <w:noWrap/>
            <w:vAlign w:val="bottom"/>
            <w:hideMark/>
          </w:tcPr>
          <w:p w14:paraId="79EABC9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D5229A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415A18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CE1623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D8108E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A407A7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524A80A4" w14:textId="77777777" w:rsidTr="00856101">
        <w:trPr>
          <w:trHeight w:val="240"/>
        </w:trPr>
        <w:tc>
          <w:tcPr>
            <w:tcW w:w="3516" w:type="dxa"/>
            <w:tcBorders>
              <w:top w:val="nil"/>
              <w:left w:val="nil"/>
              <w:bottom w:val="nil"/>
              <w:right w:val="nil"/>
            </w:tcBorders>
            <w:noWrap/>
            <w:vAlign w:val="bottom"/>
            <w:hideMark/>
          </w:tcPr>
          <w:p w14:paraId="4ACD9BA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CD9B76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75EB54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75E299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26F08F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8B77D3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778814B0" w14:textId="77777777" w:rsidTr="00856101">
        <w:trPr>
          <w:trHeight w:val="240"/>
        </w:trPr>
        <w:tc>
          <w:tcPr>
            <w:tcW w:w="3516" w:type="dxa"/>
            <w:tcBorders>
              <w:top w:val="nil"/>
              <w:left w:val="nil"/>
              <w:bottom w:val="nil"/>
              <w:right w:val="nil"/>
            </w:tcBorders>
            <w:noWrap/>
            <w:vAlign w:val="bottom"/>
            <w:hideMark/>
          </w:tcPr>
          <w:p w14:paraId="0F35E42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17D839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72DAA7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DF09D8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2D8DE4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4D4ECA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7360208A" w14:textId="77777777" w:rsidTr="00856101">
        <w:trPr>
          <w:trHeight w:val="240"/>
        </w:trPr>
        <w:tc>
          <w:tcPr>
            <w:tcW w:w="3516" w:type="dxa"/>
            <w:tcBorders>
              <w:top w:val="nil"/>
              <w:left w:val="nil"/>
              <w:bottom w:val="nil"/>
              <w:right w:val="nil"/>
            </w:tcBorders>
            <w:noWrap/>
            <w:vAlign w:val="bottom"/>
            <w:hideMark/>
          </w:tcPr>
          <w:p w14:paraId="3A8EA97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E07E1B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F6B1F1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B95A27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68727B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A0A976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63801FD0" w14:textId="77777777" w:rsidTr="00856101">
        <w:trPr>
          <w:trHeight w:val="240"/>
        </w:trPr>
        <w:tc>
          <w:tcPr>
            <w:tcW w:w="3516" w:type="dxa"/>
            <w:tcBorders>
              <w:top w:val="nil"/>
              <w:left w:val="nil"/>
              <w:bottom w:val="nil"/>
              <w:right w:val="nil"/>
            </w:tcBorders>
            <w:noWrap/>
            <w:vAlign w:val="bottom"/>
            <w:hideMark/>
          </w:tcPr>
          <w:p w14:paraId="49CD363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0A574A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6783B7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D8E7BE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E33484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069521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0EFA2FF3" w14:textId="77777777" w:rsidTr="00856101">
        <w:trPr>
          <w:trHeight w:val="240"/>
        </w:trPr>
        <w:tc>
          <w:tcPr>
            <w:tcW w:w="3516" w:type="dxa"/>
            <w:tcBorders>
              <w:top w:val="nil"/>
              <w:left w:val="nil"/>
              <w:bottom w:val="nil"/>
              <w:right w:val="nil"/>
            </w:tcBorders>
            <w:noWrap/>
            <w:vAlign w:val="bottom"/>
            <w:hideMark/>
          </w:tcPr>
          <w:p w14:paraId="4551636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E5E48E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220408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A59519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F9CDF8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0393D8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672C5B3F" w14:textId="77777777" w:rsidTr="00856101">
        <w:trPr>
          <w:trHeight w:val="240"/>
        </w:trPr>
        <w:tc>
          <w:tcPr>
            <w:tcW w:w="3516" w:type="dxa"/>
            <w:tcBorders>
              <w:top w:val="nil"/>
              <w:left w:val="nil"/>
              <w:bottom w:val="nil"/>
              <w:right w:val="nil"/>
            </w:tcBorders>
            <w:noWrap/>
            <w:vAlign w:val="bottom"/>
            <w:hideMark/>
          </w:tcPr>
          <w:p w14:paraId="2F0E30D4"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E740DA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53CBB4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5EA479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7C89AA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5E1169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29C48B3B" w14:textId="77777777" w:rsidTr="00856101">
        <w:trPr>
          <w:trHeight w:val="240"/>
        </w:trPr>
        <w:tc>
          <w:tcPr>
            <w:tcW w:w="3516" w:type="dxa"/>
            <w:tcBorders>
              <w:top w:val="nil"/>
              <w:left w:val="nil"/>
              <w:bottom w:val="nil"/>
              <w:right w:val="nil"/>
            </w:tcBorders>
            <w:noWrap/>
            <w:vAlign w:val="bottom"/>
            <w:hideMark/>
          </w:tcPr>
          <w:p w14:paraId="2BB5692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9902B9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AE5876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287D60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029B39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ADA74E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37161774" w14:textId="77777777" w:rsidTr="00856101">
        <w:trPr>
          <w:trHeight w:val="240"/>
        </w:trPr>
        <w:tc>
          <w:tcPr>
            <w:tcW w:w="3516" w:type="dxa"/>
            <w:tcBorders>
              <w:top w:val="nil"/>
              <w:left w:val="nil"/>
              <w:bottom w:val="nil"/>
              <w:right w:val="nil"/>
            </w:tcBorders>
            <w:noWrap/>
            <w:vAlign w:val="bottom"/>
            <w:hideMark/>
          </w:tcPr>
          <w:p w14:paraId="741E15E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13AECA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C94887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944555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D8A93B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852AF2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3A1B2D37" w14:textId="77777777" w:rsidTr="00856101">
        <w:trPr>
          <w:trHeight w:val="240"/>
        </w:trPr>
        <w:tc>
          <w:tcPr>
            <w:tcW w:w="3516" w:type="dxa"/>
            <w:tcBorders>
              <w:top w:val="nil"/>
              <w:left w:val="nil"/>
              <w:bottom w:val="nil"/>
              <w:right w:val="nil"/>
            </w:tcBorders>
            <w:noWrap/>
            <w:vAlign w:val="bottom"/>
            <w:hideMark/>
          </w:tcPr>
          <w:p w14:paraId="658E7E0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685B7E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2EDA95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286F2F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E2468D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5D5E76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268A560D" w14:textId="77777777" w:rsidTr="00856101">
        <w:trPr>
          <w:trHeight w:val="240"/>
        </w:trPr>
        <w:tc>
          <w:tcPr>
            <w:tcW w:w="3516" w:type="dxa"/>
            <w:tcBorders>
              <w:top w:val="nil"/>
              <w:left w:val="nil"/>
              <w:bottom w:val="nil"/>
              <w:right w:val="nil"/>
            </w:tcBorders>
            <w:noWrap/>
            <w:vAlign w:val="bottom"/>
            <w:hideMark/>
          </w:tcPr>
          <w:p w14:paraId="3FA265C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4286CF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DE95DD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CC171E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43B3CE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F9C342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3F9DDBF1" w14:textId="77777777" w:rsidTr="00856101">
        <w:trPr>
          <w:trHeight w:val="240"/>
        </w:trPr>
        <w:tc>
          <w:tcPr>
            <w:tcW w:w="3516" w:type="dxa"/>
            <w:tcBorders>
              <w:top w:val="nil"/>
              <w:left w:val="nil"/>
              <w:bottom w:val="nil"/>
              <w:right w:val="nil"/>
            </w:tcBorders>
            <w:noWrap/>
            <w:vAlign w:val="bottom"/>
            <w:hideMark/>
          </w:tcPr>
          <w:p w14:paraId="2413F11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C14B3F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148851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6276B7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152D4C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1BAA02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02AFBE1A" w14:textId="77777777" w:rsidTr="00856101">
        <w:trPr>
          <w:trHeight w:val="240"/>
        </w:trPr>
        <w:tc>
          <w:tcPr>
            <w:tcW w:w="3516" w:type="dxa"/>
            <w:tcBorders>
              <w:top w:val="nil"/>
              <w:left w:val="nil"/>
              <w:bottom w:val="nil"/>
              <w:right w:val="nil"/>
            </w:tcBorders>
            <w:noWrap/>
            <w:vAlign w:val="bottom"/>
            <w:hideMark/>
          </w:tcPr>
          <w:p w14:paraId="260B911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4CA898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90A0BC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171C88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527901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9D02F34"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69EA0F61" w14:textId="77777777" w:rsidTr="00856101">
        <w:trPr>
          <w:trHeight w:val="240"/>
        </w:trPr>
        <w:tc>
          <w:tcPr>
            <w:tcW w:w="3516" w:type="dxa"/>
            <w:tcBorders>
              <w:top w:val="nil"/>
              <w:left w:val="nil"/>
              <w:bottom w:val="nil"/>
              <w:right w:val="nil"/>
            </w:tcBorders>
            <w:noWrap/>
            <w:vAlign w:val="bottom"/>
            <w:hideMark/>
          </w:tcPr>
          <w:p w14:paraId="2B1CA79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557066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69DA27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86F860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97594A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ED5C4C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22DBEA96" w14:textId="77777777" w:rsidTr="00856101">
        <w:trPr>
          <w:trHeight w:val="240"/>
        </w:trPr>
        <w:tc>
          <w:tcPr>
            <w:tcW w:w="3516" w:type="dxa"/>
            <w:tcBorders>
              <w:top w:val="nil"/>
              <w:left w:val="nil"/>
              <w:bottom w:val="nil"/>
              <w:right w:val="nil"/>
            </w:tcBorders>
            <w:noWrap/>
            <w:vAlign w:val="bottom"/>
            <w:hideMark/>
          </w:tcPr>
          <w:p w14:paraId="535CF26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FCC1E0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4A9C13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F6776A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F3F228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341BA02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495070A7" w14:textId="77777777" w:rsidTr="00856101">
        <w:trPr>
          <w:trHeight w:val="240"/>
        </w:trPr>
        <w:tc>
          <w:tcPr>
            <w:tcW w:w="3516" w:type="dxa"/>
            <w:tcBorders>
              <w:top w:val="nil"/>
              <w:left w:val="nil"/>
              <w:bottom w:val="nil"/>
              <w:right w:val="nil"/>
            </w:tcBorders>
            <w:noWrap/>
            <w:vAlign w:val="bottom"/>
            <w:hideMark/>
          </w:tcPr>
          <w:p w14:paraId="69C33DF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22D969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9F6A82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69D815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378A92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6FED57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6F64BEC3" w14:textId="77777777" w:rsidTr="00856101">
        <w:trPr>
          <w:trHeight w:val="240"/>
        </w:trPr>
        <w:tc>
          <w:tcPr>
            <w:tcW w:w="3516" w:type="dxa"/>
            <w:tcBorders>
              <w:top w:val="nil"/>
              <w:left w:val="nil"/>
              <w:bottom w:val="nil"/>
              <w:right w:val="nil"/>
            </w:tcBorders>
            <w:noWrap/>
            <w:vAlign w:val="bottom"/>
            <w:hideMark/>
          </w:tcPr>
          <w:p w14:paraId="2DFE8D8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987A21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361715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C45160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16AF01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E88C11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6C90A2B0" w14:textId="77777777" w:rsidTr="00856101">
        <w:trPr>
          <w:trHeight w:val="162"/>
        </w:trPr>
        <w:tc>
          <w:tcPr>
            <w:tcW w:w="3516" w:type="dxa"/>
            <w:tcBorders>
              <w:top w:val="nil"/>
              <w:left w:val="nil"/>
              <w:bottom w:val="nil"/>
              <w:right w:val="nil"/>
            </w:tcBorders>
            <w:noWrap/>
            <w:vAlign w:val="bottom"/>
            <w:hideMark/>
          </w:tcPr>
          <w:p w14:paraId="06F7212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1BF6E4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7F6212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8620DE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4BC877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FA51E8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3DDB2240" w14:textId="77777777" w:rsidTr="00856101">
        <w:trPr>
          <w:trHeight w:val="240"/>
        </w:trPr>
        <w:tc>
          <w:tcPr>
            <w:tcW w:w="3516" w:type="dxa"/>
            <w:tcBorders>
              <w:top w:val="nil"/>
              <w:left w:val="nil"/>
              <w:bottom w:val="nil"/>
              <w:right w:val="nil"/>
            </w:tcBorders>
            <w:noWrap/>
            <w:vAlign w:val="bottom"/>
            <w:hideMark/>
          </w:tcPr>
          <w:p w14:paraId="03BE39F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3C3891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F6ED33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9AA47C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490E3A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57969C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732FE113" w14:textId="77777777" w:rsidTr="00856101">
        <w:trPr>
          <w:trHeight w:val="240"/>
        </w:trPr>
        <w:tc>
          <w:tcPr>
            <w:tcW w:w="3516" w:type="dxa"/>
            <w:tcBorders>
              <w:top w:val="nil"/>
              <w:left w:val="nil"/>
              <w:bottom w:val="nil"/>
              <w:right w:val="nil"/>
            </w:tcBorders>
            <w:noWrap/>
            <w:vAlign w:val="bottom"/>
            <w:hideMark/>
          </w:tcPr>
          <w:p w14:paraId="1ABDC4D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D366DC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C1DA80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8C32A6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23D499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43CFFD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3106DC2B" w14:textId="77777777" w:rsidTr="00856101">
        <w:trPr>
          <w:trHeight w:val="240"/>
        </w:trPr>
        <w:tc>
          <w:tcPr>
            <w:tcW w:w="3516" w:type="dxa"/>
            <w:tcBorders>
              <w:top w:val="nil"/>
              <w:left w:val="nil"/>
              <w:bottom w:val="nil"/>
              <w:right w:val="nil"/>
            </w:tcBorders>
            <w:noWrap/>
            <w:vAlign w:val="bottom"/>
            <w:hideMark/>
          </w:tcPr>
          <w:p w14:paraId="0EDA8D6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16FEA8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D863BA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1AA54A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E7E30F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A28F9E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029931B7" w14:textId="77777777" w:rsidTr="00856101">
        <w:trPr>
          <w:trHeight w:val="285"/>
        </w:trPr>
        <w:tc>
          <w:tcPr>
            <w:tcW w:w="3516" w:type="dxa"/>
            <w:tcBorders>
              <w:top w:val="nil"/>
              <w:left w:val="nil"/>
              <w:bottom w:val="nil"/>
              <w:right w:val="nil"/>
            </w:tcBorders>
            <w:noWrap/>
            <w:vAlign w:val="bottom"/>
            <w:hideMark/>
          </w:tcPr>
          <w:p w14:paraId="6F3936A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0F1DCF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9B6A9C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F9CEE8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52784454"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AE231B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010D77F4" w14:textId="77777777" w:rsidTr="00856101">
        <w:trPr>
          <w:trHeight w:val="240"/>
        </w:trPr>
        <w:tc>
          <w:tcPr>
            <w:tcW w:w="3516" w:type="dxa"/>
            <w:tcBorders>
              <w:top w:val="nil"/>
              <w:left w:val="nil"/>
              <w:bottom w:val="nil"/>
              <w:right w:val="nil"/>
            </w:tcBorders>
            <w:noWrap/>
            <w:vAlign w:val="bottom"/>
            <w:hideMark/>
          </w:tcPr>
          <w:p w14:paraId="4A14E7D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F0FCD7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C4A70A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ED16EE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3981D1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D9FA86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1C9B6F37" w14:textId="77777777" w:rsidTr="00856101">
        <w:trPr>
          <w:trHeight w:val="240"/>
        </w:trPr>
        <w:tc>
          <w:tcPr>
            <w:tcW w:w="3516" w:type="dxa"/>
            <w:tcBorders>
              <w:top w:val="nil"/>
              <w:left w:val="nil"/>
              <w:bottom w:val="nil"/>
              <w:right w:val="nil"/>
            </w:tcBorders>
            <w:noWrap/>
            <w:vAlign w:val="bottom"/>
            <w:hideMark/>
          </w:tcPr>
          <w:p w14:paraId="7CBF860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A84E7A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7B89AE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401BA5E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FB9414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10AF66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3CF9546C" w14:textId="77777777" w:rsidTr="00856101">
        <w:trPr>
          <w:trHeight w:val="240"/>
        </w:trPr>
        <w:tc>
          <w:tcPr>
            <w:tcW w:w="3516" w:type="dxa"/>
            <w:tcBorders>
              <w:top w:val="nil"/>
              <w:left w:val="nil"/>
              <w:bottom w:val="nil"/>
              <w:right w:val="nil"/>
            </w:tcBorders>
            <w:noWrap/>
            <w:vAlign w:val="bottom"/>
            <w:hideMark/>
          </w:tcPr>
          <w:p w14:paraId="1206416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5073EF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207F45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6369FC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89CDE4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5071D3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70BC4D75" w14:textId="77777777" w:rsidTr="00856101">
        <w:trPr>
          <w:trHeight w:val="240"/>
        </w:trPr>
        <w:tc>
          <w:tcPr>
            <w:tcW w:w="3516" w:type="dxa"/>
            <w:tcBorders>
              <w:top w:val="nil"/>
              <w:left w:val="nil"/>
              <w:bottom w:val="nil"/>
              <w:right w:val="nil"/>
            </w:tcBorders>
            <w:noWrap/>
            <w:vAlign w:val="bottom"/>
            <w:hideMark/>
          </w:tcPr>
          <w:p w14:paraId="442893F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3C157A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B4D65B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344A7A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BDF862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92A8EF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6C9CEE2B" w14:textId="77777777" w:rsidTr="00856101">
        <w:trPr>
          <w:trHeight w:val="240"/>
        </w:trPr>
        <w:tc>
          <w:tcPr>
            <w:tcW w:w="3516" w:type="dxa"/>
            <w:tcBorders>
              <w:top w:val="nil"/>
              <w:left w:val="nil"/>
              <w:bottom w:val="nil"/>
              <w:right w:val="nil"/>
            </w:tcBorders>
            <w:noWrap/>
            <w:vAlign w:val="bottom"/>
            <w:hideMark/>
          </w:tcPr>
          <w:p w14:paraId="02F481B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920CE7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A9EE4D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CBEAD1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A03AEE9"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7A5A132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77F442F4" w14:textId="77777777" w:rsidTr="00856101">
        <w:trPr>
          <w:trHeight w:val="240"/>
        </w:trPr>
        <w:tc>
          <w:tcPr>
            <w:tcW w:w="3516" w:type="dxa"/>
            <w:tcBorders>
              <w:top w:val="nil"/>
              <w:left w:val="nil"/>
              <w:bottom w:val="nil"/>
              <w:right w:val="nil"/>
            </w:tcBorders>
            <w:noWrap/>
            <w:vAlign w:val="bottom"/>
            <w:hideMark/>
          </w:tcPr>
          <w:p w14:paraId="5B69DA5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6E9F2A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80FC41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FE2A01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42558BE"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7CA538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26628C3E" w14:textId="77777777" w:rsidTr="00856101">
        <w:trPr>
          <w:trHeight w:val="240"/>
        </w:trPr>
        <w:tc>
          <w:tcPr>
            <w:tcW w:w="3516" w:type="dxa"/>
            <w:tcBorders>
              <w:top w:val="nil"/>
              <w:left w:val="nil"/>
              <w:bottom w:val="nil"/>
              <w:right w:val="nil"/>
            </w:tcBorders>
            <w:noWrap/>
            <w:vAlign w:val="bottom"/>
            <w:hideMark/>
          </w:tcPr>
          <w:p w14:paraId="70B978B5"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1658B184"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39ECED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E732A8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332B3D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4B2A073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3E9455F4" w14:textId="77777777" w:rsidTr="00856101">
        <w:trPr>
          <w:trHeight w:val="240"/>
        </w:trPr>
        <w:tc>
          <w:tcPr>
            <w:tcW w:w="3516" w:type="dxa"/>
            <w:tcBorders>
              <w:top w:val="nil"/>
              <w:left w:val="nil"/>
              <w:bottom w:val="nil"/>
              <w:right w:val="nil"/>
            </w:tcBorders>
            <w:noWrap/>
            <w:vAlign w:val="bottom"/>
            <w:hideMark/>
          </w:tcPr>
          <w:p w14:paraId="2DAADBC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0EBF009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085A440"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31FB0278"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059A798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12360CC3"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3D100B0E" w14:textId="77777777" w:rsidTr="00856101">
        <w:trPr>
          <w:trHeight w:val="240"/>
        </w:trPr>
        <w:tc>
          <w:tcPr>
            <w:tcW w:w="3516" w:type="dxa"/>
            <w:tcBorders>
              <w:top w:val="nil"/>
              <w:left w:val="nil"/>
              <w:bottom w:val="nil"/>
              <w:right w:val="nil"/>
            </w:tcBorders>
            <w:noWrap/>
            <w:vAlign w:val="bottom"/>
            <w:hideMark/>
          </w:tcPr>
          <w:p w14:paraId="5BB2458F"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123699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695F216"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61750CFB"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27FF4F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1E58444"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141C3A" w14:paraId="281395C0" w14:textId="77777777" w:rsidTr="00856101">
        <w:trPr>
          <w:trHeight w:val="240"/>
        </w:trPr>
        <w:tc>
          <w:tcPr>
            <w:tcW w:w="3516" w:type="dxa"/>
            <w:tcBorders>
              <w:top w:val="nil"/>
              <w:left w:val="nil"/>
              <w:bottom w:val="nil"/>
              <w:right w:val="nil"/>
            </w:tcBorders>
            <w:noWrap/>
            <w:vAlign w:val="bottom"/>
            <w:hideMark/>
          </w:tcPr>
          <w:p w14:paraId="2B84F692"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26F41AC1"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7DB31E2C"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36" w:type="dxa"/>
            <w:tcBorders>
              <w:top w:val="nil"/>
              <w:left w:val="nil"/>
              <w:bottom w:val="nil"/>
              <w:right w:val="nil"/>
            </w:tcBorders>
            <w:noWrap/>
            <w:vAlign w:val="bottom"/>
            <w:hideMark/>
          </w:tcPr>
          <w:p w14:paraId="5B9989CD"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2C485537"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76" w:type="dxa"/>
            <w:tcBorders>
              <w:top w:val="nil"/>
              <w:left w:val="nil"/>
              <w:bottom w:val="nil"/>
              <w:right w:val="nil"/>
            </w:tcBorders>
            <w:noWrap/>
            <w:vAlign w:val="bottom"/>
            <w:hideMark/>
          </w:tcPr>
          <w:p w14:paraId="6DF9ED5A" w14:textId="77777777" w:rsidR="005E7495" w:rsidRPr="00141C3A" w:rsidRDefault="005E7495" w:rsidP="00856101">
            <w:pPr>
              <w:spacing w:after="0" w:line="240" w:lineRule="auto"/>
              <w:rPr>
                <w:rFonts w:ascii="Times New Roman" w:eastAsia="Times New Roman" w:hAnsi="Times New Roman" w:cs="Times New Roman"/>
                <w:color w:val="auto"/>
                <w:sz w:val="20"/>
                <w:szCs w:val="20"/>
                <w:lang w:eastAsia="en-AU"/>
              </w:rPr>
            </w:pPr>
          </w:p>
        </w:tc>
      </w:tr>
    </w:tbl>
    <w:p w14:paraId="1FE12643" w14:textId="77777777" w:rsidR="005E7495" w:rsidRDefault="005E7495" w:rsidP="005E7495">
      <w:bookmarkStart w:id="1026" w:name="_Toc235786183"/>
      <w:bookmarkStart w:id="1027" w:name="_Toc235787514"/>
      <w:bookmarkStart w:id="1028" w:name="_Toc235791652"/>
    </w:p>
    <w:p w14:paraId="6C63749E" w14:textId="77777777" w:rsidR="005E7495" w:rsidRDefault="005E7495" w:rsidP="005E7495"/>
    <w:p w14:paraId="39F82E04" w14:textId="5CD4D7B0" w:rsidR="005E7495" w:rsidRPr="00B97391" w:rsidRDefault="005E7495" w:rsidP="005E7495">
      <w:pPr>
        <w:pStyle w:val="Heading1"/>
      </w:pPr>
      <w:r>
        <w:lastRenderedPageBreak/>
        <w:t>Other information</w:t>
      </w:r>
      <w:bookmarkEnd w:id="1026"/>
      <w:bookmarkEnd w:id="1027"/>
      <w:bookmarkEnd w:id="1028"/>
    </w:p>
    <w:tbl>
      <w:tblPr>
        <w:tblW w:w="8428" w:type="dxa"/>
        <w:tblLook w:val="04A0" w:firstRow="1" w:lastRow="0" w:firstColumn="1" w:lastColumn="0" w:noHBand="0" w:noVBand="1"/>
      </w:tblPr>
      <w:tblGrid>
        <w:gridCol w:w="6216"/>
        <w:gridCol w:w="1056"/>
        <w:gridCol w:w="1156"/>
      </w:tblGrid>
      <w:tr w:rsidR="005E7495" w:rsidRPr="00707145" w14:paraId="4F5A2DA4" w14:textId="77777777" w:rsidTr="00856101">
        <w:trPr>
          <w:trHeight w:val="300"/>
        </w:trPr>
        <w:tc>
          <w:tcPr>
            <w:tcW w:w="6216" w:type="dxa"/>
            <w:tcBorders>
              <w:top w:val="single" w:sz="4" w:space="0" w:color="FFFFFF"/>
              <w:left w:val="nil"/>
              <w:bottom w:val="single" w:sz="4" w:space="0" w:color="FFFFFF"/>
              <w:right w:val="nil"/>
            </w:tcBorders>
            <w:shd w:val="clear" w:color="000000" w:fill="37424A"/>
            <w:noWrap/>
            <w:vAlign w:val="center"/>
            <w:hideMark/>
          </w:tcPr>
          <w:p w14:paraId="010A1D75" w14:textId="77777777" w:rsidR="005E7495" w:rsidRPr="00707145" w:rsidRDefault="005E7495" w:rsidP="00856101">
            <w:pPr>
              <w:spacing w:after="0" w:line="240" w:lineRule="auto"/>
              <w:rPr>
                <w:rFonts w:ascii="Cambria" w:eastAsia="Times New Roman" w:hAnsi="Cambria" w:cs="Calibri"/>
                <w:b/>
                <w:bCs/>
                <w:color w:val="FFFFFF"/>
                <w:sz w:val="18"/>
                <w:szCs w:val="18"/>
                <w:lang w:eastAsia="en-AU"/>
              </w:rPr>
            </w:pPr>
            <w:r w:rsidRPr="00707145">
              <w:rPr>
                <w:rFonts w:ascii="Cambria" w:eastAsia="Times New Roman" w:hAnsi="Cambria" w:cs="Calibri"/>
                <w:b/>
                <w:bCs/>
                <w:color w:val="FFFFFF"/>
                <w:sz w:val="18"/>
                <w:szCs w:val="18"/>
                <w:lang w:eastAsia="en-AU"/>
              </w:rPr>
              <w:t>Note 5.1 Current/non-current distinction for assets and liabilities</w:t>
            </w:r>
          </w:p>
        </w:tc>
        <w:tc>
          <w:tcPr>
            <w:tcW w:w="1056" w:type="dxa"/>
            <w:tcBorders>
              <w:top w:val="single" w:sz="4" w:space="0" w:color="FFFFFF"/>
              <w:left w:val="nil"/>
              <w:bottom w:val="single" w:sz="4" w:space="0" w:color="FFFFFF"/>
              <w:right w:val="nil"/>
            </w:tcBorders>
            <w:shd w:val="clear" w:color="000000" w:fill="37424A"/>
            <w:noWrap/>
            <w:vAlign w:val="center"/>
            <w:hideMark/>
          </w:tcPr>
          <w:p w14:paraId="7C18C859" w14:textId="77777777" w:rsidR="005E7495" w:rsidRPr="00707145" w:rsidRDefault="005E7495" w:rsidP="00856101">
            <w:pPr>
              <w:spacing w:after="0" w:line="240" w:lineRule="auto"/>
              <w:rPr>
                <w:rFonts w:ascii="Cambria" w:eastAsia="Times New Roman" w:hAnsi="Cambria" w:cs="Calibri"/>
                <w:b/>
                <w:bCs/>
                <w:color w:val="FFFFFF"/>
                <w:sz w:val="18"/>
                <w:szCs w:val="18"/>
                <w:lang w:eastAsia="en-AU"/>
              </w:rPr>
            </w:pPr>
            <w:r w:rsidRPr="00707145">
              <w:rPr>
                <w:rFonts w:ascii="Cambria" w:eastAsia="Times New Roman" w:hAnsi="Cambria" w:cs="Calibri"/>
                <w:b/>
                <w:bCs/>
                <w:color w:val="FFFFFF"/>
                <w:sz w:val="18"/>
                <w:szCs w:val="18"/>
                <w:lang w:eastAsia="en-AU"/>
              </w:rPr>
              <w:t> </w:t>
            </w:r>
          </w:p>
        </w:tc>
        <w:tc>
          <w:tcPr>
            <w:tcW w:w="1156" w:type="dxa"/>
            <w:tcBorders>
              <w:top w:val="single" w:sz="4" w:space="0" w:color="FFFFFF"/>
              <w:left w:val="nil"/>
              <w:bottom w:val="single" w:sz="4" w:space="0" w:color="FFFFFF"/>
              <w:right w:val="nil"/>
            </w:tcBorders>
            <w:shd w:val="clear" w:color="000000" w:fill="37424A"/>
            <w:noWrap/>
            <w:vAlign w:val="center"/>
            <w:hideMark/>
          </w:tcPr>
          <w:p w14:paraId="5DCAFD09" w14:textId="77777777" w:rsidR="005E7495" w:rsidRPr="00707145" w:rsidRDefault="005E7495" w:rsidP="00856101">
            <w:pPr>
              <w:spacing w:after="0" w:line="240" w:lineRule="auto"/>
              <w:rPr>
                <w:rFonts w:ascii="Cambria" w:eastAsia="Times New Roman" w:hAnsi="Cambria" w:cs="Calibri"/>
                <w:b/>
                <w:bCs/>
                <w:color w:val="FFFFFF"/>
                <w:sz w:val="18"/>
                <w:szCs w:val="18"/>
                <w:lang w:eastAsia="en-AU"/>
              </w:rPr>
            </w:pPr>
            <w:r w:rsidRPr="00707145">
              <w:rPr>
                <w:rFonts w:ascii="Cambria" w:eastAsia="Times New Roman" w:hAnsi="Cambria" w:cs="Calibri"/>
                <w:b/>
                <w:bCs/>
                <w:color w:val="FFFFFF"/>
                <w:sz w:val="18"/>
                <w:szCs w:val="18"/>
                <w:lang w:eastAsia="en-AU"/>
              </w:rPr>
              <w:t> </w:t>
            </w:r>
          </w:p>
        </w:tc>
      </w:tr>
      <w:tr w:rsidR="005E7495" w:rsidRPr="00707145" w14:paraId="7B961545" w14:textId="77777777" w:rsidTr="00856101">
        <w:trPr>
          <w:trHeight w:val="240"/>
        </w:trPr>
        <w:tc>
          <w:tcPr>
            <w:tcW w:w="8428" w:type="dxa"/>
            <w:gridSpan w:val="3"/>
            <w:tcBorders>
              <w:top w:val="nil"/>
              <w:left w:val="nil"/>
              <w:bottom w:val="nil"/>
              <w:right w:val="nil"/>
            </w:tcBorders>
            <w:hideMark/>
          </w:tcPr>
          <w:p w14:paraId="5195D195" w14:textId="77777777" w:rsidR="005E7495" w:rsidRPr="00707145" w:rsidRDefault="005E7495" w:rsidP="00856101">
            <w:pPr>
              <w:spacing w:after="0" w:line="240" w:lineRule="auto"/>
              <w:rPr>
                <w:rFonts w:ascii="Cambria" w:eastAsia="Times New Roman" w:hAnsi="Cambria" w:cs="Calibri"/>
                <w:b/>
                <w:bCs/>
                <w:color w:val="FFFFFF"/>
                <w:sz w:val="18"/>
                <w:szCs w:val="18"/>
                <w:lang w:eastAsia="en-AU"/>
              </w:rPr>
            </w:pPr>
          </w:p>
        </w:tc>
      </w:tr>
      <w:tr w:rsidR="005E7495" w:rsidRPr="00707145" w14:paraId="6A86FEE7" w14:textId="77777777" w:rsidTr="00856101">
        <w:trPr>
          <w:trHeight w:val="240"/>
        </w:trPr>
        <w:tc>
          <w:tcPr>
            <w:tcW w:w="6216" w:type="dxa"/>
            <w:tcBorders>
              <w:top w:val="nil"/>
              <w:left w:val="nil"/>
              <w:bottom w:val="nil"/>
              <w:right w:val="nil"/>
            </w:tcBorders>
            <w:hideMark/>
          </w:tcPr>
          <w:p w14:paraId="47BAF798" w14:textId="77777777" w:rsidR="005E7495" w:rsidRPr="00707145" w:rsidRDefault="005E7495" w:rsidP="00856101">
            <w:pPr>
              <w:spacing w:after="0" w:line="240" w:lineRule="auto"/>
              <w:rPr>
                <w:rFonts w:ascii="Times New Roman" w:eastAsia="Times New Roman" w:hAnsi="Times New Roman" w:cs="Times New Roman"/>
                <w:color w:val="auto"/>
                <w:sz w:val="20"/>
                <w:szCs w:val="20"/>
                <w:lang w:eastAsia="en-AU"/>
              </w:rPr>
            </w:pPr>
          </w:p>
        </w:tc>
        <w:tc>
          <w:tcPr>
            <w:tcW w:w="1056" w:type="dxa"/>
            <w:tcBorders>
              <w:top w:val="nil"/>
              <w:left w:val="nil"/>
              <w:bottom w:val="nil"/>
              <w:right w:val="nil"/>
            </w:tcBorders>
            <w:vAlign w:val="bottom"/>
            <w:hideMark/>
          </w:tcPr>
          <w:p w14:paraId="6AB9620D"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2026</w:t>
            </w:r>
          </w:p>
        </w:tc>
        <w:tc>
          <w:tcPr>
            <w:tcW w:w="1156" w:type="dxa"/>
            <w:tcBorders>
              <w:top w:val="nil"/>
              <w:left w:val="nil"/>
              <w:bottom w:val="nil"/>
              <w:right w:val="nil"/>
            </w:tcBorders>
            <w:vAlign w:val="bottom"/>
            <w:hideMark/>
          </w:tcPr>
          <w:p w14:paraId="64F372C6"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2025</w:t>
            </w:r>
          </w:p>
        </w:tc>
      </w:tr>
      <w:tr w:rsidR="005E7495" w:rsidRPr="00707145" w14:paraId="71004210" w14:textId="77777777" w:rsidTr="00856101">
        <w:trPr>
          <w:trHeight w:val="240"/>
        </w:trPr>
        <w:tc>
          <w:tcPr>
            <w:tcW w:w="6216" w:type="dxa"/>
            <w:tcBorders>
              <w:top w:val="nil"/>
              <w:left w:val="nil"/>
              <w:bottom w:val="single" w:sz="8" w:space="0" w:color="009560"/>
              <w:right w:val="nil"/>
            </w:tcBorders>
            <w:hideMark/>
          </w:tcPr>
          <w:p w14:paraId="57EDD01D" w14:textId="77777777" w:rsidR="005E7495" w:rsidRPr="00707145" w:rsidRDefault="005E7495" w:rsidP="00856101">
            <w:pPr>
              <w:spacing w:after="0" w:line="240" w:lineRule="auto"/>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w:t>
            </w:r>
          </w:p>
        </w:tc>
        <w:tc>
          <w:tcPr>
            <w:tcW w:w="1056" w:type="dxa"/>
            <w:tcBorders>
              <w:top w:val="nil"/>
              <w:left w:val="nil"/>
              <w:bottom w:val="single" w:sz="8" w:space="0" w:color="009560"/>
              <w:right w:val="nil"/>
            </w:tcBorders>
            <w:hideMark/>
          </w:tcPr>
          <w:p w14:paraId="5955CD76"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$’000</w:t>
            </w:r>
          </w:p>
        </w:tc>
        <w:tc>
          <w:tcPr>
            <w:tcW w:w="1156" w:type="dxa"/>
            <w:tcBorders>
              <w:top w:val="nil"/>
              <w:left w:val="nil"/>
              <w:bottom w:val="single" w:sz="8" w:space="0" w:color="009560"/>
              <w:right w:val="nil"/>
            </w:tcBorders>
            <w:hideMark/>
          </w:tcPr>
          <w:p w14:paraId="4BB81B68"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$’000</w:t>
            </w:r>
          </w:p>
        </w:tc>
      </w:tr>
      <w:tr w:rsidR="005E7495" w:rsidRPr="00707145" w14:paraId="37001A7B" w14:textId="77777777" w:rsidTr="00856101">
        <w:trPr>
          <w:trHeight w:val="240"/>
        </w:trPr>
        <w:tc>
          <w:tcPr>
            <w:tcW w:w="6216" w:type="dxa"/>
            <w:tcBorders>
              <w:top w:val="nil"/>
              <w:left w:val="nil"/>
              <w:bottom w:val="nil"/>
              <w:right w:val="nil"/>
            </w:tcBorders>
            <w:hideMark/>
          </w:tcPr>
          <w:p w14:paraId="31F3657C" w14:textId="77777777" w:rsidR="005E7495" w:rsidRPr="00707145" w:rsidRDefault="005E7495" w:rsidP="00856101">
            <w:pPr>
              <w:spacing w:after="0" w:line="240" w:lineRule="auto"/>
              <w:rPr>
                <w:rFonts w:ascii="Cambria" w:eastAsia="Times New Roman" w:hAnsi="Cambria" w:cs="Calibri"/>
                <w:b/>
                <w:bCs/>
                <w:color w:val="auto"/>
                <w:sz w:val="18"/>
                <w:szCs w:val="18"/>
                <w:u w:val="single"/>
                <w:lang w:eastAsia="en-AU"/>
              </w:rPr>
            </w:pPr>
            <w:r w:rsidRPr="00707145">
              <w:rPr>
                <w:rFonts w:ascii="Cambria" w:eastAsia="Times New Roman" w:hAnsi="Cambria" w:cs="Calibri"/>
                <w:b/>
                <w:bCs/>
                <w:color w:val="auto"/>
                <w:sz w:val="18"/>
                <w:szCs w:val="18"/>
                <w:u w:val="single"/>
                <w:lang w:eastAsia="en-AU"/>
              </w:rPr>
              <w:t>Note 5.1A Current/non-current distinction for assets and liabilities</w:t>
            </w:r>
          </w:p>
        </w:tc>
        <w:tc>
          <w:tcPr>
            <w:tcW w:w="1056" w:type="dxa"/>
            <w:tcBorders>
              <w:top w:val="nil"/>
              <w:left w:val="nil"/>
              <w:bottom w:val="nil"/>
              <w:right w:val="nil"/>
            </w:tcBorders>
            <w:hideMark/>
          </w:tcPr>
          <w:p w14:paraId="618921AF" w14:textId="77777777" w:rsidR="005E7495" w:rsidRPr="00707145" w:rsidRDefault="005E7495" w:rsidP="00856101">
            <w:pPr>
              <w:spacing w:after="0" w:line="240" w:lineRule="auto"/>
              <w:rPr>
                <w:rFonts w:ascii="Cambria" w:eastAsia="Times New Roman" w:hAnsi="Cambria" w:cs="Calibri"/>
                <w:b/>
                <w:bCs/>
                <w:color w:val="auto"/>
                <w:sz w:val="18"/>
                <w:szCs w:val="18"/>
                <w:u w:val="single"/>
                <w:lang w:eastAsia="en-AU"/>
              </w:rPr>
            </w:pPr>
          </w:p>
        </w:tc>
        <w:tc>
          <w:tcPr>
            <w:tcW w:w="1156" w:type="dxa"/>
            <w:tcBorders>
              <w:top w:val="nil"/>
              <w:left w:val="nil"/>
              <w:bottom w:val="nil"/>
              <w:right w:val="nil"/>
            </w:tcBorders>
            <w:hideMark/>
          </w:tcPr>
          <w:p w14:paraId="64DE1608" w14:textId="77777777" w:rsidR="005E7495" w:rsidRPr="00707145"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07145" w14:paraId="1B009920" w14:textId="77777777" w:rsidTr="00856101">
        <w:trPr>
          <w:trHeight w:val="240"/>
        </w:trPr>
        <w:tc>
          <w:tcPr>
            <w:tcW w:w="6216" w:type="dxa"/>
            <w:tcBorders>
              <w:top w:val="nil"/>
              <w:left w:val="nil"/>
              <w:bottom w:val="nil"/>
              <w:right w:val="nil"/>
            </w:tcBorders>
            <w:hideMark/>
          </w:tcPr>
          <w:p w14:paraId="1A04B7E7"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Assets expected to be recovered in:</w:t>
            </w:r>
          </w:p>
        </w:tc>
        <w:tc>
          <w:tcPr>
            <w:tcW w:w="1056" w:type="dxa"/>
            <w:tcBorders>
              <w:top w:val="nil"/>
              <w:left w:val="nil"/>
              <w:bottom w:val="nil"/>
              <w:right w:val="nil"/>
            </w:tcBorders>
            <w:hideMark/>
          </w:tcPr>
          <w:p w14:paraId="420FDCE1"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p>
        </w:tc>
        <w:tc>
          <w:tcPr>
            <w:tcW w:w="1156" w:type="dxa"/>
            <w:tcBorders>
              <w:top w:val="nil"/>
              <w:left w:val="nil"/>
              <w:bottom w:val="nil"/>
              <w:right w:val="nil"/>
            </w:tcBorders>
            <w:hideMark/>
          </w:tcPr>
          <w:p w14:paraId="759973E9" w14:textId="77777777" w:rsidR="005E7495" w:rsidRPr="00707145"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07145" w14:paraId="53D2C534" w14:textId="77777777" w:rsidTr="00856101">
        <w:trPr>
          <w:trHeight w:val="240"/>
        </w:trPr>
        <w:tc>
          <w:tcPr>
            <w:tcW w:w="8428" w:type="dxa"/>
            <w:gridSpan w:val="3"/>
            <w:tcBorders>
              <w:top w:val="nil"/>
              <w:left w:val="nil"/>
              <w:bottom w:val="nil"/>
              <w:right w:val="nil"/>
            </w:tcBorders>
            <w:hideMark/>
          </w:tcPr>
          <w:p w14:paraId="00FF0E43"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No more than 12 months</w:t>
            </w:r>
          </w:p>
        </w:tc>
      </w:tr>
      <w:tr w:rsidR="005E7495" w:rsidRPr="00707145" w14:paraId="38DD8FCB" w14:textId="77777777" w:rsidTr="00856101">
        <w:trPr>
          <w:trHeight w:val="240"/>
        </w:trPr>
        <w:tc>
          <w:tcPr>
            <w:tcW w:w="6216" w:type="dxa"/>
            <w:tcBorders>
              <w:top w:val="nil"/>
              <w:left w:val="nil"/>
              <w:bottom w:val="nil"/>
              <w:right w:val="nil"/>
            </w:tcBorders>
            <w:shd w:val="clear" w:color="000000" w:fill="FFFFFF"/>
            <w:vAlign w:val="center"/>
            <w:hideMark/>
          </w:tcPr>
          <w:p w14:paraId="57E443D1"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Cash and cash equivalents</w:t>
            </w:r>
          </w:p>
        </w:tc>
        <w:tc>
          <w:tcPr>
            <w:tcW w:w="1056" w:type="dxa"/>
            <w:tcBorders>
              <w:top w:val="nil"/>
              <w:left w:val="nil"/>
              <w:bottom w:val="nil"/>
              <w:right w:val="nil"/>
            </w:tcBorders>
            <w:shd w:val="clear" w:color="000000" w:fill="FFFFFF"/>
            <w:noWrap/>
            <w:vAlign w:val="bottom"/>
            <w:hideMark/>
          </w:tcPr>
          <w:p w14:paraId="6B0A8BC1"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94,415 </w:t>
            </w:r>
          </w:p>
        </w:tc>
        <w:tc>
          <w:tcPr>
            <w:tcW w:w="1156" w:type="dxa"/>
            <w:tcBorders>
              <w:top w:val="nil"/>
              <w:left w:val="nil"/>
              <w:bottom w:val="nil"/>
              <w:right w:val="nil"/>
            </w:tcBorders>
            <w:shd w:val="clear" w:color="000000" w:fill="FFFFFF"/>
            <w:noWrap/>
            <w:vAlign w:val="bottom"/>
            <w:hideMark/>
          </w:tcPr>
          <w:p w14:paraId="0EA05B5C"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74,160 </w:t>
            </w:r>
          </w:p>
        </w:tc>
      </w:tr>
      <w:tr w:rsidR="005E7495" w:rsidRPr="00707145" w14:paraId="08E8CEAA" w14:textId="77777777" w:rsidTr="00856101">
        <w:trPr>
          <w:trHeight w:val="240"/>
        </w:trPr>
        <w:tc>
          <w:tcPr>
            <w:tcW w:w="6216" w:type="dxa"/>
            <w:tcBorders>
              <w:top w:val="nil"/>
              <w:left w:val="nil"/>
              <w:bottom w:val="nil"/>
              <w:right w:val="nil"/>
            </w:tcBorders>
            <w:shd w:val="clear" w:color="000000" w:fill="FFFFFF"/>
            <w:vAlign w:val="center"/>
            <w:hideMark/>
          </w:tcPr>
          <w:p w14:paraId="26E24181"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Trade and other receivables</w:t>
            </w:r>
          </w:p>
        </w:tc>
        <w:tc>
          <w:tcPr>
            <w:tcW w:w="1056" w:type="dxa"/>
            <w:tcBorders>
              <w:top w:val="nil"/>
              <w:left w:val="nil"/>
              <w:bottom w:val="nil"/>
              <w:right w:val="nil"/>
            </w:tcBorders>
            <w:shd w:val="clear" w:color="000000" w:fill="FFFFFF"/>
            <w:noWrap/>
            <w:vAlign w:val="bottom"/>
            <w:hideMark/>
          </w:tcPr>
          <w:p w14:paraId="50F7B4C6"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1,046 </w:t>
            </w:r>
          </w:p>
        </w:tc>
        <w:tc>
          <w:tcPr>
            <w:tcW w:w="1156" w:type="dxa"/>
            <w:tcBorders>
              <w:top w:val="nil"/>
              <w:left w:val="nil"/>
              <w:bottom w:val="nil"/>
              <w:right w:val="nil"/>
            </w:tcBorders>
            <w:shd w:val="clear" w:color="000000" w:fill="FFFFFF"/>
            <w:noWrap/>
            <w:vAlign w:val="bottom"/>
            <w:hideMark/>
          </w:tcPr>
          <w:p w14:paraId="49DEF1A3"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1,078 </w:t>
            </w:r>
          </w:p>
        </w:tc>
      </w:tr>
      <w:tr w:rsidR="005E7495" w:rsidRPr="00707145" w14:paraId="0F3E7D90" w14:textId="77777777" w:rsidTr="00856101">
        <w:trPr>
          <w:trHeight w:val="240"/>
        </w:trPr>
        <w:tc>
          <w:tcPr>
            <w:tcW w:w="6216" w:type="dxa"/>
            <w:tcBorders>
              <w:top w:val="nil"/>
              <w:left w:val="nil"/>
              <w:bottom w:val="nil"/>
              <w:right w:val="nil"/>
            </w:tcBorders>
            <w:shd w:val="clear" w:color="000000" w:fill="FFFFFF"/>
            <w:vAlign w:val="center"/>
            <w:hideMark/>
          </w:tcPr>
          <w:p w14:paraId="664CF811"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Prepayments</w:t>
            </w:r>
          </w:p>
        </w:tc>
        <w:tc>
          <w:tcPr>
            <w:tcW w:w="1056" w:type="dxa"/>
            <w:tcBorders>
              <w:top w:val="nil"/>
              <w:left w:val="nil"/>
              <w:bottom w:val="nil"/>
              <w:right w:val="nil"/>
            </w:tcBorders>
            <w:shd w:val="clear" w:color="000000" w:fill="FFFFFF"/>
            <w:noWrap/>
            <w:vAlign w:val="bottom"/>
            <w:hideMark/>
          </w:tcPr>
          <w:p w14:paraId="31D599BD"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Pr>
                <w:rFonts w:ascii="Cambria" w:eastAsia="Times New Roman" w:hAnsi="Cambria" w:cs="Calibri"/>
                <w:b/>
                <w:bCs/>
                <w:color w:val="auto"/>
                <w:sz w:val="18"/>
                <w:szCs w:val="18"/>
                <w:lang w:eastAsia="en-AU"/>
              </w:rPr>
              <w:t>918</w:t>
            </w:r>
            <w:r w:rsidRPr="00707145">
              <w:rPr>
                <w:rFonts w:ascii="Cambria" w:eastAsia="Times New Roman" w:hAnsi="Cambria" w:cs="Calibri"/>
                <w:b/>
                <w:bCs/>
                <w:color w:val="auto"/>
                <w:sz w:val="18"/>
                <w:szCs w:val="18"/>
                <w:lang w:eastAsia="en-AU"/>
              </w:rPr>
              <w:t xml:space="preserve"> </w:t>
            </w:r>
          </w:p>
        </w:tc>
        <w:tc>
          <w:tcPr>
            <w:tcW w:w="1156" w:type="dxa"/>
            <w:tcBorders>
              <w:top w:val="nil"/>
              <w:left w:val="nil"/>
              <w:bottom w:val="nil"/>
              <w:right w:val="nil"/>
            </w:tcBorders>
            <w:shd w:val="clear" w:color="000000" w:fill="FFFFFF"/>
            <w:noWrap/>
            <w:vAlign w:val="bottom"/>
            <w:hideMark/>
          </w:tcPr>
          <w:p w14:paraId="6A77C146"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817 </w:t>
            </w:r>
          </w:p>
        </w:tc>
      </w:tr>
      <w:tr w:rsidR="005E7495" w:rsidRPr="00707145" w14:paraId="0C242FBC" w14:textId="77777777" w:rsidTr="00856101">
        <w:trPr>
          <w:trHeight w:val="240"/>
        </w:trPr>
        <w:tc>
          <w:tcPr>
            <w:tcW w:w="6216" w:type="dxa"/>
            <w:tcBorders>
              <w:top w:val="nil"/>
              <w:left w:val="nil"/>
              <w:bottom w:val="nil"/>
              <w:right w:val="nil"/>
            </w:tcBorders>
            <w:shd w:val="clear" w:color="000000" w:fill="FFFFFF"/>
            <w:vAlign w:val="center"/>
            <w:hideMark/>
          </w:tcPr>
          <w:p w14:paraId="6B63BCB3"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Total no more than 12 months</w:t>
            </w:r>
          </w:p>
        </w:tc>
        <w:tc>
          <w:tcPr>
            <w:tcW w:w="1056" w:type="dxa"/>
            <w:tcBorders>
              <w:top w:val="single" w:sz="4" w:space="0" w:color="auto"/>
              <w:left w:val="nil"/>
              <w:bottom w:val="single" w:sz="4" w:space="0" w:color="auto"/>
              <w:right w:val="nil"/>
            </w:tcBorders>
            <w:shd w:val="clear" w:color="000000" w:fill="FFFFFF"/>
            <w:noWrap/>
            <w:vAlign w:val="bottom"/>
            <w:hideMark/>
          </w:tcPr>
          <w:p w14:paraId="6C4B127D"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96,</w:t>
            </w:r>
            <w:r>
              <w:rPr>
                <w:rFonts w:ascii="Cambria" w:eastAsia="Times New Roman" w:hAnsi="Cambria" w:cs="Calibri"/>
                <w:b/>
                <w:bCs/>
                <w:color w:val="auto"/>
                <w:sz w:val="18"/>
                <w:szCs w:val="18"/>
                <w:lang w:eastAsia="en-AU"/>
              </w:rPr>
              <w:t>379</w:t>
            </w:r>
            <w:r w:rsidRPr="00707145">
              <w:rPr>
                <w:rFonts w:ascii="Cambria" w:eastAsia="Times New Roman" w:hAnsi="Cambria" w:cs="Calibri"/>
                <w:b/>
                <w:bCs/>
                <w:color w:val="auto"/>
                <w:sz w:val="18"/>
                <w:szCs w:val="18"/>
                <w:lang w:eastAsia="en-AU"/>
              </w:rPr>
              <w:t xml:space="preserve"> </w:t>
            </w:r>
          </w:p>
        </w:tc>
        <w:tc>
          <w:tcPr>
            <w:tcW w:w="1156" w:type="dxa"/>
            <w:tcBorders>
              <w:top w:val="single" w:sz="4" w:space="0" w:color="auto"/>
              <w:left w:val="nil"/>
              <w:bottom w:val="single" w:sz="4" w:space="0" w:color="auto"/>
              <w:right w:val="nil"/>
            </w:tcBorders>
            <w:shd w:val="clear" w:color="000000" w:fill="FFFFFF"/>
            <w:noWrap/>
            <w:vAlign w:val="bottom"/>
            <w:hideMark/>
          </w:tcPr>
          <w:p w14:paraId="1711422B"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76,055 </w:t>
            </w:r>
          </w:p>
        </w:tc>
      </w:tr>
      <w:tr w:rsidR="005E7495" w:rsidRPr="00707145" w14:paraId="196F8507" w14:textId="77777777" w:rsidTr="00856101">
        <w:trPr>
          <w:trHeight w:val="240"/>
        </w:trPr>
        <w:tc>
          <w:tcPr>
            <w:tcW w:w="6216" w:type="dxa"/>
            <w:tcBorders>
              <w:top w:val="nil"/>
              <w:left w:val="nil"/>
              <w:bottom w:val="nil"/>
              <w:right w:val="nil"/>
            </w:tcBorders>
            <w:shd w:val="clear" w:color="000000" w:fill="FFFFFF"/>
            <w:vAlign w:val="center"/>
            <w:hideMark/>
          </w:tcPr>
          <w:p w14:paraId="6347F70B"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More than 12 months</w:t>
            </w:r>
          </w:p>
        </w:tc>
        <w:tc>
          <w:tcPr>
            <w:tcW w:w="1056" w:type="dxa"/>
            <w:tcBorders>
              <w:top w:val="nil"/>
              <w:left w:val="nil"/>
              <w:bottom w:val="nil"/>
              <w:right w:val="nil"/>
            </w:tcBorders>
            <w:hideMark/>
          </w:tcPr>
          <w:p w14:paraId="5ADD403B"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p>
        </w:tc>
        <w:tc>
          <w:tcPr>
            <w:tcW w:w="1156" w:type="dxa"/>
            <w:tcBorders>
              <w:top w:val="nil"/>
              <w:left w:val="nil"/>
              <w:bottom w:val="nil"/>
              <w:right w:val="nil"/>
            </w:tcBorders>
            <w:hideMark/>
          </w:tcPr>
          <w:p w14:paraId="74F5EC1A" w14:textId="77777777" w:rsidR="005E7495" w:rsidRPr="00707145"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07145" w14:paraId="058C0279" w14:textId="77777777" w:rsidTr="00856101">
        <w:trPr>
          <w:trHeight w:val="240"/>
        </w:trPr>
        <w:tc>
          <w:tcPr>
            <w:tcW w:w="6216" w:type="dxa"/>
            <w:tcBorders>
              <w:top w:val="nil"/>
              <w:left w:val="nil"/>
              <w:bottom w:val="nil"/>
              <w:right w:val="nil"/>
            </w:tcBorders>
            <w:shd w:val="clear" w:color="000000" w:fill="FFFFFF"/>
            <w:vAlign w:val="center"/>
            <w:hideMark/>
          </w:tcPr>
          <w:p w14:paraId="664F2074"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Buildings</w:t>
            </w:r>
          </w:p>
        </w:tc>
        <w:tc>
          <w:tcPr>
            <w:tcW w:w="1056" w:type="dxa"/>
            <w:tcBorders>
              <w:top w:val="nil"/>
              <w:left w:val="nil"/>
              <w:bottom w:val="nil"/>
              <w:right w:val="nil"/>
            </w:tcBorders>
            <w:shd w:val="clear" w:color="000000" w:fill="FFFFFF"/>
            <w:noWrap/>
            <w:vAlign w:val="bottom"/>
            <w:hideMark/>
          </w:tcPr>
          <w:p w14:paraId="049CE3DA"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7,254 </w:t>
            </w:r>
          </w:p>
        </w:tc>
        <w:tc>
          <w:tcPr>
            <w:tcW w:w="1156" w:type="dxa"/>
            <w:tcBorders>
              <w:top w:val="nil"/>
              <w:left w:val="nil"/>
              <w:bottom w:val="nil"/>
              <w:right w:val="nil"/>
            </w:tcBorders>
            <w:shd w:val="clear" w:color="000000" w:fill="FFFFFF"/>
            <w:noWrap/>
            <w:vAlign w:val="bottom"/>
            <w:hideMark/>
          </w:tcPr>
          <w:p w14:paraId="11DDD048"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8,534 </w:t>
            </w:r>
          </w:p>
        </w:tc>
      </w:tr>
      <w:tr w:rsidR="005E7495" w:rsidRPr="00707145" w14:paraId="5ACA43F9" w14:textId="77777777" w:rsidTr="00856101">
        <w:trPr>
          <w:trHeight w:val="240"/>
        </w:trPr>
        <w:tc>
          <w:tcPr>
            <w:tcW w:w="6216" w:type="dxa"/>
            <w:tcBorders>
              <w:top w:val="nil"/>
              <w:left w:val="nil"/>
              <w:bottom w:val="nil"/>
              <w:right w:val="nil"/>
            </w:tcBorders>
            <w:shd w:val="clear" w:color="000000" w:fill="FFFFFF"/>
            <w:vAlign w:val="center"/>
            <w:hideMark/>
          </w:tcPr>
          <w:p w14:paraId="674784CA"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Leasehold improvements</w:t>
            </w:r>
          </w:p>
        </w:tc>
        <w:tc>
          <w:tcPr>
            <w:tcW w:w="1056" w:type="dxa"/>
            <w:tcBorders>
              <w:top w:val="nil"/>
              <w:left w:val="nil"/>
              <w:bottom w:val="nil"/>
              <w:right w:val="nil"/>
            </w:tcBorders>
            <w:shd w:val="clear" w:color="000000" w:fill="FFFFFF"/>
            <w:noWrap/>
            <w:vAlign w:val="bottom"/>
            <w:hideMark/>
          </w:tcPr>
          <w:p w14:paraId="3DBE395C"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1,852 </w:t>
            </w:r>
          </w:p>
        </w:tc>
        <w:tc>
          <w:tcPr>
            <w:tcW w:w="1156" w:type="dxa"/>
            <w:tcBorders>
              <w:top w:val="nil"/>
              <w:left w:val="nil"/>
              <w:bottom w:val="nil"/>
              <w:right w:val="nil"/>
            </w:tcBorders>
            <w:shd w:val="clear" w:color="000000" w:fill="FFFFFF"/>
            <w:noWrap/>
            <w:vAlign w:val="bottom"/>
            <w:hideMark/>
          </w:tcPr>
          <w:p w14:paraId="45AB618D"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2,048 </w:t>
            </w:r>
          </w:p>
        </w:tc>
      </w:tr>
      <w:tr w:rsidR="005E7495" w:rsidRPr="00707145" w14:paraId="43E0476E" w14:textId="77777777" w:rsidTr="00856101">
        <w:trPr>
          <w:trHeight w:val="264"/>
        </w:trPr>
        <w:tc>
          <w:tcPr>
            <w:tcW w:w="6216" w:type="dxa"/>
            <w:tcBorders>
              <w:top w:val="nil"/>
              <w:left w:val="nil"/>
              <w:bottom w:val="nil"/>
              <w:right w:val="nil"/>
            </w:tcBorders>
            <w:shd w:val="clear" w:color="000000" w:fill="FFFFFF"/>
            <w:vAlign w:val="center"/>
            <w:hideMark/>
          </w:tcPr>
          <w:p w14:paraId="1C9E9AED"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Computer software</w:t>
            </w:r>
          </w:p>
        </w:tc>
        <w:tc>
          <w:tcPr>
            <w:tcW w:w="1056" w:type="dxa"/>
            <w:tcBorders>
              <w:top w:val="nil"/>
              <w:left w:val="nil"/>
              <w:bottom w:val="nil"/>
              <w:right w:val="nil"/>
            </w:tcBorders>
            <w:shd w:val="clear" w:color="000000" w:fill="FFFFFF"/>
            <w:noWrap/>
            <w:vAlign w:val="bottom"/>
            <w:hideMark/>
          </w:tcPr>
          <w:p w14:paraId="0BAA260E"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1,398 </w:t>
            </w:r>
          </w:p>
        </w:tc>
        <w:tc>
          <w:tcPr>
            <w:tcW w:w="1156" w:type="dxa"/>
            <w:tcBorders>
              <w:top w:val="nil"/>
              <w:left w:val="nil"/>
              <w:bottom w:val="nil"/>
              <w:right w:val="nil"/>
            </w:tcBorders>
            <w:shd w:val="clear" w:color="000000" w:fill="FFFFFF"/>
            <w:noWrap/>
            <w:vAlign w:val="bottom"/>
            <w:hideMark/>
          </w:tcPr>
          <w:p w14:paraId="1982A428"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1,845 </w:t>
            </w:r>
          </w:p>
        </w:tc>
      </w:tr>
      <w:tr w:rsidR="005E7495" w:rsidRPr="00707145" w14:paraId="35C84058" w14:textId="77777777" w:rsidTr="00856101">
        <w:trPr>
          <w:trHeight w:val="264"/>
        </w:trPr>
        <w:tc>
          <w:tcPr>
            <w:tcW w:w="6216" w:type="dxa"/>
            <w:tcBorders>
              <w:top w:val="nil"/>
              <w:left w:val="nil"/>
              <w:bottom w:val="nil"/>
              <w:right w:val="nil"/>
            </w:tcBorders>
            <w:shd w:val="clear" w:color="000000" w:fill="FFFFFF"/>
            <w:vAlign w:val="center"/>
          </w:tcPr>
          <w:p w14:paraId="0E2129F2"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Pr>
                <w:rFonts w:ascii="Cambria" w:eastAsia="Times New Roman" w:hAnsi="Cambria" w:cs="Calibri"/>
                <w:color w:val="auto"/>
                <w:sz w:val="18"/>
                <w:szCs w:val="18"/>
                <w:lang w:eastAsia="en-AU"/>
              </w:rPr>
              <w:t xml:space="preserve">Prepayments </w:t>
            </w:r>
          </w:p>
        </w:tc>
        <w:tc>
          <w:tcPr>
            <w:tcW w:w="1056" w:type="dxa"/>
            <w:tcBorders>
              <w:top w:val="nil"/>
              <w:left w:val="nil"/>
              <w:bottom w:val="nil"/>
              <w:right w:val="nil"/>
            </w:tcBorders>
            <w:shd w:val="clear" w:color="000000" w:fill="FFFFFF"/>
            <w:noWrap/>
            <w:vAlign w:val="bottom"/>
          </w:tcPr>
          <w:p w14:paraId="2952DA5E"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Pr>
                <w:rFonts w:ascii="Cambria" w:eastAsia="Times New Roman" w:hAnsi="Cambria" w:cs="Calibri"/>
                <w:b/>
                <w:bCs/>
                <w:color w:val="auto"/>
                <w:sz w:val="18"/>
                <w:szCs w:val="18"/>
                <w:lang w:eastAsia="en-AU"/>
              </w:rPr>
              <w:t>323</w:t>
            </w:r>
          </w:p>
        </w:tc>
        <w:tc>
          <w:tcPr>
            <w:tcW w:w="1156" w:type="dxa"/>
            <w:tcBorders>
              <w:top w:val="nil"/>
              <w:left w:val="nil"/>
              <w:bottom w:val="nil"/>
              <w:right w:val="nil"/>
            </w:tcBorders>
            <w:shd w:val="clear" w:color="000000" w:fill="FFFFFF"/>
            <w:noWrap/>
            <w:vAlign w:val="bottom"/>
          </w:tcPr>
          <w:p w14:paraId="6A901D7D"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Pr>
                <w:rFonts w:ascii="Cambria" w:eastAsia="Times New Roman" w:hAnsi="Cambria" w:cs="Calibri"/>
                <w:color w:val="auto"/>
                <w:sz w:val="18"/>
                <w:szCs w:val="18"/>
                <w:lang w:eastAsia="en-AU"/>
              </w:rPr>
              <w:t>-</w:t>
            </w:r>
          </w:p>
        </w:tc>
      </w:tr>
      <w:tr w:rsidR="005E7495" w:rsidRPr="00707145" w14:paraId="3CBF89D7" w14:textId="77777777" w:rsidTr="00856101">
        <w:trPr>
          <w:trHeight w:val="264"/>
        </w:trPr>
        <w:tc>
          <w:tcPr>
            <w:tcW w:w="6216" w:type="dxa"/>
            <w:tcBorders>
              <w:top w:val="nil"/>
              <w:left w:val="nil"/>
              <w:bottom w:val="nil"/>
              <w:right w:val="nil"/>
            </w:tcBorders>
            <w:shd w:val="clear" w:color="000000" w:fill="FFFFFF"/>
            <w:vAlign w:val="center"/>
            <w:hideMark/>
          </w:tcPr>
          <w:p w14:paraId="5E593414"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Total more than 12 months</w:t>
            </w:r>
          </w:p>
        </w:tc>
        <w:tc>
          <w:tcPr>
            <w:tcW w:w="1056" w:type="dxa"/>
            <w:tcBorders>
              <w:top w:val="single" w:sz="4" w:space="0" w:color="auto"/>
              <w:left w:val="nil"/>
              <w:bottom w:val="single" w:sz="4" w:space="0" w:color="auto"/>
              <w:right w:val="nil"/>
            </w:tcBorders>
            <w:shd w:val="clear" w:color="000000" w:fill="FFFFFF"/>
            <w:noWrap/>
            <w:vAlign w:val="bottom"/>
            <w:hideMark/>
          </w:tcPr>
          <w:p w14:paraId="1F2FC161"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Pr>
                <w:rFonts w:ascii="Cambria" w:eastAsia="Times New Roman" w:hAnsi="Cambria" w:cs="Calibri"/>
                <w:b/>
                <w:bCs/>
                <w:color w:val="auto"/>
                <w:sz w:val="18"/>
                <w:szCs w:val="18"/>
                <w:lang w:eastAsia="en-AU"/>
              </w:rPr>
              <w:t>10,827</w:t>
            </w:r>
            <w:r w:rsidRPr="00707145">
              <w:rPr>
                <w:rFonts w:ascii="Cambria" w:eastAsia="Times New Roman" w:hAnsi="Cambria" w:cs="Calibri"/>
                <w:b/>
                <w:bCs/>
                <w:color w:val="auto"/>
                <w:sz w:val="18"/>
                <w:szCs w:val="18"/>
                <w:lang w:eastAsia="en-AU"/>
              </w:rPr>
              <w:t xml:space="preserve"> </w:t>
            </w:r>
          </w:p>
        </w:tc>
        <w:tc>
          <w:tcPr>
            <w:tcW w:w="1156" w:type="dxa"/>
            <w:tcBorders>
              <w:top w:val="single" w:sz="4" w:space="0" w:color="auto"/>
              <w:left w:val="nil"/>
              <w:bottom w:val="single" w:sz="4" w:space="0" w:color="auto"/>
              <w:right w:val="nil"/>
            </w:tcBorders>
            <w:shd w:val="clear" w:color="000000" w:fill="FFFFFF"/>
            <w:noWrap/>
            <w:vAlign w:val="bottom"/>
            <w:hideMark/>
          </w:tcPr>
          <w:p w14:paraId="061A5F1D"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12,427 </w:t>
            </w:r>
          </w:p>
        </w:tc>
      </w:tr>
      <w:tr w:rsidR="005E7495" w:rsidRPr="00707145" w14:paraId="2BC838C3" w14:textId="77777777" w:rsidTr="00856101">
        <w:trPr>
          <w:trHeight w:val="264"/>
        </w:trPr>
        <w:tc>
          <w:tcPr>
            <w:tcW w:w="6216" w:type="dxa"/>
            <w:tcBorders>
              <w:top w:val="nil"/>
              <w:left w:val="nil"/>
              <w:bottom w:val="nil"/>
              <w:right w:val="nil"/>
            </w:tcBorders>
            <w:shd w:val="clear" w:color="000000" w:fill="FFFFFF"/>
            <w:hideMark/>
          </w:tcPr>
          <w:p w14:paraId="1B17E0B0"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Total assets</w:t>
            </w:r>
          </w:p>
        </w:tc>
        <w:tc>
          <w:tcPr>
            <w:tcW w:w="1056" w:type="dxa"/>
            <w:tcBorders>
              <w:top w:val="nil"/>
              <w:left w:val="nil"/>
              <w:bottom w:val="single" w:sz="4" w:space="0" w:color="auto"/>
              <w:right w:val="nil"/>
            </w:tcBorders>
            <w:shd w:val="clear" w:color="000000" w:fill="FFFFFF"/>
            <w:noWrap/>
            <w:vAlign w:val="bottom"/>
            <w:hideMark/>
          </w:tcPr>
          <w:p w14:paraId="7E1382C5"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107,206 </w:t>
            </w:r>
          </w:p>
        </w:tc>
        <w:tc>
          <w:tcPr>
            <w:tcW w:w="1156" w:type="dxa"/>
            <w:tcBorders>
              <w:top w:val="nil"/>
              <w:left w:val="nil"/>
              <w:bottom w:val="single" w:sz="4" w:space="0" w:color="auto"/>
              <w:right w:val="nil"/>
            </w:tcBorders>
            <w:shd w:val="clear" w:color="000000" w:fill="FFFFFF"/>
            <w:noWrap/>
            <w:vAlign w:val="bottom"/>
            <w:hideMark/>
          </w:tcPr>
          <w:p w14:paraId="4D8CC0AB"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88,482 </w:t>
            </w:r>
          </w:p>
        </w:tc>
      </w:tr>
      <w:tr w:rsidR="005E7495" w:rsidRPr="00707145" w14:paraId="4DD024A1" w14:textId="77777777" w:rsidTr="00856101">
        <w:trPr>
          <w:trHeight w:val="264"/>
        </w:trPr>
        <w:tc>
          <w:tcPr>
            <w:tcW w:w="6216" w:type="dxa"/>
            <w:tcBorders>
              <w:top w:val="nil"/>
              <w:left w:val="nil"/>
              <w:bottom w:val="nil"/>
              <w:right w:val="nil"/>
            </w:tcBorders>
            <w:noWrap/>
            <w:vAlign w:val="bottom"/>
            <w:hideMark/>
          </w:tcPr>
          <w:p w14:paraId="3B36661C"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p>
        </w:tc>
        <w:tc>
          <w:tcPr>
            <w:tcW w:w="1056" w:type="dxa"/>
            <w:tcBorders>
              <w:top w:val="nil"/>
              <w:left w:val="nil"/>
              <w:bottom w:val="nil"/>
              <w:right w:val="nil"/>
            </w:tcBorders>
            <w:noWrap/>
            <w:vAlign w:val="bottom"/>
            <w:hideMark/>
          </w:tcPr>
          <w:p w14:paraId="30F80EC6" w14:textId="77777777" w:rsidR="005E7495" w:rsidRPr="00707145" w:rsidRDefault="005E7495" w:rsidP="00856101">
            <w:pPr>
              <w:spacing w:after="0" w:line="240" w:lineRule="auto"/>
              <w:rPr>
                <w:rFonts w:ascii="Times New Roman" w:eastAsia="Times New Roman" w:hAnsi="Times New Roman" w:cs="Times New Roman"/>
                <w:color w:val="auto"/>
                <w:sz w:val="20"/>
                <w:szCs w:val="20"/>
                <w:lang w:eastAsia="en-AU"/>
              </w:rPr>
            </w:pPr>
          </w:p>
        </w:tc>
        <w:tc>
          <w:tcPr>
            <w:tcW w:w="1156" w:type="dxa"/>
            <w:tcBorders>
              <w:top w:val="nil"/>
              <w:left w:val="nil"/>
              <w:bottom w:val="nil"/>
              <w:right w:val="nil"/>
            </w:tcBorders>
            <w:noWrap/>
            <w:vAlign w:val="bottom"/>
            <w:hideMark/>
          </w:tcPr>
          <w:p w14:paraId="375B8A29" w14:textId="77777777" w:rsidR="005E7495" w:rsidRPr="00707145"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07145" w14:paraId="52966B5F" w14:textId="77777777" w:rsidTr="00856101">
        <w:trPr>
          <w:trHeight w:val="264"/>
        </w:trPr>
        <w:tc>
          <w:tcPr>
            <w:tcW w:w="6216" w:type="dxa"/>
            <w:tcBorders>
              <w:top w:val="nil"/>
              <w:left w:val="nil"/>
              <w:bottom w:val="nil"/>
              <w:right w:val="nil"/>
            </w:tcBorders>
            <w:shd w:val="clear" w:color="000000" w:fill="FFFFFF"/>
            <w:hideMark/>
          </w:tcPr>
          <w:p w14:paraId="451A173E"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Liabilities expected to be settled in:</w:t>
            </w:r>
          </w:p>
        </w:tc>
        <w:tc>
          <w:tcPr>
            <w:tcW w:w="1056" w:type="dxa"/>
            <w:tcBorders>
              <w:top w:val="nil"/>
              <w:left w:val="nil"/>
              <w:bottom w:val="nil"/>
              <w:right w:val="nil"/>
            </w:tcBorders>
            <w:noWrap/>
            <w:vAlign w:val="bottom"/>
            <w:hideMark/>
          </w:tcPr>
          <w:p w14:paraId="14FA8ECD"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p>
        </w:tc>
        <w:tc>
          <w:tcPr>
            <w:tcW w:w="1156" w:type="dxa"/>
            <w:tcBorders>
              <w:top w:val="nil"/>
              <w:left w:val="nil"/>
              <w:bottom w:val="nil"/>
              <w:right w:val="nil"/>
            </w:tcBorders>
            <w:noWrap/>
            <w:vAlign w:val="bottom"/>
            <w:hideMark/>
          </w:tcPr>
          <w:p w14:paraId="6B4509D0" w14:textId="77777777" w:rsidR="005E7495" w:rsidRPr="00707145"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07145" w14:paraId="151AB818" w14:textId="77777777" w:rsidTr="00856101">
        <w:trPr>
          <w:trHeight w:val="264"/>
        </w:trPr>
        <w:tc>
          <w:tcPr>
            <w:tcW w:w="6216" w:type="dxa"/>
            <w:tcBorders>
              <w:top w:val="nil"/>
              <w:left w:val="nil"/>
              <w:bottom w:val="nil"/>
              <w:right w:val="nil"/>
            </w:tcBorders>
            <w:shd w:val="clear" w:color="000000" w:fill="FFFFFF"/>
            <w:hideMark/>
          </w:tcPr>
          <w:p w14:paraId="6FA1EA42"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No more than 12 months</w:t>
            </w:r>
          </w:p>
        </w:tc>
        <w:tc>
          <w:tcPr>
            <w:tcW w:w="1056" w:type="dxa"/>
            <w:tcBorders>
              <w:top w:val="nil"/>
              <w:left w:val="nil"/>
              <w:bottom w:val="nil"/>
              <w:right w:val="nil"/>
            </w:tcBorders>
            <w:noWrap/>
            <w:vAlign w:val="bottom"/>
            <w:hideMark/>
          </w:tcPr>
          <w:p w14:paraId="31A4E282"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p>
        </w:tc>
        <w:tc>
          <w:tcPr>
            <w:tcW w:w="1156" w:type="dxa"/>
            <w:tcBorders>
              <w:top w:val="nil"/>
              <w:left w:val="nil"/>
              <w:bottom w:val="nil"/>
              <w:right w:val="nil"/>
            </w:tcBorders>
            <w:noWrap/>
            <w:vAlign w:val="bottom"/>
            <w:hideMark/>
          </w:tcPr>
          <w:p w14:paraId="1D926ADF" w14:textId="77777777" w:rsidR="005E7495" w:rsidRPr="00707145"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07145" w14:paraId="3FACA10F" w14:textId="77777777" w:rsidTr="00856101">
        <w:trPr>
          <w:trHeight w:val="264"/>
        </w:trPr>
        <w:tc>
          <w:tcPr>
            <w:tcW w:w="6216" w:type="dxa"/>
            <w:tcBorders>
              <w:top w:val="nil"/>
              <w:left w:val="nil"/>
              <w:bottom w:val="nil"/>
              <w:right w:val="nil"/>
            </w:tcBorders>
            <w:shd w:val="clear" w:color="000000" w:fill="FFFFFF"/>
            <w:vAlign w:val="center"/>
            <w:hideMark/>
          </w:tcPr>
          <w:p w14:paraId="3D152458"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Suppliers</w:t>
            </w:r>
          </w:p>
        </w:tc>
        <w:tc>
          <w:tcPr>
            <w:tcW w:w="1056" w:type="dxa"/>
            <w:tcBorders>
              <w:top w:val="nil"/>
              <w:left w:val="nil"/>
              <w:bottom w:val="nil"/>
              <w:right w:val="nil"/>
            </w:tcBorders>
            <w:shd w:val="clear" w:color="000000" w:fill="FFFFFF"/>
            <w:noWrap/>
            <w:vAlign w:val="bottom"/>
            <w:hideMark/>
          </w:tcPr>
          <w:p w14:paraId="6F202393"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3,675 </w:t>
            </w:r>
          </w:p>
        </w:tc>
        <w:tc>
          <w:tcPr>
            <w:tcW w:w="1156" w:type="dxa"/>
            <w:tcBorders>
              <w:top w:val="nil"/>
              <w:left w:val="nil"/>
              <w:bottom w:val="nil"/>
              <w:right w:val="nil"/>
            </w:tcBorders>
            <w:shd w:val="clear" w:color="000000" w:fill="FFFFFF"/>
            <w:noWrap/>
            <w:vAlign w:val="bottom"/>
            <w:hideMark/>
          </w:tcPr>
          <w:p w14:paraId="3F01B5EA"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2,435 </w:t>
            </w:r>
          </w:p>
        </w:tc>
      </w:tr>
      <w:tr w:rsidR="005E7495" w:rsidRPr="00707145" w14:paraId="1A97C4BA" w14:textId="77777777" w:rsidTr="00856101">
        <w:trPr>
          <w:trHeight w:val="264"/>
        </w:trPr>
        <w:tc>
          <w:tcPr>
            <w:tcW w:w="6216" w:type="dxa"/>
            <w:tcBorders>
              <w:top w:val="nil"/>
              <w:left w:val="nil"/>
              <w:bottom w:val="nil"/>
              <w:right w:val="nil"/>
            </w:tcBorders>
            <w:shd w:val="clear" w:color="000000" w:fill="FFFFFF"/>
            <w:vAlign w:val="center"/>
            <w:hideMark/>
          </w:tcPr>
          <w:p w14:paraId="5CAB8820"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Leases</w:t>
            </w:r>
          </w:p>
        </w:tc>
        <w:tc>
          <w:tcPr>
            <w:tcW w:w="1056" w:type="dxa"/>
            <w:tcBorders>
              <w:top w:val="nil"/>
              <w:left w:val="nil"/>
              <w:bottom w:val="nil"/>
              <w:right w:val="nil"/>
            </w:tcBorders>
            <w:shd w:val="clear" w:color="000000" w:fill="FFFFFF"/>
            <w:noWrap/>
            <w:vAlign w:val="bottom"/>
            <w:hideMark/>
          </w:tcPr>
          <w:p w14:paraId="3B921EFF"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1,200 </w:t>
            </w:r>
          </w:p>
        </w:tc>
        <w:tc>
          <w:tcPr>
            <w:tcW w:w="1156" w:type="dxa"/>
            <w:tcBorders>
              <w:top w:val="nil"/>
              <w:left w:val="nil"/>
              <w:bottom w:val="nil"/>
              <w:right w:val="nil"/>
            </w:tcBorders>
            <w:shd w:val="clear" w:color="000000" w:fill="FFFFFF"/>
            <w:noWrap/>
            <w:vAlign w:val="bottom"/>
            <w:hideMark/>
          </w:tcPr>
          <w:p w14:paraId="6FBC01A3"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1,024 </w:t>
            </w:r>
          </w:p>
        </w:tc>
      </w:tr>
      <w:tr w:rsidR="005E7495" w:rsidRPr="00707145" w14:paraId="7F1DFD35" w14:textId="77777777" w:rsidTr="00856101">
        <w:trPr>
          <w:trHeight w:val="264"/>
        </w:trPr>
        <w:tc>
          <w:tcPr>
            <w:tcW w:w="6216" w:type="dxa"/>
            <w:tcBorders>
              <w:top w:val="nil"/>
              <w:left w:val="nil"/>
              <w:bottom w:val="nil"/>
              <w:right w:val="nil"/>
            </w:tcBorders>
            <w:shd w:val="clear" w:color="000000" w:fill="FFFFFF"/>
            <w:vAlign w:val="center"/>
            <w:hideMark/>
          </w:tcPr>
          <w:p w14:paraId="4B62C672"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Other payables</w:t>
            </w:r>
          </w:p>
        </w:tc>
        <w:tc>
          <w:tcPr>
            <w:tcW w:w="1056" w:type="dxa"/>
            <w:tcBorders>
              <w:top w:val="nil"/>
              <w:left w:val="nil"/>
              <w:bottom w:val="nil"/>
              <w:right w:val="nil"/>
            </w:tcBorders>
            <w:shd w:val="clear" w:color="000000" w:fill="FFFFFF"/>
            <w:noWrap/>
            <w:vAlign w:val="bottom"/>
            <w:hideMark/>
          </w:tcPr>
          <w:p w14:paraId="2763EA11"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20 </w:t>
            </w:r>
          </w:p>
        </w:tc>
        <w:tc>
          <w:tcPr>
            <w:tcW w:w="1156" w:type="dxa"/>
            <w:tcBorders>
              <w:top w:val="nil"/>
              <w:left w:val="nil"/>
              <w:bottom w:val="nil"/>
              <w:right w:val="nil"/>
            </w:tcBorders>
            <w:shd w:val="clear" w:color="000000" w:fill="FFFFFF"/>
            <w:noWrap/>
            <w:vAlign w:val="bottom"/>
            <w:hideMark/>
          </w:tcPr>
          <w:p w14:paraId="3F17622C"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17 </w:t>
            </w:r>
          </w:p>
        </w:tc>
      </w:tr>
      <w:tr w:rsidR="005E7495" w:rsidRPr="00707145" w14:paraId="0C4037E6" w14:textId="77777777" w:rsidTr="00856101">
        <w:trPr>
          <w:trHeight w:val="264"/>
        </w:trPr>
        <w:tc>
          <w:tcPr>
            <w:tcW w:w="6216" w:type="dxa"/>
            <w:tcBorders>
              <w:top w:val="nil"/>
              <w:left w:val="nil"/>
              <w:bottom w:val="nil"/>
              <w:right w:val="nil"/>
            </w:tcBorders>
            <w:shd w:val="clear" w:color="000000" w:fill="FFFFFF"/>
            <w:vAlign w:val="center"/>
            <w:hideMark/>
          </w:tcPr>
          <w:p w14:paraId="3C87E88B"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Employee provisions</w:t>
            </w:r>
          </w:p>
        </w:tc>
        <w:tc>
          <w:tcPr>
            <w:tcW w:w="1056" w:type="dxa"/>
            <w:tcBorders>
              <w:top w:val="nil"/>
              <w:left w:val="nil"/>
              <w:bottom w:val="nil"/>
              <w:right w:val="nil"/>
            </w:tcBorders>
            <w:noWrap/>
            <w:vAlign w:val="bottom"/>
            <w:hideMark/>
          </w:tcPr>
          <w:p w14:paraId="44F0F3F0"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174 </w:t>
            </w:r>
          </w:p>
        </w:tc>
        <w:tc>
          <w:tcPr>
            <w:tcW w:w="1156" w:type="dxa"/>
            <w:tcBorders>
              <w:top w:val="nil"/>
              <w:left w:val="nil"/>
              <w:bottom w:val="nil"/>
              <w:right w:val="nil"/>
            </w:tcBorders>
            <w:shd w:val="clear" w:color="000000" w:fill="FFFFFF"/>
            <w:noWrap/>
            <w:vAlign w:val="bottom"/>
            <w:hideMark/>
          </w:tcPr>
          <w:p w14:paraId="6ACB170D"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120 </w:t>
            </w:r>
          </w:p>
        </w:tc>
      </w:tr>
      <w:tr w:rsidR="005E7495" w:rsidRPr="00707145" w14:paraId="52E341E7" w14:textId="77777777" w:rsidTr="00856101">
        <w:trPr>
          <w:trHeight w:val="264"/>
        </w:trPr>
        <w:tc>
          <w:tcPr>
            <w:tcW w:w="6216" w:type="dxa"/>
            <w:tcBorders>
              <w:top w:val="nil"/>
              <w:left w:val="nil"/>
              <w:bottom w:val="nil"/>
              <w:right w:val="nil"/>
            </w:tcBorders>
            <w:shd w:val="clear" w:color="000000" w:fill="FFFFFF"/>
            <w:vAlign w:val="center"/>
            <w:hideMark/>
          </w:tcPr>
          <w:p w14:paraId="16AD34DE"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Total no more than 12 months</w:t>
            </w:r>
          </w:p>
        </w:tc>
        <w:tc>
          <w:tcPr>
            <w:tcW w:w="1056" w:type="dxa"/>
            <w:tcBorders>
              <w:top w:val="single" w:sz="4" w:space="0" w:color="auto"/>
              <w:left w:val="nil"/>
              <w:bottom w:val="single" w:sz="4" w:space="0" w:color="auto"/>
              <w:right w:val="nil"/>
            </w:tcBorders>
            <w:shd w:val="clear" w:color="000000" w:fill="FFFFFF"/>
            <w:noWrap/>
            <w:vAlign w:val="bottom"/>
            <w:hideMark/>
          </w:tcPr>
          <w:p w14:paraId="0DD1F8FA"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5,069 </w:t>
            </w:r>
          </w:p>
        </w:tc>
        <w:tc>
          <w:tcPr>
            <w:tcW w:w="1156" w:type="dxa"/>
            <w:tcBorders>
              <w:top w:val="single" w:sz="4" w:space="0" w:color="auto"/>
              <w:left w:val="nil"/>
              <w:bottom w:val="single" w:sz="4" w:space="0" w:color="auto"/>
              <w:right w:val="nil"/>
            </w:tcBorders>
            <w:shd w:val="clear" w:color="000000" w:fill="FFFFFF"/>
            <w:noWrap/>
            <w:vAlign w:val="bottom"/>
            <w:hideMark/>
          </w:tcPr>
          <w:p w14:paraId="4B493782"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3,596 </w:t>
            </w:r>
          </w:p>
        </w:tc>
      </w:tr>
      <w:tr w:rsidR="005E7495" w:rsidRPr="00707145" w14:paraId="7F0082D5" w14:textId="77777777" w:rsidTr="00856101">
        <w:trPr>
          <w:trHeight w:val="264"/>
        </w:trPr>
        <w:tc>
          <w:tcPr>
            <w:tcW w:w="6216" w:type="dxa"/>
            <w:tcBorders>
              <w:top w:val="nil"/>
              <w:left w:val="nil"/>
              <w:bottom w:val="nil"/>
              <w:right w:val="nil"/>
            </w:tcBorders>
            <w:shd w:val="clear" w:color="000000" w:fill="FFFFFF"/>
            <w:vAlign w:val="center"/>
            <w:hideMark/>
          </w:tcPr>
          <w:p w14:paraId="7364264A"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More than 12 months</w:t>
            </w:r>
          </w:p>
        </w:tc>
        <w:tc>
          <w:tcPr>
            <w:tcW w:w="1056" w:type="dxa"/>
            <w:tcBorders>
              <w:top w:val="nil"/>
              <w:left w:val="nil"/>
              <w:bottom w:val="nil"/>
              <w:right w:val="nil"/>
            </w:tcBorders>
            <w:noWrap/>
            <w:vAlign w:val="bottom"/>
            <w:hideMark/>
          </w:tcPr>
          <w:p w14:paraId="641DC9E2"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p>
        </w:tc>
        <w:tc>
          <w:tcPr>
            <w:tcW w:w="1156" w:type="dxa"/>
            <w:tcBorders>
              <w:top w:val="nil"/>
              <w:left w:val="nil"/>
              <w:bottom w:val="nil"/>
              <w:right w:val="nil"/>
            </w:tcBorders>
            <w:noWrap/>
            <w:vAlign w:val="bottom"/>
            <w:hideMark/>
          </w:tcPr>
          <w:p w14:paraId="65D6DD9B" w14:textId="77777777" w:rsidR="005E7495" w:rsidRPr="00707145" w:rsidRDefault="005E7495" w:rsidP="00856101">
            <w:pPr>
              <w:spacing w:after="0" w:line="240" w:lineRule="auto"/>
              <w:rPr>
                <w:rFonts w:ascii="Times New Roman" w:eastAsia="Times New Roman" w:hAnsi="Times New Roman" w:cs="Times New Roman"/>
                <w:color w:val="auto"/>
                <w:sz w:val="20"/>
                <w:szCs w:val="20"/>
                <w:lang w:eastAsia="en-AU"/>
              </w:rPr>
            </w:pPr>
          </w:p>
        </w:tc>
      </w:tr>
      <w:tr w:rsidR="005E7495" w:rsidRPr="00707145" w14:paraId="31283938" w14:textId="77777777" w:rsidTr="00856101">
        <w:trPr>
          <w:trHeight w:val="264"/>
        </w:trPr>
        <w:tc>
          <w:tcPr>
            <w:tcW w:w="6216" w:type="dxa"/>
            <w:tcBorders>
              <w:top w:val="nil"/>
              <w:left w:val="nil"/>
              <w:bottom w:val="nil"/>
              <w:right w:val="nil"/>
            </w:tcBorders>
            <w:shd w:val="clear" w:color="000000" w:fill="FFFFFF"/>
            <w:vAlign w:val="center"/>
            <w:hideMark/>
          </w:tcPr>
          <w:p w14:paraId="51A82B6D"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Leases</w:t>
            </w:r>
          </w:p>
        </w:tc>
        <w:tc>
          <w:tcPr>
            <w:tcW w:w="1056" w:type="dxa"/>
            <w:tcBorders>
              <w:top w:val="nil"/>
              <w:left w:val="nil"/>
              <w:bottom w:val="nil"/>
              <w:right w:val="nil"/>
            </w:tcBorders>
            <w:shd w:val="clear" w:color="000000" w:fill="FFFFFF"/>
            <w:noWrap/>
            <w:vAlign w:val="bottom"/>
            <w:hideMark/>
          </w:tcPr>
          <w:p w14:paraId="3B96CCCA"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7,621 </w:t>
            </w:r>
          </w:p>
        </w:tc>
        <w:tc>
          <w:tcPr>
            <w:tcW w:w="1156" w:type="dxa"/>
            <w:tcBorders>
              <w:top w:val="nil"/>
              <w:left w:val="nil"/>
              <w:bottom w:val="nil"/>
              <w:right w:val="nil"/>
            </w:tcBorders>
            <w:shd w:val="clear" w:color="000000" w:fill="FFFFFF"/>
            <w:noWrap/>
            <w:vAlign w:val="bottom"/>
            <w:hideMark/>
          </w:tcPr>
          <w:p w14:paraId="233B3335"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8,821 </w:t>
            </w:r>
          </w:p>
        </w:tc>
      </w:tr>
      <w:tr w:rsidR="005E7495" w:rsidRPr="00707145" w14:paraId="71B28DA7" w14:textId="77777777" w:rsidTr="00856101">
        <w:trPr>
          <w:trHeight w:val="264"/>
        </w:trPr>
        <w:tc>
          <w:tcPr>
            <w:tcW w:w="6216" w:type="dxa"/>
            <w:tcBorders>
              <w:top w:val="nil"/>
              <w:left w:val="nil"/>
              <w:bottom w:val="nil"/>
              <w:right w:val="nil"/>
            </w:tcBorders>
            <w:shd w:val="clear" w:color="000000" w:fill="FFFFFF"/>
            <w:vAlign w:val="center"/>
            <w:hideMark/>
          </w:tcPr>
          <w:p w14:paraId="6F27DF53" w14:textId="77777777" w:rsidR="005E7495" w:rsidRPr="00707145" w:rsidRDefault="005E7495" w:rsidP="00856101">
            <w:pPr>
              <w:spacing w:after="0" w:line="240" w:lineRule="auto"/>
              <w:ind w:firstLineChars="100" w:firstLine="180"/>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Employee provisions</w:t>
            </w:r>
          </w:p>
        </w:tc>
        <w:tc>
          <w:tcPr>
            <w:tcW w:w="1056" w:type="dxa"/>
            <w:tcBorders>
              <w:top w:val="nil"/>
              <w:left w:val="nil"/>
              <w:bottom w:val="nil"/>
              <w:right w:val="nil"/>
            </w:tcBorders>
            <w:noWrap/>
            <w:vAlign w:val="bottom"/>
            <w:hideMark/>
          </w:tcPr>
          <w:p w14:paraId="67AF6604"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40 </w:t>
            </w:r>
          </w:p>
        </w:tc>
        <w:tc>
          <w:tcPr>
            <w:tcW w:w="1156" w:type="dxa"/>
            <w:tcBorders>
              <w:top w:val="nil"/>
              <w:left w:val="nil"/>
              <w:bottom w:val="nil"/>
              <w:right w:val="nil"/>
            </w:tcBorders>
            <w:shd w:val="clear" w:color="000000" w:fill="FFFFFF"/>
            <w:noWrap/>
            <w:vAlign w:val="bottom"/>
            <w:hideMark/>
          </w:tcPr>
          <w:p w14:paraId="4EE992D3"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25 </w:t>
            </w:r>
          </w:p>
        </w:tc>
      </w:tr>
      <w:tr w:rsidR="005E7495" w:rsidRPr="00707145" w14:paraId="6E354D6F" w14:textId="77777777" w:rsidTr="00856101">
        <w:trPr>
          <w:trHeight w:val="264"/>
        </w:trPr>
        <w:tc>
          <w:tcPr>
            <w:tcW w:w="6216" w:type="dxa"/>
            <w:tcBorders>
              <w:top w:val="nil"/>
              <w:left w:val="nil"/>
              <w:bottom w:val="nil"/>
              <w:right w:val="nil"/>
            </w:tcBorders>
            <w:shd w:val="clear" w:color="000000" w:fill="FFFFFF"/>
            <w:vAlign w:val="center"/>
            <w:hideMark/>
          </w:tcPr>
          <w:p w14:paraId="69F13A2C"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Total more than 12 months</w:t>
            </w:r>
          </w:p>
        </w:tc>
        <w:tc>
          <w:tcPr>
            <w:tcW w:w="1056" w:type="dxa"/>
            <w:tcBorders>
              <w:top w:val="single" w:sz="4" w:space="0" w:color="auto"/>
              <w:left w:val="nil"/>
              <w:bottom w:val="single" w:sz="4" w:space="0" w:color="auto"/>
              <w:right w:val="nil"/>
            </w:tcBorders>
            <w:shd w:val="clear" w:color="000000" w:fill="FFFFFF"/>
            <w:noWrap/>
            <w:vAlign w:val="bottom"/>
            <w:hideMark/>
          </w:tcPr>
          <w:p w14:paraId="6651A996"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7,661 </w:t>
            </w:r>
          </w:p>
        </w:tc>
        <w:tc>
          <w:tcPr>
            <w:tcW w:w="1156" w:type="dxa"/>
            <w:tcBorders>
              <w:top w:val="single" w:sz="4" w:space="0" w:color="auto"/>
              <w:left w:val="nil"/>
              <w:bottom w:val="single" w:sz="4" w:space="0" w:color="auto"/>
              <w:right w:val="nil"/>
            </w:tcBorders>
            <w:shd w:val="clear" w:color="000000" w:fill="FFFFFF"/>
            <w:noWrap/>
            <w:vAlign w:val="bottom"/>
            <w:hideMark/>
          </w:tcPr>
          <w:p w14:paraId="65E3C624"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8,846 </w:t>
            </w:r>
          </w:p>
        </w:tc>
      </w:tr>
      <w:tr w:rsidR="005E7495" w:rsidRPr="00707145" w14:paraId="565DA5B2" w14:textId="77777777" w:rsidTr="00856101">
        <w:trPr>
          <w:trHeight w:val="264"/>
        </w:trPr>
        <w:tc>
          <w:tcPr>
            <w:tcW w:w="6216" w:type="dxa"/>
            <w:tcBorders>
              <w:top w:val="nil"/>
              <w:left w:val="nil"/>
              <w:bottom w:val="nil"/>
              <w:right w:val="nil"/>
            </w:tcBorders>
            <w:shd w:val="clear" w:color="000000" w:fill="FFFFFF"/>
            <w:hideMark/>
          </w:tcPr>
          <w:p w14:paraId="0DE88CEB" w14:textId="77777777" w:rsidR="005E7495" w:rsidRPr="00707145" w:rsidRDefault="005E7495" w:rsidP="00856101">
            <w:pPr>
              <w:spacing w:after="0" w:line="240" w:lineRule="auto"/>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Total liabilities</w:t>
            </w:r>
          </w:p>
        </w:tc>
        <w:tc>
          <w:tcPr>
            <w:tcW w:w="1056" w:type="dxa"/>
            <w:tcBorders>
              <w:top w:val="nil"/>
              <w:left w:val="nil"/>
              <w:bottom w:val="single" w:sz="4" w:space="0" w:color="auto"/>
              <w:right w:val="nil"/>
            </w:tcBorders>
            <w:shd w:val="clear" w:color="000000" w:fill="FFFFFF"/>
            <w:noWrap/>
            <w:vAlign w:val="bottom"/>
            <w:hideMark/>
          </w:tcPr>
          <w:p w14:paraId="2D72D4EF" w14:textId="77777777" w:rsidR="005E7495" w:rsidRPr="00707145" w:rsidRDefault="005E7495" w:rsidP="00856101">
            <w:pPr>
              <w:spacing w:after="0" w:line="240" w:lineRule="auto"/>
              <w:jc w:val="right"/>
              <w:rPr>
                <w:rFonts w:ascii="Cambria" w:eastAsia="Times New Roman" w:hAnsi="Cambria" w:cs="Calibri"/>
                <w:b/>
                <w:bCs/>
                <w:color w:val="auto"/>
                <w:sz w:val="18"/>
                <w:szCs w:val="18"/>
                <w:lang w:eastAsia="en-AU"/>
              </w:rPr>
            </w:pPr>
            <w:r w:rsidRPr="00707145">
              <w:rPr>
                <w:rFonts w:ascii="Cambria" w:eastAsia="Times New Roman" w:hAnsi="Cambria" w:cs="Calibri"/>
                <w:b/>
                <w:bCs/>
                <w:color w:val="auto"/>
                <w:sz w:val="18"/>
                <w:szCs w:val="18"/>
                <w:lang w:eastAsia="en-AU"/>
              </w:rPr>
              <w:t xml:space="preserve">12,730 </w:t>
            </w:r>
          </w:p>
        </w:tc>
        <w:tc>
          <w:tcPr>
            <w:tcW w:w="1156" w:type="dxa"/>
            <w:tcBorders>
              <w:top w:val="nil"/>
              <w:left w:val="nil"/>
              <w:bottom w:val="single" w:sz="4" w:space="0" w:color="auto"/>
              <w:right w:val="nil"/>
            </w:tcBorders>
            <w:shd w:val="clear" w:color="000000" w:fill="FFFFFF"/>
            <w:noWrap/>
            <w:vAlign w:val="bottom"/>
            <w:hideMark/>
          </w:tcPr>
          <w:p w14:paraId="295FAC31" w14:textId="77777777" w:rsidR="005E7495" w:rsidRPr="00707145" w:rsidRDefault="005E7495" w:rsidP="00856101">
            <w:pPr>
              <w:spacing w:after="0" w:line="240" w:lineRule="auto"/>
              <w:jc w:val="right"/>
              <w:rPr>
                <w:rFonts w:ascii="Cambria" w:eastAsia="Times New Roman" w:hAnsi="Cambria" w:cs="Calibri"/>
                <w:color w:val="auto"/>
                <w:sz w:val="18"/>
                <w:szCs w:val="18"/>
                <w:lang w:eastAsia="en-AU"/>
              </w:rPr>
            </w:pPr>
            <w:r w:rsidRPr="00707145">
              <w:rPr>
                <w:rFonts w:ascii="Cambria" w:eastAsia="Times New Roman" w:hAnsi="Cambria" w:cs="Calibri"/>
                <w:color w:val="auto"/>
                <w:sz w:val="18"/>
                <w:szCs w:val="18"/>
                <w:lang w:eastAsia="en-AU"/>
              </w:rPr>
              <w:t xml:space="preserve">12,442 </w:t>
            </w:r>
          </w:p>
        </w:tc>
      </w:tr>
    </w:tbl>
    <w:p w14:paraId="7427E5DD" w14:textId="77777777" w:rsidR="005E7495" w:rsidRDefault="005E7495" w:rsidP="00724246">
      <w:pPr>
        <w:pStyle w:val="Sectionnumber"/>
        <w:rPr>
          <w:rFonts w:ascii="Arial" w:hAnsi="Arial" w:cs="Arial"/>
          <w:color w:val="15272F" w:themeColor="text1"/>
        </w:rPr>
      </w:pPr>
    </w:p>
    <w:p w14:paraId="225607AB" w14:textId="2B945259" w:rsidR="00724246" w:rsidRDefault="00724246" w:rsidP="005E7495">
      <w:pPr>
        <w:pStyle w:val="Sectionnumber"/>
        <w:rPr>
          <w:rFonts w:ascii="Arial" w:hAnsi="Arial" w:cs="Arial"/>
          <w:color w:val="15272F" w:themeColor="text1"/>
        </w:rPr>
      </w:pPr>
      <w:r w:rsidRPr="007C342E">
        <w:rPr>
          <w:rFonts w:ascii="Arial" w:hAnsi="Arial" w:cs="Arial"/>
          <w:color w:val="15272F" w:themeColor="text1"/>
        </w:rPr>
        <w:lastRenderedPageBreak/>
        <w:t>0</w:t>
      </w:r>
      <w:r>
        <w:rPr>
          <w:rFonts w:ascii="Arial" w:hAnsi="Arial" w:cs="Arial"/>
          <w:color w:val="15272F" w:themeColor="text1"/>
        </w:rPr>
        <w:t>6</w:t>
      </w:r>
    </w:p>
    <w:p w14:paraId="5970F646" w14:textId="77777777" w:rsidR="00724246" w:rsidRPr="006923CF" w:rsidRDefault="00724246" w:rsidP="005E7495">
      <w:pPr>
        <w:pStyle w:val="Sectionnumber"/>
        <w:rPr>
          <w:b/>
          <w:sz w:val="72"/>
          <w:szCs w:val="72"/>
        </w:rPr>
      </w:pPr>
      <w:r w:rsidRPr="00F94020">
        <w:rPr>
          <w:rFonts w:ascii="Arial" w:hAnsi="Arial" w:cs="Arial"/>
          <w:color w:val="15272F" w:themeColor="text1"/>
          <w:sz w:val="72"/>
          <w:szCs w:val="72"/>
        </w:rPr>
        <w:t>Appendices</w:t>
      </w:r>
    </w:p>
    <w:p w14:paraId="2933EE13" w14:textId="77777777" w:rsidR="00724246" w:rsidRDefault="00724246" w:rsidP="00724246">
      <w:pPr>
        <w:pStyle w:val="Heading1"/>
      </w:pPr>
      <w:bookmarkStart w:id="1029" w:name="_Toc233022347"/>
      <w:bookmarkStart w:id="1030" w:name="_Toc233023108"/>
      <w:bookmarkStart w:id="1031" w:name="_Toc233023436"/>
      <w:bookmarkStart w:id="1032" w:name="_Toc233028759"/>
      <w:bookmarkStart w:id="1033" w:name="_Toc233028936"/>
      <w:bookmarkStart w:id="1034" w:name="_Toc235787515"/>
      <w:bookmarkStart w:id="1035" w:name="_Toc235791653"/>
      <w:bookmarkStart w:id="1036" w:name="_Toc237872756"/>
      <w:r>
        <w:lastRenderedPageBreak/>
        <w:t>Appendix A – Figures and tables</w:t>
      </w:r>
      <w:bookmarkEnd w:id="1029"/>
      <w:bookmarkEnd w:id="1030"/>
      <w:bookmarkEnd w:id="1031"/>
      <w:bookmarkEnd w:id="1032"/>
      <w:bookmarkEnd w:id="1033"/>
      <w:bookmarkEnd w:id="1034"/>
      <w:bookmarkEnd w:id="1035"/>
      <w:bookmarkEnd w:id="1036"/>
      <w:r>
        <w:t xml:space="preserve"> </w:t>
      </w:r>
    </w:p>
    <w:tbl>
      <w:tblPr>
        <w:tblStyle w:val="IHACPATable"/>
        <w:tblW w:w="9498" w:type="dxa"/>
        <w:tblLook w:val="04A0" w:firstRow="1" w:lastRow="0" w:firstColumn="1" w:lastColumn="0" w:noHBand="0" w:noVBand="1"/>
      </w:tblPr>
      <w:tblGrid>
        <w:gridCol w:w="8621"/>
        <w:gridCol w:w="877"/>
      </w:tblGrid>
      <w:tr w:rsidR="00724246" w:rsidRPr="00EB08DE" w14:paraId="4E432AE3" w14:textId="77777777" w:rsidTr="00ED27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shd w:val="clear" w:color="auto" w:fill="FFFFFF" w:themeFill="background2"/>
          </w:tcPr>
          <w:p w14:paraId="4841139D" w14:textId="77777777" w:rsidR="00724246" w:rsidRPr="00EB08DE" w:rsidRDefault="00724246" w:rsidP="00ED2732">
            <w:pPr>
              <w:pStyle w:val="TOC-TablesandFigures"/>
              <w:rPr>
                <w:rFonts w:ascii="Arial" w:hAnsi="Arial" w:cs="Arial"/>
              </w:rPr>
            </w:pPr>
            <w:r w:rsidRPr="00EB08DE">
              <w:rPr>
                <w:rFonts w:ascii="Arial" w:hAnsi="Arial" w:cs="Arial"/>
              </w:rPr>
              <w:t>Item</w:t>
            </w:r>
          </w:p>
        </w:tc>
        <w:tc>
          <w:tcPr>
            <w:tcW w:w="877" w:type="dxa"/>
            <w:shd w:val="clear" w:color="auto" w:fill="FFFFFF" w:themeFill="background2"/>
          </w:tcPr>
          <w:p w14:paraId="039A372B" w14:textId="77777777" w:rsidR="00724246" w:rsidRPr="00EB08DE" w:rsidRDefault="00724246" w:rsidP="00ED2732">
            <w:pPr>
              <w:pStyle w:val="TOC-TablesandFigures"/>
              <w:cnfStyle w:val="100000000000" w:firstRow="1" w:lastRow="0" w:firstColumn="0" w:lastColumn="0" w:oddVBand="0" w:evenVBand="0" w:oddHBand="0" w:evenHBand="0" w:firstRowFirstColumn="0" w:firstRowLastColumn="0" w:lastRowFirstColumn="0" w:lastRowLastColumn="0"/>
              <w:rPr>
                <w:rFonts w:ascii="Arial" w:hAnsi="Arial" w:cs="Arial"/>
                <w:webHidden/>
              </w:rPr>
            </w:pPr>
            <w:r w:rsidRPr="00EB08DE">
              <w:rPr>
                <w:rFonts w:ascii="Arial" w:hAnsi="Arial" w:cs="Arial"/>
                <w:webHidden/>
              </w:rPr>
              <w:t>Page number</w:t>
            </w:r>
          </w:p>
        </w:tc>
      </w:tr>
      <w:tr w:rsidR="00724246" w:rsidRPr="00EB08DE" w14:paraId="4A18814A"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shd w:val="clear" w:color="auto" w:fill="FFFFFF" w:themeFill="background2"/>
          </w:tcPr>
          <w:p w14:paraId="01D11E23" w14:textId="77777777" w:rsidR="00724246" w:rsidRPr="00EB08DE" w:rsidRDefault="00724246" w:rsidP="00ED2732">
            <w:pPr>
              <w:pStyle w:val="TOC-TablesandFigures"/>
              <w:rPr>
                <w:rFonts w:ascii="Arial" w:hAnsi="Arial" w:cs="Arial"/>
                <w:webHidden/>
              </w:rPr>
            </w:pPr>
            <w:bookmarkStart w:id="1037" w:name="_Hlk201158208"/>
            <w:r w:rsidRPr="00EB08DE">
              <w:rPr>
                <w:rFonts w:ascii="Arial" w:hAnsi="Arial" w:cs="Arial"/>
              </w:rPr>
              <w:t>Figure 1: 2025–26 highlights</w:t>
            </w:r>
          </w:p>
        </w:tc>
        <w:tc>
          <w:tcPr>
            <w:tcW w:w="877" w:type="dxa"/>
            <w:shd w:val="clear" w:color="auto" w:fill="FFFFFF" w:themeFill="background2"/>
          </w:tcPr>
          <w:p w14:paraId="4E7DC5C2"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Pr>
                <w:rFonts w:ascii="Arial" w:hAnsi="Arial" w:cs="Arial"/>
                <w:webHidden/>
              </w:rPr>
              <w:t>12-13</w:t>
            </w:r>
          </w:p>
        </w:tc>
      </w:tr>
      <w:tr w:rsidR="00724246" w:rsidRPr="00EB08DE" w14:paraId="6D8F8D5C"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2924CE40" w14:textId="77777777" w:rsidR="00724246" w:rsidRPr="00EB08DE" w:rsidRDefault="00724246" w:rsidP="00ED2732">
            <w:pPr>
              <w:pStyle w:val="TOC-TablesandFigures"/>
              <w:rPr>
                <w:rFonts w:ascii="Arial" w:hAnsi="Arial" w:cs="Arial"/>
                <w:webHidden/>
              </w:rPr>
            </w:pPr>
            <w:r w:rsidRPr="00EB08DE">
              <w:rPr>
                <w:rFonts w:ascii="Arial" w:hAnsi="Arial" w:cs="Arial"/>
              </w:rPr>
              <w:t>Figure 2: Our strategy</w:t>
            </w:r>
          </w:p>
        </w:tc>
        <w:tc>
          <w:tcPr>
            <w:tcW w:w="877" w:type="dxa"/>
          </w:tcPr>
          <w:p w14:paraId="040922FA"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sidRPr="00EB08DE">
              <w:rPr>
                <w:rFonts w:ascii="Arial" w:hAnsi="Arial" w:cs="Arial"/>
                <w:webHidden/>
              </w:rPr>
              <w:t>1</w:t>
            </w:r>
            <w:r>
              <w:rPr>
                <w:rFonts w:ascii="Arial" w:hAnsi="Arial" w:cs="Arial"/>
                <w:webHidden/>
              </w:rPr>
              <w:t>6</w:t>
            </w:r>
          </w:p>
        </w:tc>
      </w:tr>
      <w:tr w:rsidR="00724246" w:rsidRPr="00EB08DE" w14:paraId="430EF97D"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372EF9A2" w14:textId="77777777" w:rsidR="00724246" w:rsidRPr="00EB08DE" w:rsidRDefault="00724246" w:rsidP="00ED2732">
            <w:pPr>
              <w:pStyle w:val="TOC-TablesandFigures"/>
              <w:rPr>
                <w:rFonts w:ascii="Arial" w:hAnsi="Arial" w:cs="Arial"/>
                <w:webHidden/>
              </w:rPr>
            </w:pPr>
            <w:r w:rsidRPr="00EB08DE">
              <w:rPr>
                <w:rFonts w:ascii="Arial" w:hAnsi="Arial" w:cs="Arial"/>
              </w:rPr>
              <w:t>Figure 3: Our role in the care economy</w:t>
            </w:r>
          </w:p>
        </w:tc>
        <w:tc>
          <w:tcPr>
            <w:tcW w:w="877" w:type="dxa"/>
          </w:tcPr>
          <w:p w14:paraId="202B9565"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sidRPr="00EB08DE">
              <w:rPr>
                <w:rFonts w:ascii="Arial" w:hAnsi="Arial" w:cs="Arial"/>
                <w:webHidden/>
              </w:rPr>
              <w:t>1</w:t>
            </w:r>
            <w:r>
              <w:rPr>
                <w:rFonts w:ascii="Arial" w:hAnsi="Arial" w:cs="Arial"/>
                <w:webHidden/>
              </w:rPr>
              <w:t>7</w:t>
            </w:r>
          </w:p>
        </w:tc>
      </w:tr>
      <w:tr w:rsidR="00724246" w:rsidRPr="00EB08DE" w14:paraId="79405DB9"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30861A49" w14:textId="77777777" w:rsidR="00724246" w:rsidRPr="00EB08DE" w:rsidRDefault="00724246" w:rsidP="00ED2732">
            <w:pPr>
              <w:pStyle w:val="TOC-TablesandFigures"/>
              <w:rPr>
                <w:rFonts w:ascii="Arial" w:hAnsi="Arial" w:cs="Arial"/>
                <w:webHidden/>
              </w:rPr>
            </w:pPr>
            <w:r w:rsidRPr="00EB08DE">
              <w:rPr>
                <w:rFonts w:ascii="Arial" w:hAnsi="Arial" w:cs="Arial"/>
              </w:rPr>
              <w:t>Figure 4: IHACPA’s organisational structure at 30 June 2026</w:t>
            </w:r>
          </w:p>
        </w:tc>
        <w:tc>
          <w:tcPr>
            <w:tcW w:w="877" w:type="dxa"/>
          </w:tcPr>
          <w:p w14:paraId="23AB2F40"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sidRPr="00EB08DE">
              <w:rPr>
                <w:rFonts w:ascii="Arial" w:hAnsi="Arial" w:cs="Arial"/>
                <w:webHidden/>
              </w:rPr>
              <w:t>2</w:t>
            </w:r>
            <w:r>
              <w:rPr>
                <w:rFonts w:ascii="Arial" w:hAnsi="Arial" w:cs="Arial"/>
                <w:webHidden/>
              </w:rPr>
              <w:t>4</w:t>
            </w:r>
          </w:p>
        </w:tc>
      </w:tr>
      <w:tr w:rsidR="00724246" w:rsidRPr="00EB08DE" w14:paraId="75FC1FF9"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35587A3E" w14:textId="77777777" w:rsidR="00724246" w:rsidRPr="00EB08DE" w:rsidRDefault="00724246" w:rsidP="00ED2732">
            <w:pPr>
              <w:pStyle w:val="TOC-TablesandFigures"/>
              <w:rPr>
                <w:rFonts w:ascii="Arial" w:hAnsi="Arial" w:cs="Arial"/>
              </w:rPr>
            </w:pPr>
            <w:r w:rsidRPr="00EB08DE">
              <w:rPr>
                <w:rFonts w:ascii="Arial" w:hAnsi="Arial" w:cs="Arial"/>
              </w:rPr>
              <w:t xml:space="preserve">Figure 5: IHACPA’s workforce statistics </w:t>
            </w:r>
          </w:p>
        </w:tc>
        <w:tc>
          <w:tcPr>
            <w:tcW w:w="877" w:type="dxa"/>
          </w:tcPr>
          <w:p w14:paraId="1E567611"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sidRPr="00EB08DE">
              <w:rPr>
                <w:rFonts w:ascii="Arial" w:hAnsi="Arial" w:cs="Arial"/>
                <w:webHidden/>
              </w:rPr>
              <w:t>2</w:t>
            </w:r>
            <w:r>
              <w:rPr>
                <w:rFonts w:ascii="Arial" w:hAnsi="Arial" w:cs="Arial"/>
                <w:webHidden/>
              </w:rPr>
              <w:t>5</w:t>
            </w:r>
          </w:p>
        </w:tc>
      </w:tr>
      <w:tr w:rsidR="00724246" w:rsidRPr="00EB08DE" w14:paraId="4629DE05"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64637D54" w14:textId="77777777" w:rsidR="00724246" w:rsidRPr="00EB08DE" w:rsidRDefault="00724246" w:rsidP="00ED2732">
            <w:pPr>
              <w:pStyle w:val="TOC-TablesandFigures"/>
              <w:rPr>
                <w:rFonts w:ascii="Arial" w:hAnsi="Arial" w:cs="Arial"/>
              </w:rPr>
            </w:pPr>
            <w:bookmarkStart w:id="1038" w:name="_Hlk201668024"/>
            <w:r w:rsidRPr="00EB08DE">
              <w:rPr>
                <w:rFonts w:ascii="Arial" w:hAnsi="Arial" w:cs="Arial"/>
              </w:rPr>
              <w:t xml:space="preserve">Figure 6: Relationship between </w:t>
            </w:r>
            <w:r>
              <w:rPr>
                <w:rFonts w:ascii="Arial" w:hAnsi="Arial" w:cs="Arial"/>
              </w:rPr>
              <w:t>P</w:t>
            </w:r>
            <w:r w:rsidRPr="00EB08DE">
              <w:rPr>
                <w:rFonts w:ascii="Arial" w:hAnsi="Arial" w:cs="Arial"/>
              </w:rPr>
              <w:t xml:space="preserve">ortfolio </w:t>
            </w:r>
            <w:r>
              <w:rPr>
                <w:rFonts w:ascii="Arial" w:hAnsi="Arial" w:cs="Arial"/>
              </w:rPr>
              <w:t>B</w:t>
            </w:r>
            <w:r w:rsidRPr="00EB08DE">
              <w:rPr>
                <w:rFonts w:ascii="Arial" w:hAnsi="Arial" w:cs="Arial"/>
              </w:rPr>
              <w:t xml:space="preserve">udget </w:t>
            </w:r>
            <w:r>
              <w:rPr>
                <w:rFonts w:ascii="Arial" w:hAnsi="Arial" w:cs="Arial"/>
              </w:rPr>
              <w:t>S</w:t>
            </w:r>
            <w:r w:rsidRPr="00EB08DE">
              <w:rPr>
                <w:rFonts w:ascii="Arial" w:hAnsi="Arial" w:cs="Arial"/>
              </w:rPr>
              <w:t>tatements, corporate plan, annual performance statements</w:t>
            </w:r>
            <w:bookmarkEnd w:id="1038"/>
            <w:r w:rsidRPr="00EB08DE">
              <w:rPr>
                <w:rFonts w:ascii="Arial" w:hAnsi="Arial" w:cs="Arial"/>
              </w:rPr>
              <w:t xml:space="preserve"> and strategic plan</w:t>
            </w:r>
          </w:p>
        </w:tc>
        <w:tc>
          <w:tcPr>
            <w:tcW w:w="877" w:type="dxa"/>
          </w:tcPr>
          <w:p w14:paraId="57CBF2AE"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Pr>
                <w:rFonts w:ascii="Arial" w:hAnsi="Arial" w:cs="Arial"/>
                <w:webHidden/>
              </w:rPr>
              <w:t>51</w:t>
            </w:r>
          </w:p>
        </w:tc>
      </w:tr>
      <w:tr w:rsidR="00724246" w:rsidRPr="00EB08DE" w14:paraId="7370B9B5"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4F37335E" w14:textId="77777777" w:rsidR="00724246" w:rsidRPr="00EB08DE" w:rsidRDefault="00724246" w:rsidP="00ED2732">
            <w:pPr>
              <w:pStyle w:val="TOC-TablesandFigures"/>
              <w:rPr>
                <w:rFonts w:ascii="Arial" w:hAnsi="Arial" w:cs="Arial"/>
                <w:webHidden/>
              </w:rPr>
            </w:pPr>
            <w:r w:rsidRPr="00EB08DE">
              <w:rPr>
                <w:rFonts w:ascii="Arial" w:hAnsi="Arial" w:cs="Arial"/>
              </w:rPr>
              <w:t>Table 1: Details of accountable authority during the current report period (2025–26)</w:t>
            </w:r>
          </w:p>
        </w:tc>
        <w:tc>
          <w:tcPr>
            <w:tcW w:w="877" w:type="dxa"/>
          </w:tcPr>
          <w:p w14:paraId="13BA76EA"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sidRPr="00EB08DE">
              <w:rPr>
                <w:rFonts w:ascii="Arial" w:hAnsi="Arial" w:cs="Arial"/>
                <w:webHidden/>
              </w:rPr>
              <w:t>5</w:t>
            </w:r>
          </w:p>
        </w:tc>
      </w:tr>
      <w:tr w:rsidR="00724246" w:rsidRPr="00EB08DE" w14:paraId="50EE66E1"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469158A1" w14:textId="5B4A318A" w:rsidR="00724246" w:rsidRPr="00EB08DE" w:rsidRDefault="00724246" w:rsidP="00ED2732">
            <w:pPr>
              <w:pStyle w:val="TOC-TablesandFigures"/>
              <w:rPr>
                <w:rFonts w:ascii="Arial" w:hAnsi="Arial" w:cs="Arial"/>
                <w:webHidden/>
              </w:rPr>
            </w:pPr>
            <w:r w:rsidRPr="00EB08DE">
              <w:rPr>
                <w:rFonts w:ascii="Arial" w:hAnsi="Arial" w:cs="Arial"/>
              </w:rPr>
              <w:t xml:space="preserve">Table 2: Remuneration for </w:t>
            </w:r>
            <w:r w:rsidR="00607F86">
              <w:rPr>
                <w:rFonts w:ascii="Arial" w:hAnsi="Arial" w:cs="Arial"/>
              </w:rPr>
              <w:t>KMP</w:t>
            </w:r>
            <w:r w:rsidRPr="00EB08DE">
              <w:rPr>
                <w:rFonts w:ascii="Arial" w:hAnsi="Arial" w:cs="Arial"/>
              </w:rPr>
              <w:t xml:space="preserve"> 2025–26</w:t>
            </w:r>
          </w:p>
        </w:tc>
        <w:tc>
          <w:tcPr>
            <w:tcW w:w="877" w:type="dxa"/>
          </w:tcPr>
          <w:p w14:paraId="5101E657"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sidRPr="00EB08DE">
              <w:rPr>
                <w:rFonts w:ascii="Arial" w:hAnsi="Arial" w:cs="Arial"/>
                <w:webHidden/>
              </w:rPr>
              <w:t>2</w:t>
            </w:r>
            <w:r>
              <w:rPr>
                <w:rFonts w:ascii="Arial" w:hAnsi="Arial" w:cs="Arial"/>
                <w:webHidden/>
              </w:rPr>
              <w:t>8</w:t>
            </w:r>
          </w:p>
        </w:tc>
      </w:tr>
      <w:tr w:rsidR="00724246" w:rsidRPr="00EB08DE" w14:paraId="3B64563D"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64EDA652" w14:textId="77777777" w:rsidR="00724246" w:rsidRPr="00EB08DE" w:rsidRDefault="00724246" w:rsidP="00ED2732">
            <w:pPr>
              <w:pStyle w:val="TOC-TablesandFigures"/>
              <w:rPr>
                <w:rFonts w:ascii="Arial" w:hAnsi="Arial" w:cs="Arial"/>
                <w:webHidden/>
              </w:rPr>
            </w:pPr>
            <w:r w:rsidRPr="00EB08DE">
              <w:rPr>
                <w:rFonts w:ascii="Arial" w:hAnsi="Arial" w:cs="Arial"/>
              </w:rPr>
              <w:t>Table 3: Meetings of the Pricing Authority 2025–26</w:t>
            </w:r>
          </w:p>
        </w:tc>
        <w:tc>
          <w:tcPr>
            <w:tcW w:w="877" w:type="dxa"/>
          </w:tcPr>
          <w:p w14:paraId="0C1276CD"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sidRPr="00EB08DE">
              <w:rPr>
                <w:rFonts w:ascii="Arial" w:hAnsi="Arial" w:cs="Arial"/>
                <w:webHidden/>
              </w:rPr>
              <w:t>3</w:t>
            </w:r>
            <w:r>
              <w:rPr>
                <w:rFonts w:ascii="Arial" w:hAnsi="Arial" w:cs="Arial"/>
                <w:webHidden/>
              </w:rPr>
              <w:t>4</w:t>
            </w:r>
          </w:p>
        </w:tc>
      </w:tr>
      <w:tr w:rsidR="00724246" w:rsidRPr="00EB08DE" w14:paraId="4D14E699"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134D2BBE" w14:textId="77777777" w:rsidR="00724246" w:rsidRPr="00EB08DE" w:rsidRDefault="00724246" w:rsidP="00ED2732">
            <w:pPr>
              <w:pStyle w:val="TOC-TablesandFigures"/>
              <w:rPr>
                <w:rFonts w:ascii="Arial" w:hAnsi="Arial" w:cs="Arial"/>
                <w:webHidden/>
              </w:rPr>
            </w:pPr>
            <w:r w:rsidRPr="00EB08DE">
              <w:rPr>
                <w:rFonts w:ascii="Arial" w:hAnsi="Arial" w:cs="Arial"/>
              </w:rPr>
              <w:t>Table 4: Membership and meetings of the Clinical Advisory Committee in 2025–26</w:t>
            </w:r>
          </w:p>
        </w:tc>
        <w:tc>
          <w:tcPr>
            <w:tcW w:w="877" w:type="dxa"/>
          </w:tcPr>
          <w:p w14:paraId="1293D9BD"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Pr>
                <w:rFonts w:ascii="Arial" w:hAnsi="Arial" w:cs="Arial"/>
                <w:webHidden/>
              </w:rPr>
              <w:t>38-39</w:t>
            </w:r>
          </w:p>
        </w:tc>
      </w:tr>
      <w:tr w:rsidR="00724246" w:rsidRPr="00EB08DE" w14:paraId="5D3DCA4E"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35DF6B9A" w14:textId="77777777" w:rsidR="00724246" w:rsidRPr="00EB08DE" w:rsidRDefault="00724246" w:rsidP="00ED2732">
            <w:pPr>
              <w:pStyle w:val="TOC-TablesandFigures"/>
              <w:rPr>
                <w:rFonts w:ascii="Arial" w:hAnsi="Arial" w:cs="Arial"/>
                <w:webHidden/>
              </w:rPr>
            </w:pPr>
            <w:r w:rsidRPr="00EB08DE">
              <w:rPr>
                <w:rFonts w:ascii="Arial" w:hAnsi="Arial" w:cs="Arial"/>
              </w:rPr>
              <w:t>Table 5: Membership and meetings of the Aged Care Advisory Committee in 2025–26</w:t>
            </w:r>
          </w:p>
        </w:tc>
        <w:tc>
          <w:tcPr>
            <w:tcW w:w="877" w:type="dxa"/>
          </w:tcPr>
          <w:p w14:paraId="572FBBA0"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Pr>
                <w:rFonts w:ascii="Arial" w:hAnsi="Arial" w:cs="Arial"/>
                <w:webHidden/>
              </w:rPr>
              <w:t>42</w:t>
            </w:r>
          </w:p>
        </w:tc>
      </w:tr>
      <w:tr w:rsidR="00724246" w:rsidRPr="00EB08DE" w14:paraId="717EB64B"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268702BB" w14:textId="3706295C" w:rsidR="00724246" w:rsidRPr="00EB08DE" w:rsidRDefault="00724246" w:rsidP="00ED2732">
            <w:pPr>
              <w:pStyle w:val="TOC-TablesandFigures"/>
              <w:rPr>
                <w:rFonts w:ascii="Arial" w:hAnsi="Arial" w:cs="Arial"/>
                <w:webHidden/>
              </w:rPr>
            </w:pPr>
            <w:r w:rsidRPr="00EB08DE">
              <w:rPr>
                <w:rFonts w:ascii="Arial" w:hAnsi="Arial" w:cs="Arial"/>
              </w:rPr>
              <w:t>Table 6: Details of</w:t>
            </w:r>
            <w:r w:rsidR="0054350F">
              <w:rPr>
                <w:rFonts w:ascii="Arial" w:hAnsi="Arial" w:cs="Arial"/>
              </w:rPr>
              <w:t xml:space="preserve"> the</w:t>
            </w:r>
            <w:r w:rsidRPr="00EB08DE">
              <w:rPr>
                <w:rFonts w:ascii="Arial" w:hAnsi="Arial" w:cs="Arial"/>
              </w:rPr>
              <w:t xml:space="preserve"> Audit, Risk and Compliance Committee during the reporting period (2025–26)</w:t>
            </w:r>
          </w:p>
        </w:tc>
        <w:tc>
          <w:tcPr>
            <w:tcW w:w="877" w:type="dxa"/>
          </w:tcPr>
          <w:p w14:paraId="24808518"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Pr>
                <w:rFonts w:ascii="Arial" w:hAnsi="Arial" w:cs="Arial"/>
                <w:webHidden/>
              </w:rPr>
              <w:t>43-45</w:t>
            </w:r>
          </w:p>
        </w:tc>
      </w:tr>
      <w:tr w:rsidR="00724246" w:rsidRPr="00EB08DE" w14:paraId="318B3160"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25244D84" w14:textId="77777777" w:rsidR="00724246" w:rsidRPr="00EB08DE" w:rsidRDefault="00724246" w:rsidP="00ED2732">
            <w:pPr>
              <w:pStyle w:val="TOC-TablesandFigures"/>
              <w:rPr>
                <w:rFonts w:ascii="Arial" w:hAnsi="Arial" w:cs="Arial"/>
              </w:rPr>
            </w:pPr>
            <w:r w:rsidRPr="00EB08DE">
              <w:rPr>
                <w:rFonts w:ascii="Arial" w:hAnsi="Arial" w:cs="Arial"/>
              </w:rPr>
              <w:t xml:space="preserve">Table 7: IHACPA’s risk categories </w:t>
            </w:r>
          </w:p>
        </w:tc>
        <w:tc>
          <w:tcPr>
            <w:tcW w:w="877" w:type="dxa"/>
          </w:tcPr>
          <w:p w14:paraId="7CBE7493"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Pr>
                <w:rFonts w:ascii="Arial" w:hAnsi="Arial" w:cs="Arial"/>
                <w:webHidden/>
              </w:rPr>
              <w:t>45-46</w:t>
            </w:r>
          </w:p>
        </w:tc>
      </w:tr>
      <w:tr w:rsidR="00724246" w:rsidRPr="00EB08DE" w14:paraId="3AAB4D3E"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43F20106" w14:textId="77777777" w:rsidR="00724246" w:rsidRPr="00EB08DE" w:rsidRDefault="00724246" w:rsidP="00ED2732">
            <w:pPr>
              <w:pStyle w:val="TOC-TablesandFigures"/>
              <w:rPr>
                <w:rFonts w:ascii="Arial" w:hAnsi="Arial" w:cs="Arial"/>
                <w:webHidden/>
              </w:rPr>
            </w:pPr>
            <w:bookmarkStart w:id="1039" w:name="_Toc148025816"/>
            <w:r w:rsidRPr="00EB08DE">
              <w:rPr>
                <w:rFonts w:ascii="Arial" w:hAnsi="Arial" w:cs="Arial"/>
              </w:rPr>
              <w:t>Table 8: Summary of performance for Strategic objective one: Perform pricing functions in 2025–2</w:t>
            </w:r>
            <w:bookmarkEnd w:id="1039"/>
            <w:r w:rsidRPr="00EB08DE">
              <w:rPr>
                <w:rFonts w:ascii="Arial" w:hAnsi="Arial" w:cs="Arial"/>
              </w:rPr>
              <w:t>6</w:t>
            </w:r>
          </w:p>
        </w:tc>
        <w:tc>
          <w:tcPr>
            <w:tcW w:w="877" w:type="dxa"/>
          </w:tcPr>
          <w:p w14:paraId="361E1228"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Pr>
                <w:rFonts w:ascii="Arial" w:hAnsi="Arial" w:cs="Arial"/>
                <w:webHidden/>
              </w:rPr>
              <w:t>55-56</w:t>
            </w:r>
          </w:p>
        </w:tc>
      </w:tr>
      <w:tr w:rsidR="00724246" w:rsidRPr="00EB08DE" w14:paraId="469D0647"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58BF0CA7" w14:textId="77777777" w:rsidR="00724246" w:rsidRPr="00EB08DE" w:rsidRDefault="00724246" w:rsidP="00ED2732">
            <w:pPr>
              <w:pStyle w:val="TOC-TablesandFigures"/>
              <w:rPr>
                <w:rFonts w:ascii="Arial" w:hAnsi="Arial" w:cs="Arial"/>
                <w:webHidden/>
              </w:rPr>
            </w:pPr>
            <w:bookmarkStart w:id="1040" w:name="_Toc148025819"/>
            <w:r w:rsidRPr="00EB08DE">
              <w:rPr>
                <w:rFonts w:ascii="Arial" w:hAnsi="Arial" w:cs="Arial"/>
              </w:rPr>
              <w:t>Table 9: Summary of performance for Strategic objective two: Refine and develop hospital and aged care activity classification systems in 2025–2</w:t>
            </w:r>
            <w:bookmarkEnd w:id="1040"/>
            <w:r w:rsidRPr="00EB08DE">
              <w:rPr>
                <w:rFonts w:ascii="Arial" w:hAnsi="Arial" w:cs="Arial"/>
              </w:rPr>
              <w:t>6</w:t>
            </w:r>
          </w:p>
        </w:tc>
        <w:tc>
          <w:tcPr>
            <w:tcW w:w="877" w:type="dxa"/>
          </w:tcPr>
          <w:p w14:paraId="3455474C"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Pr>
                <w:rFonts w:ascii="Arial" w:hAnsi="Arial" w:cs="Arial"/>
                <w:webHidden/>
              </w:rPr>
              <w:t>60-61</w:t>
            </w:r>
          </w:p>
        </w:tc>
      </w:tr>
      <w:tr w:rsidR="00724246" w:rsidRPr="00EB08DE" w14:paraId="60FC27F7"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11069934" w14:textId="77777777" w:rsidR="00724246" w:rsidRPr="00EB08DE" w:rsidRDefault="00724246" w:rsidP="00ED2732">
            <w:pPr>
              <w:pStyle w:val="TOC-TablesandFigures"/>
              <w:rPr>
                <w:rFonts w:ascii="Arial" w:hAnsi="Arial" w:cs="Arial"/>
                <w:webHidden/>
              </w:rPr>
            </w:pPr>
            <w:bookmarkStart w:id="1041" w:name="_Toc148025822"/>
            <w:r w:rsidRPr="00EB08DE">
              <w:rPr>
                <w:rFonts w:ascii="Arial" w:hAnsi="Arial" w:cs="Arial"/>
              </w:rPr>
              <w:t>Table 10: Summary of performance for Strategic objective three: Refine and improve hospital and aged care costing in 2025–2</w:t>
            </w:r>
            <w:bookmarkEnd w:id="1041"/>
            <w:r w:rsidRPr="00EB08DE">
              <w:rPr>
                <w:rFonts w:ascii="Arial" w:hAnsi="Arial" w:cs="Arial"/>
              </w:rPr>
              <w:t>6</w:t>
            </w:r>
          </w:p>
        </w:tc>
        <w:tc>
          <w:tcPr>
            <w:tcW w:w="877" w:type="dxa"/>
          </w:tcPr>
          <w:p w14:paraId="45301756"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sidRPr="00EB08DE">
              <w:rPr>
                <w:rFonts w:ascii="Arial" w:hAnsi="Arial" w:cs="Arial"/>
                <w:webHidden/>
              </w:rPr>
              <w:t>6</w:t>
            </w:r>
            <w:r>
              <w:rPr>
                <w:rFonts w:ascii="Arial" w:hAnsi="Arial" w:cs="Arial"/>
                <w:webHidden/>
              </w:rPr>
              <w:t>4</w:t>
            </w:r>
          </w:p>
        </w:tc>
      </w:tr>
      <w:tr w:rsidR="00724246" w:rsidRPr="00EB08DE" w14:paraId="3E6B86FF"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449613E2" w14:textId="77777777" w:rsidR="00724246" w:rsidRPr="00EB08DE" w:rsidRDefault="00724246" w:rsidP="00ED2732">
            <w:pPr>
              <w:pStyle w:val="TOC-TablesandFigures"/>
              <w:rPr>
                <w:rFonts w:ascii="Arial" w:hAnsi="Arial" w:cs="Arial"/>
                <w:webHidden/>
              </w:rPr>
            </w:pPr>
            <w:bookmarkStart w:id="1042" w:name="_Toc148025825"/>
            <w:r w:rsidRPr="00EB08DE">
              <w:rPr>
                <w:rFonts w:ascii="Arial" w:hAnsi="Arial" w:cs="Arial"/>
              </w:rPr>
              <w:t>Table 11: Summary of performance for Strategic objective four: Determine data requirements and collect data in 2025–2</w:t>
            </w:r>
            <w:bookmarkEnd w:id="1042"/>
            <w:r w:rsidRPr="00EB08DE">
              <w:rPr>
                <w:rFonts w:ascii="Arial" w:hAnsi="Arial" w:cs="Arial"/>
              </w:rPr>
              <w:t>6</w:t>
            </w:r>
          </w:p>
        </w:tc>
        <w:tc>
          <w:tcPr>
            <w:tcW w:w="877" w:type="dxa"/>
          </w:tcPr>
          <w:p w14:paraId="4C85A72F"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Pr>
                <w:rFonts w:ascii="Arial" w:hAnsi="Arial" w:cs="Arial"/>
                <w:webHidden/>
              </w:rPr>
              <w:t>65-66</w:t>
            </w:r>
          </w:p>
        </w:tc>
      </w:tr>
      <w:tr w:rsidR="00724246" w:rsidRPr="00EB08DE" w14:paraId="241A930B"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3E26C512" w14:textId="77777777" w:rsidR="00724246" w:rsidRPr="00EB08DE" w:rsidRDefault="00724246" w:rsidP="00ED2732">
            <w:pPr>
              <w:pStyle w:val="TOC-TablesandFigures"/>
              <w:rPr>
                <w:rFonts w:ascii="Arial" w:hAnsi="Arial" w:cs="Arial"/>
                <w:webHidden/>
              </w:rPr>
            </w:pPr>
            <w:bookmarkStart w:id="1043" w:name="_Toc148025828"/>
            <w:r w:rsidRPr="00EB08DE">
              <w:rPr>
                <w:rFonts w:ascii="Arial" w:hAnsi="Arial" w:cs="Arial"/>
              </w:rPr>
              <w:t>Table 12: Summary of performance for Strategic objective five: Investigate and make recommendations concerning cost-shifting and cross-border disputes in 2025–2</w:t>
            </w:r>
            <w:bookmarkEnd w:id="1043"/>
            <w:r w:rsidRPr="00EB08DE">
              <w:rPr>
                <w:rFonts w:ascii="Arial" w:hAnsi="Arial" w:cs="Arial"/>
              </w:rPr>
              <w:t>6</w:t>
            </w:r>
          </w:p>
        </w:tc>
        <w:tc>
          <w:tcPr>
            <w:tcW w:w="877" w:type="dxa"/>
          </w:tcPr>
          <w:p w14:paraId="7063149C"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sidRPr="00EB08DE">
              <w:rPr>
                <w:rFonts w:ascii="Arial" w:hAnsi="Arial" w:cs="Arial"/>
                <w:webHidden/>
              </w:rPr>
              <w:t>6</w:t>
            </w:r>
            <w:r>
              <w:rPr>
                <w:rFonts w:ascii="Arial" w:hAnsi="Arial" w:cs="Arial"/>
                <w:webHidden/>
              </w:rPr>
              <w:t>8</w:t>
            </w:r>
          </w:p>
        </w:tc>
      </w:tr>
      <w:tr w:rsidR="00724246" w:rsidRPr="00EB08DE" w14:paraId="1D754D9C"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2A87D5E7" w14:textId="77777777" w:rsidR="00724246" w:rsidRPr="00EB08DE" w:rsidRDefault="00724246" w:rsidP="00ED2732">
            <w:pPr>
              <w:pStyle w:val="TOC-TablesandFigures"/>
              <w:rPr>
                <w:rFonts w:ascii="Arial" w:hAnsi="Arial" w:cs="Arial"/>
                <w:webHidden/>
              </w:rPr>
            </w:pPr>
            <w:bookmarkStart w:id="1044" w:name="_Toc148025831"/>
            <w:r w:rsidRPr="00EB08DE">
              <w:rPr>
                <w:rFonts w:ascii="Arial" w:hAnsi="Arial" w:cs="Arial"/>
              </w:rPr>
              <w:t>Table 13: Summary of Performance for Strategic objective six: Conduct independent and transparent decision-making and engage with stakeholders in 2025–2</w:t>
            </w:r>
            <w:bookmarkEnd w:id="1044"/>
            <w:r w:rsidRPr="00EB08DE">
              <w:rPr>
                <w:rFonts w:ascii="Arial" w:hAnsi="Arial" w:cs="Arial"/>
              </w:rPr>
              <w:t>6</w:t>
            </w:r>
          </w:p>
        </w:tc>
        <w:tc>
          <w:tcPr>
            <w:tcW w:w="877" w:type="dxa"/>
          </w:tcPr>
          <w:p w14:paraId="3825CEA4"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Pr>
                <w:rFonts w:ascii="Arial" w:hAnsi="Arial" w:cs="Arial"/>
                <w:webHidden/>
              </w:rPr>
              <w:t>70</w:t>
            </w:r>
          </w:p>
        </w:tc>
      </w:tr>
      <w:tr w:rsidR="00724246" w:rsidRPr="00EB08DE" w14:paraId="5BDEC044"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382F1FF5" w14:textId="77777777" w:rsidR="00724246" w:rsidRPr="00EB08DE" w:rsidRDefault="00724246" w:rsidP="00ED2732">
            <w:pPr>
              <w:pStyle w:val="TOC-TablesandFigures"/>
              <w:rPr>
                <w:rFonts w:ascii="Arial" w:hAnsi="Arial" w:cs="Arial"/>
                <w:webHidden/>
              </w:rPr>
            </w:pPr>
            <w:r w:rsidRPr="00EB08DE">
              <w:rPr>
                <w:rFonts w:ascii="Arial" w:hAnsi="Arial" w:cs="Arial"/>
              </w:rPr>
              <w:t>Table 14: Refundable accommodation deposit data for financial year 2025–26</w:t>
            </w:r>
          </w:p>
        </w:tc>
        <w:tc>
          <w:tcPr>
            <w:tcW w:w="877" w:type="dxa"/>
          </w:tcPr>
          <w:p w14:paraId="02E9BC05"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Pr>
                <w:rFonts w:ascii="Arial" w:hAnsi="Arial" w:cs="Arial"/>
                <w:webHidden/>
              </w:rPr>
              <w:t>71</w:t>
            </w:r>
          </w:p>
        </w:tc>
      </w:tr>
      <w:tr w:rsidR="00724246" w:rsidRPr="00EB08DE" w14:paraId="041D1B00"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0B82D03E" w14:textId="77777777" w:rsidR="00724246" w:rsidRPr="00EB08DE" w:rsidRDefault="00724246" w:rsidP="00ED2732">
            <w:pPr>
              <w:pStyle w:val="TOC-TablesandFigures"/>
              <w:rPr>
                <w:rFonts w:ascii="Arial" w:hAnsi="Arial" w:cs="Arial"/>
                <w:webHidden/>
              </w:rPr>
            </w:pPr>
            <w:r w:rsidRPr="00EB08DE">
              <w:rPr>
                <w:rFonts w:ascii="Arial" w:hAnsi="Arial" w:cs="Arial"/>
              </w:rPr>
              <w:t>Table 1</w:t>
            </w:r>
            <w:r>
              <w:rPr>
                <w:rFonts w:ascii="Arial" w:hAnsi="Arial" w:cs="Arial"/>
              </w:rPr>
              <w:t>5</w:t>
            </w:r>
            <w:r w:rsidRPr="00EB08DE">
              <w:rPr>
                <w:rFonts w:ascii="Arial" w:hAnsi="Arial" w:cs="Arial"/>
              </w:rPr>
              <w:t>: Ongoing seconded employees at 30 June 2026</w:t>
            </w:r>
          </w:p>
        </w:tc>
        <w:tc>
          <w:tcPr>
            <w:tcW w:w="877" w:type="dxa"/>
          </w:tcPr>
          <w:p w14:paraId="347B9558"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Pr>
                <w:rFonts w:ascii="Arial" w:hAnsi="Arial" w:cs="Arial"/>
                <w:webHidden/>
              </w:rPr>
              <w:t>104</w:t>
            </w:r>
          </w:p>
        </w:tc>
      </w:tr>
      <w:tr w:rsidR="00724246" w:rsidRPr="00EB08DE" w14:paraId="78E7AF02"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6BA19428" w14:textId="77777777" w:rsidR="00724246" w:rsidRPr="00EB08DE" w:rsidRDefault="00724246" w:rsidP="00ED2732">
            <w:pPr>
              <w:pStyle w:val="TOC-TablesandFigures"/>
              <w:rPr>
                <w:rFonts w:ascii="Arial" w:hAnsi="Arial" w:cs="Arial"/>
                <w:webHidden/>
              </w:rPr>
            </w:pPr>
            <w:r w:rsidRPr="00EB08DE">
              <w:rPr>
                <w:rFonts w:ascii="Arial" w:hAnsi="Arial" w:cs="Arial"/>
              </w:rPr>
              <w:t>Table 1</w:t>
            </w:r>
            <w:r>
              <w:rPr>
                <w:rFonts w:ascii="Arial" w:hAnsi="Arial" w:cs="Arial"/>
              </w:rPr>
              <w:t>6</w:t>
            </w:r>
            <w:r w:rsidRPr="00EB08DE">
              <w:rPr>
                <w:rFonts w:ascii="Arial" w:hAnsi="Arial" w:cs="Arial"/>
              </w:rPr>
              <w:t>: Non-ongoing seconded employees at 30 June 2026</w:t>
            </w:r>
          </w:p>
        </w:tc>
        <w:tc>
          <w:tcPr>
            <w:tcW w:w="877" w:type="dxa"/>
          </w:tcPr>
          <w:p w14:paraId="30BDB579"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Pr>
                <w:rFonts w:ascii="Arial" w:hAnsi="Arial" w:cs="Arial"/>
                <w:webHidden/>
              </w:rPr>
              <w:t>105</w:t>
            </w:r>
          </w:p>
        </w:tc>
      </w:tr>
      <w:tr w:rsidR="00724246" w:rsidRPr="00EB08DE" w14:paraId="0B836618"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6B31C793" w14:textId="77777777" w:rsidR="00724246" w:rsidRPr="00EB08DE" w:rsidRDefault="00724246" w:rsidP="00ED2732">
            <w:pPr>
              <w:pStyle w:val="TOC-TablesandFigures"/>
              <w:rPr>
                <w:rFonts w:ascii="Arial" w:hAnsi="Arial" w:cs="Arial"/>
              </w:rPr>
            </w:pPr>
            <w:r w:rsidRPr="00EB08DE">
              <w:rPr>
                <w:rFonts w:ascii="Arial" w:hAnsi="Arial" w:cs="Arial"/>
              </w:rPr>
              <w:t>Table 1</w:t>
            </w:r>
            <w:r>
              <w:rPr>
                <w:rFonts w:ascii="Arial" w:hAnsi="Arial" w:cs="Arial"/>
              </w:rPr>
              <w:t>7</w:t>
            </w:r>
            <w:r w:rsidRPr="00EB08DE">
              <w:rPr>
                <w:rFonts w:ascii="Arial" w:hAnsi="Arial" w:cs="Arial"/>
              </w:rPr>
              <w:t>: Ongoing seconded employees at 30 June 2026</w:t>
            </w:r>
          </w:p>
        </w:tc>
        <w:tc>
          <w:tcPr>
            <w:tcW w:w="877" w:type="dxa"/>
          </w:tcPr>
          <w:p w14:paraId="6FC24950"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Pr>
                <w:rFonts w:ascii="Arial" w:hAnsi="Arial" w:cs="Arial"/>
                <w:webHidden/>
              </w:rPr>
              <w:t>106</w:t>
            </w:r>
          </w:p>
        </w:tc>
      </w:tr>
      <w:tr w:rsidR="00724246" w:rsidRPr="00EB08DE" w14:paraId="71C08493"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4AF06D13" w14:textId="77777777" w:rsidR="00724246" w:rsidRPr="00EB08DE" w:rsidRDefault="00724246" w:rsidP="00ED2732">
            <w:pPr>
              <w:pStyle w:val="TOC-TablesandFigures"/>
              <w:rPr>
                <w:rFonts w:ascii="Arial" w:hAnsi="Arial" w:cs="Arial"/>
              </w:rPr>
            </w:pPr>
            <w:r w:rsidRPr="00EB08DE">
              <w:rPr>
                <w:rFonts w:ascii="Arial" w:hAnsi="Arial" w:cs="Arial"/>
              </w:rPr>
              <w:t>Table 1</w:t>
            </w:r>
            <w:r>
              <w:rPr>
                <w:rFonts w:ascii="Arial" w:hAnsi="Arial" w:cs="Arial"/>
              </w:rPr>
              <w:t>8</w:t>
            </w:r>
            <w:r w:rsidRPr="00EB08DE">
              <w:rPr>
                <w:rFonts w:ascii="Arial" w:hAnsi="Arial" w:cs="Arial"/>
              </w:rPr>
              <w:t>: Non-ongoing seconded employees at 30 June 2026</w:t>
            </w:r>
          </w:p>
        </w:tc>
        <w:tc>
          <w:tcPr>
            <w:tcW w:w="877" w:type="dxa"/>
          </w:tcPr>
          <w:p w14:paraId="04956140"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Pr>
                <w:rFonts w:ascii="Arial" w:hAnsi="Arial" w:cs="Arial"/>
                <w:webHidden/>
              </w:rPr>
              <w:t>107</w:t>
            </w:r>
          </w:p>
        </w:tc>
      </w:tr>
      <w:tr w:rsidR="00724246" w:rsidRPr="00EB08DE" w14:paraId="04C209B9"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01AB01AE" w14:textId="2BE75265" w:rsidR="00724246" w:rsidRPr="00EB08DE" w:rsidRDefault="00724246" w:rsidP="00ED2732">
            <w:pPr>
              <w:pStyle w:val="TOC-TablesandFigures"/>
              <w:rPr>
                <w:rFonts w:ascii="Arial" w:hAnsi="Arial" w:cs="Arial"/>
              </w:rPr>
            </w:pPr>
            <w:r w:rsidRPr="00EB08DE">
              <w:rPr>
                <w:rFonts w:ascii="Arial" w:hAnsi="Arial" w:cs="Arial"/>
              </w:rPr>
              <w:t xml:space="preserve">Table </w:t>
            </w:r>
            <w:r>
              <w:rPr>
                <w:rFonts w:ascii="Arial" w:hAnsi="Arial" w:cs="Arial"/>
              </w:rPr>
              <w:t>19</w:t>
            </w:r>
            <w:r w:rsidRPr="00EB08DE">
              <w:rPr>
                <w:rFonts w:ascii="Arial" w:hAnsi="Arial" w:cs="Arial"/>
              </w:rPr>
              <w:t>:</w:t>
            </w:r>
            <w:r w:rsidR="0024522F">
              <w:rPr>
                <w:rFonts w:ascii="Arial" w:hAnsi="Arial" w:cs="Arial"/>
              </w:rPr>
              <w:t xml:space="preserve"> </w:t>
            </w:r>
            <w:r w:rsidRPr="00EB08DE">
              <w:rPr>
                <w:rFonts w:ascii="Arial" w:hAnsi="Arial" w:cs="Arial"/>
              </w:rPr>
              <w:t>Greenhouse gas emissions inventory – location-based method 2025–26</w:t>
            </w:r>
          </w:p>
        </w:tc>
        <w:tc>
          <w:tcPr>
            <w:tcW w:w="877" w:type="dxa"/>
          </w:tcPr>
          <w:p w14:paraId="186C1082" w14:textId="77777777" w:rsidR="00724246" w:rsidRPr="00EB08DE" w:rsidRDefault="00724246" w:rsidP="00ED2732">
            <w:pPr>
              <w:pStyle w:val="TOC-TablesandFigures"/>
              <w:cnfStyle w:val="000000100000" w:firstRow="0" w:lastRow="0" w:firstColumn="0" w:lastColumn="0" w:oddVBand="0" w:evenVBand="0" w:oddHBand="1" w:evenHBand="0" w:firstRowFirstColumn="0" w:firstRowLastColumn="0" w:lastRowFirstColumn="0" w:lastRowLastColumn="0"/>
              <w:rPr>
                <w:rFonts w:ascii="Arial" w:hAnsi="Arial" w:cs="Arial"/>
                <w:webHidden/>
              </w:rPr>
            </w:pPr>
            <w:r>
              <w:rPr>
                <w:rFonts w:ascii="Arial" w:hAnsi="Arial" w:cs="Arial"/>
                <w:webHidden/>
              </w:rPr>
              <w:t>108</w:t>
            </w:r>
          </w:p>
        </w:tc>
      </w:tr>
      <w:tr w:rsidR="00724246" w:rsidRPr="00EB08DE" w14:paraId="7E92DF5A"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1" w:type="dxa"/>
          </w:tcPr>
          <w:p w14:paraId="22FBB50F" w14:textId="77777777" w:rsidR="00724246" w:rsidRPr="00EB08DE" w:rsidRDefault="00724246" w:rsidP="00ED2732">
            <w:pPr>
              <w:pStyle w:val="TOC-TablesandFigures"/>
              <w:rPr>
                <w:rFonts w:ascii="Arial" w:hAnsi="Arial" w:cs="Arial"/>
              </w:rPr>
            </w:pPr>
            <w:r w:rsidRPr="00EB08DE">
              <w:rPr>
                <w:rFonts w:ascii="Arial" w:hAnsi="Arial" w:cs="Arial"/>
              </w:rPr>
              <w:t>Table 2</w:t>
            </w:r>
            <w:r>
              <w:rPr>
                <w:rFonts w:ascii="Arial" w:hAnsi="Arial" w:cs="Arial"/>
              </w:rPr>
              <w:t>0</w:t>
            </w:r>
            <w:r w:rsidRPr="00EB08DE">
              <w:rPr>
                <w:rFonts w:ascii="Arial" w:hAnsi="Arial" w:cs="Arial"/>
              </w:rPr>
              <w:t>: Electricity greenhouse gas emissions 2025–26</w:t>
            </w:r>
          </w:p>
        </w:tc>
        <w:tc>
          <w:tcPr>
            <w:tcW w:w="877" w:type="dxa"/>
          </w:tcPr>
          <w:p w14:paraId="2D5DB26E" w14:textId="77777777" w:rsidR="00724246" w:rsidRPr="00EB08DE" w:rsidRDefault="00724246" w:rsidP="00ED2732">
            <w:pPr>
              <w:pStyle w:val="TOC-TablesandFigures"/>
              <w:cnfStyle w:val="000000010000" w:firstRow="0" w:lastRow="0" w:firstColumn="0" w:lastColumn="0" w:oddVBand="0" w:evenVBand="0" w:oddHBand="0" w:evenHBand="1" w:firstRowFirstColumn="0" w:firstRowLastColumn="0" w:lastRowFirstColumn="0" w:lastRowLastColumn="0"/>
              <w:rPr>
                <w:rFonts w:ascii="Arial" w:hAnsi="Arial" w:cs="Arial"/>
                <w:webHidden/>
              </w:rPr>
            </w:pPr>
            <w:r>
              <w:rPr>
                <w:rFonts w:ascii="Arial" w:hAnsi="Arial" w:cs="Arial"/>
                <w:webHidden/>
              </w:rPr>
              <w:t>109</w:t>
            </w:r>
          </w:p>
        </w:tc>
      </w:tr>
    </w:tbl>
    <w:p w14:paraId="638F8524" w14:textId="77777777" w:rsidR="00724246" w:rsidRDefault="00724246" w:rsidP="00724246">
      <w:pPr>
        <w:pStyle w:val="Heading1"/>
      </w:pPr>
      <w:bookmarkStart w:id="1045" w:name="_Toc235787516"/>
      <w:bookmarkStart w:id="1046" w:name="_Toc235791654"/>
      <w:bookmarkStart w:id="1047" w:name="_Toc237872757"/>
      <w:bookmarkEnd w:id="1037"/>
      <w:r>
        <w:lastRenderedPageBreak/>
        <w:t>Appendix B – Acronyms and abbreviations</w:t>
      </w:r>
      <w:bookmarkEnd w:id="1045"/>
      <w:bookmarkEnd w:id="1046"/>
      <w:bookmarkEnd w:id="104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938"/>
      </w:tblGrid>
      <w:tr w:rsidR="00724246" w14:paraId="6B9CC32D" w14:textId="77777777" w:rsidTr="00ED2732">
        <w:tc>
          <w:tcPr>
            <w:tcW w:w="1560" w:type="dxa"/>
          </w:tcPr>
          <w:p w14:paraId="13F3A340" w14:textId="77777777" w:rsidR="00724246" w:rsidRDefault="00724246" w:rsidP="00ED2732">
            <w:pPr>
              <w:spacing w:after="120"/>
              <w:rPr>
                <w:rFonts w:cs="Arial"/>
                <w:b/>
                <w:bCs/>
                <w:color w:val="auto"/>
                <w:sz w:val="18"/>
                <w:szCs w:val="18"/>
              </w:rPr>
            </w:pPr>
            <w:r w:rsidRPr="00BF629E">
              <w:rPr>
                <w:rFonts w:cs="Arial"/>
                <w:b/>
                <w:bCs/>
                <w:color w:val="auto"/>
                <w:sz w:val="18"/>
                <w:szCs w:val="18"/>
              </w:rPr>
              <w:t>ABF</w:t>
            </w:r>
          </w:p>
        </w:tc>
        <w:tc>
          <w:tcPr>
            <w:tcW w:w="7938" w:type="dxa"/>
          </w:tcPr>
          <w:p w14:paraId="04CA9AAE" w14:textId="77777777" w:rsidR="00724246" w:rsidRDefault="00724246" w:rsidP="00ED2732">
            <w:pPr>
              <w:spacing w:after="120"/>
              <w:rPr>
                <w:rFonts w:cs="Arial"/>
                <w:b/>
                <w:bCs/>
                <w:color w:val="auto"/>
                <w:sz w:val="18"/>
                <w:szCs w:val="18"/>
              </w:rPr>
            </w:pPr>
            <w:r w:rsidRPr="00BF629E">
              <w:rPr>
                <w:rFonts w:cs="Arial"/>
                <w:color w:val="auto"/>
                <w:sz w:val="18"/>
                <w:szCs w:val="18"/>
              </w:rPr>
              <w:t>Activity</w:t>
            </w:r>
            <w:r>
              <w:rPr>
                <w:rFonts w:cs="Arial"/>
                <w:color w:val="auto"/>
                <w:sz w:val="18"/>
                <w:szCs w:val="18"/>
              </w:rPr>
              <w:t>-</w:t>
            </w:r>
            <w:r w:rsidRPr="00BF629E">
              <w:rPr>
                <w:rFonts w:cs="Arial"/>
                <w:color w:val="auto"/>
                <w:sz w:val="18"/>
                <w:szCs w:val="18"/>
              </w:rPr>
              <w:t>based funding</w:t>
            </w:r>
          </w:p>
        </w:tc>
      </w:tr>
      <w:tr w:rsidR="00724246" w14:paraId="2757F33E" w14:textId="77777777" w:rsidTr="00ED2732">
        <w:tc>
          <w:tcPr>
            <w:tcW w:w="1560" w:type="dxa"/>
          </w:tcPr>
          <w:p w14:paraId="77F87780" w14:textId="77777777" w:rsidR="00724246" w:rsidRDefault="00724246" w:rsidP="00ED2732">
            <w:pPr>
              <w:spacing w:after="120"/>
              <w:rPr>
                <w:rFonts w:cs="Arial"/>
                <w:b/>
                <w:bCs/>
                <w:color w:val="auto"/>
                <w:sz w:val="18"/>
                <w:szCs w:val="18"/>
              </w:rPr>
            </w:pPr>
            <w:r w:rsidRPr="00BF629E">
              <w:rPr>
                <w:rFonts w:cs="Arial"/>
                <w:b/>
                <w:bCs/>
                <w:color w:val="auto"/>
                <w:sz w:val="18"/>
                <w:szCs w:val="18"/>
              </w:rPr>
              <w:t>ACAC</w:t>
            </w:r>
          </w:p>
        </w:tc>
        <w:tc>
          <w:tcPr>
            <w:tcW w:w="7938" w:type="dxa"/>
          </w:tcPr>
          <w:p w14:paraId="120D67E8" w14:textId="77777777" w:rsidR="00724246" w:rsidRDefault="00724246" w:rsidP="00ED2732">
            <w:pPr>
              <w:spacing w:after="120"/>
              <w:rPr>
                <w:rFonts w:cs="Arial"/>
                <w:b/>
                <w:bCs/>
                <w:color w:val="auto"/>
                <w:sz w:val="18"/>
                <w:szCs w:val="18"/>
              </w:rPr>
            </w:pPr>
            <w:r w:rsidRPr="00BF629E">
              <w:rPr>
                <w:rFonts w:cs="Arial"/>
                <w:color w:val="auto"/>
                <w:sz w:val="18"/>
                <w:szCs w:val="18"/>
              </w:rPr>
              <w:t>Aged Care Advisory Committee</w:t>
            </w:r>
          </w:p>
        </w:tc>
      </w:tr>
      <w:tr w:rsidR="00724246" w14:paraId="17872613" w14:textId="77777777" w:rsidTr="00ED2732">
        <w:tc>
          <w:tcPr>
            <w:tcW w:w="1560" w:type="dxa"/>
          </w:tcPr>
          <w:p w14:paraId="741B61B2" w14:textId="77777777" w:rsidR="00724246" w:rsidRDefault="00724246" w:rsidP="00ED2732">
            <w:pPr>
              <w:spacing w:after="120"/>
              <w:rPr>
                <w:rFonts w:cs="Arial"/>
                <w:b/>
                <w:bCs/>
                <w:color w:val="auto"/>
                <w:sz w:val="18"/>
                <w:szCs w:val="18"/>
              </w:rPr>
            </w:pPr>
            <w:r w:rsidRPr="00BF629E">
              <w:rPr>
                <w:rFonts w:cs="Arial"/>
                <w:b/>
                <w:bCs/>
                <w:color w:val="auto"/>
                <w:sz w:val="18"/>
                <w:szCs w:val="18"/>
              </w:rPr>
              <w:t>ACCHO</w:t>
            </w:r>
            <w:r w:rsidRPr="00BF629E">
              <w:rPr>
                <w:rFonts w:cs="Arial"/>
                <w:color w:val="auto"/>
                <w:sz w:val="18"/>
                <w:szCs w:val="18"/>
              </w:rPr>
              <w:t xml:space="preserve"> </w:t>
            </w:r>
          </w:p>
        </w:tc>
        <w:tc>
          <w:tcPr>
            <w:tcW w:w="7938" w:type="dxa"/>
          </w:tcPr>
          <w:p w14:paraId="597FD124" w14:textId="77777777" w:rsidR="00724246" w:rsidRDefault="00724246" w:rsidP="00ED2732">
            <w:pPr>
              <w:spacing w:after="120"/>
              <w:rPr>
                <w:rFonts w:cs="Arial"/>
                <w:b/>
                <w:bCs/>
                <w:color w:val="auto"/>
                <w:sz w:val="18"/>
                <w:szCs w:val="18"/>
              </w:rPr>
            </w:pPr>
            <w:r w:rsidRPr="00BF629E">
              <w:rPr>
                <w:rFonts w:cs="Arial"/>
                <w:color w:val="auto"/>
                <w:sz w:val="18"/>
                <w:szCs w:val="18"/>
              </w:rPr>
              <w:t>Aboriginal Community Controlled Health Organisation</w:t>
            </w:r>
          </w:p>
        </w:tc>
      </w:tr>
      <w:tr w:rsidR="00724246" w14:paraId="1B913F60" w14:textId="77777777" w:rsidTr="00ED2732">
        <w:tc>
          <w:tcPr>
            <w:tcW w:w="1560" w:type="dxa"/>
          </w:tcPr>
          <w:p w14:paraId="36CC7222" w14:textId="77777777" w:rsidR="00724246" w:rsidRDefault="00724246" w:rsidP="00ED2732">
            <w:pPr>
              <w:spacing w:after="120"/>
              <w:rPr>
                <w:rFonts w:cs="Arial"/>
                <w:b/>
                <w:bCs/>
                <w:color w:val="auto"/>
                <w:sz w:val="18"/>
                <w:szCs w:val="18"/>
              </w:rPr>
            </w:pPr>
            <w:r w:rsidRPr="00BF629E">
              <w:rPr>
                <w:rFonts w:cs="Arial"/>
                <w:b/>
                <w:bCs/>
                <w:color w:val="auto"/>
                <w:sz w:val="18"/>
                <w:szCs w:val="18"/>
              </w:rPr>
              <w:t>ACHI</w:t>
            </w:r>
          </w:p>
        </w:tc>
        <w:tc>
          <w:tcPr>
            <w:tcW w:w="7938" w:type="dxa"/>
          </w:tcPr>
          <w:p w14:paraId="5C4343EA" w14:textId="77777777" w:rsidR="00724246" w:rsidRDefault="00724246" w:rsidP="00ED2732">
            <w:pPr>
              <w:spacing w:after="120"/>
              <w:rPr>
                <w:rFonts w:cs="Arial"/>
                <w:b/>
                <w:bCs/>
                <w:color w:val="auto"/>
                <w:sz w:val="18"/>
                <w:szCs w:val="18"/>
              </w:rPr>
            </w:pPr>
            <w:r w:rsidRPr="00BF629E">
              <w:rPr>
                <w:rFonts w:cs="Arial"/>
                <w:color w:val="auto"/>
                <w:sz w:val="18"/>
                <w:szCs w:val="18"/>
              </w:rPr>
              <w:t xml:space="preserve">Australian Classification of Health Interventions </w:t>
            </w:r>
          </w:p>
        </w:tc>
      </w:tr>
      <w:tr w:rsidR="00724246" w14:paraId="6079B625" w14:textId="77777777" w:rsidTr="00ED2732">
        <w:tc>
          <w:tcPr>
            <w:tcW w:w="1560" w:type="dxa"/>
          </w:tcPr>
          <w:p w14:paraId="2E3917C6" w14:textId="77777777" w:rsidR="00724246" w:rsidRDefault="00724246" w:rsidP="00ED2732">
            <w:pPr>
              <w:spacing w:after="120"/>
              <w:rPr>
                <w:rFonts w:cs="Arial"/>
                <w:b/>
                <w:bCs/>
                <w:color w:val="auto"/>
                <w:sz w:val="18"/>
                <w:szCs w:val="18"/>
              </w:rPr>
            </w:pPr>
            <w:r w:rsidRPr="00BF629E">
              <w:rPr>
                <w:rFonts w:cs="Arial"/>
                <w:b/>
                <w:bCs/>
                <w:color w:val="auto"/>
                <w:sz w:val="18"/>
                <w:szCs w:val="18"/>
              </w:rPr>
              <w:t>ACN</w:t>
            </w:r>
          </w:p>
        </w:tc>
        <w:tc>
          <w:tcPr>
            <w:tcW w:w="7938" w:type="dxa"/>
          </w:tcPr>
          <w:p w14:paraId="5F51CEDC" w14:textId="77777777" w:rsidR="00724246" w:rsidRDefault="00724246" w:rsidP="00ED2732">
            <w:pPr>
              <w:spacing w:after="120"/>
              <w:rPr>
                <w:rFonts w:cs="Arial"/>
                <w:b/>
                <w:bCs/>
                <w:color w:val="auto"/>
                <w:sz w:val="18"/>
                <w:szCs w:val="18"/>
              </w:rPr>
            </w:pPr>
            <w:r w:rsidRPr="00BF629E">
              <w:rPr>
                <w:rFonts w:cs="Arial"/>
                <w:color w:val="auto"/>
                <w:sz w:val="18"/>
                <w:szCs w:val="18"/>
              </w:rPr>
              <w:t xml:space="preserve">Aged Care Network </w:t>
            </w:r>
          </w:p>
        </w:tc>
      </w:tr>
      <w:tr w:rsidR="00724246" w14:paraId="26930157" w14:textId="77777777" w:rsidTr="00ED2732">
        <w:tc>
          <w:tcPr>
            <w:tcW w:w="1560" w:type="dxa"/>
          </w:tcPr>
          <w:p w14:paraId="384D9CAF" w14:textId="77777777" w:rsidR="00724246" w:rsidRDefault="00724246" w:rsidP="00ED2732">
            <w:pPr>
              <w:spacing w:after="120"/>
              <w:rPr>
                <w:rFonts w:cs="Arial"/>
                <w:b/>
                <w:bCs/>
                <w:color w:val="auto"/>
                <w:sz w:val="18"/>
                <w:szCs w:val="18"/>
              </w:rPr>
            </w:pPr>
            <w:r w:rsidRPr="00BF629E">
              <w:rPr>
                <w:rFonts w:cs="Arial"/>
                <w:b/>
                <w:bCs/>
                <w:color w:val="auto"/>
                <w:sz w:val="18"/>
                <w:szCs w:val="18"/>
              </w:rPr>
              <w:t>ACS</w:t>
            </w:r>
          </w:p>
        </w:tc>
        <w:tc>
          <w:tcPr>
            <w:tcW w:w="7938" w:type="dxa"/>
          </w:tcPr>
          <w:p w14:paraId="1480A6FD" w14:textId="77777777" w:rsidR="00724246" w:rsidRDefault="00724246" w:rsidP="00ED2732">
            <w:pPr>
              <w:spacing w:after="120"/>
              <w:rPr>
                <w:rFonts w:cs="Arial"/>
                <w:b/>
                <w:bCs/>
                <w:color w:val="auto"/>
                <w:sz w:val="18"/>
                <w:szCs w:val="18"/>
              </w:rPr>
            </w:pPr>
            <w:r w:rsidRPr="00BF629E">
              <w:rPr>
                <w:rFonts w:cs="Arial"/>
                <w:color w:val="auto"/>
                <w:sz w:val="18"/>
                <w:szCs w:val="18"/>
              </w:rPr>
              <w:t>Australian Coding Standards</w:t>
            </w:r>
          </w:p>
        </w:tc>
      </w:tr>
      <w:tr w:rsidR="00724246" w14:paraId="4BE1F818" w14:textId="77777777" w:rsidTr="00ED2732">
        <w:tc>
          <w:tcPr>
            <w:tcW w:w="1560" w:type="dxa"/>
          </w:tcPr>
          <w:p w14:paraId="70A740BE" w14:textId="77777777" w:rsidR="00724246" w:rsidRDefault="00724246" w:rsidP="00ED2732">
            <w:pPr>
              <w:spacing w:after="120"/>
              <w:rPr>
                <w:rFonts w:cs="Arial"/>
                <w:b/>
                <w:bCs/>
                <w:color w:val="auto"/>
                <w:sz w:val="18"/>
                <w:szCs w:val="18"/>
              </w:rPr>
            </w:pPr>
            <w:r w:rsidRPr="00BF629E">
              <w:rPr>
                <w:rFonts w:cs="Arial"/>
                <w:b/>
                <w:bCs/>
                <w:color w:val="auto"/>
                <w:sz w:val="18"/>
                <w:szCs w:val="18"/>
              </w:rPr>
              <w:t>AECC</w:t>
            </w:r>
          </w:p>
        </w:tc>
        <w:tc>
          <w:tcPr>
            <w:tcW w:w="7938" w:type="dxa"/>
          </w:tcPr>
          <w:p w14:paraId="5B6BA691" w14:textId="77777777" w:rsidR="00724246" w:rsidRDefault="00724246" w:rsidP="00ED2732">
            <w:pPr>
              <w:spacing w:after="120"/>
              <w:rPr>
                <w:rFonts w:cs="Arial"/>
                <w:b/>
                <w:bCs/>
                <w:color w:val="auto"/>
                <w:sz w:val="18"/>
                <w:szCs w:val="18"/>
              </w:rPr>
            </w:pPr>
            <w:r w:rsidRPr="00BF629E">
              <w:rPr>
                <w:rFonts w:cs="Arial"/>
                <w:color w:val="auto"/>
                <w:sz w:val="18"/>
                <w:szCs w:val="18"/>
              </w:rPr>
              <w:t>Australian Emergency Care Classification</w:t>
            </w:r>
          </w:p>
        </w:tc>
      </w:tr>
      <w:tr w:rsidR="00724246" w14:paraId="63340293" w14:textId="77777777" w:rsidTr="00ED2732">
        <w:tc>
          <w:tcPr>
            <w:tcW w:w="1560" w:type="dxa"/>
          </w:tcPr>
          <w:p w14:paraId="36F78E61" w14:textId="77777777" w:rsidR="00724246" w:rsidRDefault="00724246" w:rsidP="00ED2732">
            <w:pPr>
              <w:spacing w:after="120"/>
              <w:rPr>
                <w:rFonts w:cs="Arial"/>
                <w:b/>
                <w:bCs/>
                <w:color w:val="auto"/>
                <w:sz w:val="18"/>
                <w:szCs w:val="18"/>
              </w:rPr>
            </w:pPr>
            <w:r w:rsidRPr="00BF629E">
              <w:rPr>
                <w:rFonts w:cs="Arial"/>
                <w:b/>
                <w:bCs/>
                <w:color w:val="auto"/>
                <w:sz w:val="18"/>
                <w:szCs w:val="18"/>
              </w:rPr>
              <w:t>AHPCS</w:t>
            </w:r>
            <w:r w:rsidRPr="00BF629E">
              <w:rPr>
                <w:rFonts w:cs="Arial"/>
                <w:color w:val="auto"/>
                <w:sz w:val="18"/>
                <w:szCs w:val="18"/>
              </w:rPr>
              <w:t xml:space="preserve"> </w:t>
            </w:r>
          </w:p>
        </w:tc>
        <w:tc>
          <w:tcPr>
            <w:tcW w:w="7938" w:type="dxa"/>
          </w:tcPr>
          <w:p w14:paraId="521DFB06" w14:textId="77777777" w:rsidR="00724246" w:rsidRDefault="00724246" w:rsidP="00ED2732">
            <w:pPr>
              <w:spacing w:after="120"/>
              <w:rPr>
                <w:rFonts w:cs="Arial"/>
                <w:b/>
                <w:bCs/>
                <w:color w:val="auto"/>
                <w:sz w:val="18"/>
                <w:szCs w:val="18"/>
              </w:rPr>
            </w:pPr>
            <w:r w:rsidRPr="00BF629E">
              <w:rPr>
                <w:rFonts w:cs="Arial"/>
                <w:color w:val="auto"/>
                <w:sz w:val="18"/>
                <w:szCs w:val="18"/>
              </w:rPr>
              <w:t xml:space="preserve">Australian Hospital Patient Costing Standards </w:t>
            </w:r>
          </w:p>
        </w:tc>
      </w:tr>
      <w:tr w:rsidR="00724246" w14:paraId="72D9939E" w14:textId="77777777" w:rsidTr="00ED2732">
        <w:tc>
          <w:tcPr>
            <w:tcW w:w="1560" w:type="dxa"/>
          </w:tcPr>
          <w:p w14:paraId="5D53A2BC" w14:textId="77777777" w:rsidR="00724246" w:rsidRDefault="00724246" w:rsidP="00ED2732">
            <w:pPr>
              <w:spacing w:after="120"/>
              <w:rPr>
                <w:rFonts w:cs="Arial"/>
                <w:b/>
                <w:bCs/>
                <w:color w:val="auto"/>
                <w:sz w:val="18"/>
                <w:szCs w:val="18"/>
              </w:rPr>
            </w:pPr>
            <w:r w:rsidRPr="00BF629E">
              <w:rPr>
                <w:rFonts w:cs="Arial"/>
                <w:b/>
                <w:bCs/>
                <w:color w:val="auto"/>
                <w:sz w:val="18"/>
                <w:szCs w:val="18"/>
              </w:rPr>
              <w:t>AMHCC</w:t>
            </w:r>
            <w:r w:rsidRPr="00BF629E">
              <w:rPr>
                <w:rFonts w:cs="Arial"/>
                <w:color w:val="auto"/>
                <w:sz w:val="18"/>
                <w:szCs w:val="18"/>
              </w:rPr>
              <w:t xml:space="preserve"> </w:t>
            </w:r>
          </w:p>
        </w:tc>
        <w:tc>
          <w:tcPr>
            <w:tcW w:w="7938" w:type="dxa"/>
          </w:tcPr>
          <w:p w14:paraId="6C96DE43" w14:textId="77777777" w:rsidR="00724246" w:rsidRDefault="00724246" w:rsidP="00ED2732">
            <w:pPr>
              <w:spacing w:after="120"/>
              <w:rPr>
                <w:rFonts w:cs="Arial"/>
                <w:b/>
                <w:bCs/>
                <w:color w:val="auto"/>
                <w:sz w:val="18"/>
                <w:szCs w:val="18"/>
              </w:rPr>
            </w:pPr>
            <w:r w:rsidRPr="00BF629E">
              <w:rPr>
                <w:rFonts w:cs="Arial"/>
                <w:color w:val="auto"/>
                <w:sz w:val="18"/>
                <w:szCs w:val="18"/>
              </w:rPr>
              <w:t xml:space="preserve">Australian Mental Health Care Classification </w:t>
            </w:r>
          </w:p>
        </w:tc>
      </w:tr>
      <w:tr w:rsidR="00724246" w14:paraId="2223A1D0" w14:textId="77777777" w:rsidTr="00ED2732">
        <w:tc>
          <w:tcPr>
            <w:tcW w:w="1560" w:type="dxa"/>
          </w:tcPr>
          <w:p w14:paraId="2001082A" w14:textId="77777777" w:rsidR="00724246" w:rsidRDefault="00724246" w:rsidP="00ED2732">
            <w:pPr>
              <w:spacing w:after="120"/>
              <w:rPr>
                <w:rFonts w:cs="Arial"/>
                <w:b/>
                <w:bCs/>
                <w:color w:val="auto"/>
                <w:sz w:val="18"/>
                <w:szCs w:val="18"/>
              </w:rPr>
            </w:pPr>
            <w:r w:rsidRPr="00BF629E">
              <w:rPr>
                <w:rFonts w:cs="Arial"/>
                <w:b/>
                <w:bCs/>
                <w:color w:val="auto"/>
                <w:sz w:val="18"/>
                <w:szCs w:val="18"/>
              </w:rPr>
              <w:t>AN-ACC</w:t>
            </w:r>
            <w:r w:rsidRPr="00BF629E">
              <w:rPr>
                <w:rFonts w:cs="Arial"/>
                <w:color w:val="auto"/>
                <w:sz w:val="18"/>
                <w:szCs w:val="18"/>
              </w:rPr>
              <w:t xml:space="preserve"> </w:t>
            </w:r>
          </w:p>
        </w:tc>
        <w:tc>
          <w:tcPr>
            <w:tcW w:w="7938" w:type="dxa"/>
          </w:tcPr>
          <w:p w14:paraId="62A2FF29" w14:textId="77777777" w:rsidR="00724246" w:rsidRDefault="00724246" w:rsidP="00ED2732">
            <w:pPr>
              <w:spacing w:after="120"/>
              <w:rPr>
                <w:rFonts w:cs="Arial"/>
                <w:b/>
                <w:bCs/>
                <w:color w:val="auto"/>
                <w:sz w:val="18"/>
                <w:szCs w:val="18"/>
              </w:rPr>
            </w:pPr>
            <w:r w:rsidRPr="00BF629E">
              <w:rPr>
                <w:rFonts w:cs="Arial"/>
                <w:color w:val="auto"/>
                <w:sz w:val="18"/>
                <w:szCs w:val="18"/>
              </w:rPr>
              <w:t xml:space="preserve">Australian National Aged Care Classification </w:t>
            </w:r>
          </w:p>
        </w:tc>
      </w:tr>
      <w:tr w:rsidR="00724246" w14:paraId="154D02F6" w14:textId="77777777" w:rsidTr="00ED2732">
        <w:tc>
          <w:tcPr>
            <w:tcW w:w="1560" w:type="dxa"/>
          </w:tcPr>
          <w:p w14:paraId="4C035AD7" w14:textId="77777777" w:rsidR="00724246" w:rsidRDefault="00724246" w:rsidP="00ED2732">
            <w:pPr>
              <w:spacing w:after="120"/>
              <w:rPr>
                <w:rFonts w:cs="Arial"/>
                <w:b/>
                <w:bCs/>
                <w:color w:val="auto"/>
                <w:sz w:val="18"/>
                <w:szCs w:val="18"/>
              </w:rPr>
            </w:pPr>
            <w:r w:rsidRPr="00BF629E">
              <w:rPr>
                <w:rFonts w:cs="Arial"/>
                <w:b/>
                <w:bCs/>
                <w:color w:val="auto"/>
                <w:sz w:val="18"/>
                <w:szCs w:val="18"/>
              </w:rPr>
              <w:t>ANAO</w:t>
            </w:r>
          </w:p>
          <w:p w14:paraId="37C0BF60" w14:textId="77777777" w:rsidR="00724246" w:rsidRDefault="00724246" w:rsidP="00ED2732">
            <w:pPr>
              <w:spacing w:after="120"/>
              <w:rPr>
                <w:rFonts w:cs="Arial"/>
                <w:b/>
                <w:bCs/>
                <w:color w:val="auto"/>
                <w:sz w:val="18"/>
                <w:szCs w:val="18"/>
              </w:rPr>
            </w:pPr>
            <w:r>
              <w:rPr>
                <w:rFonts w:cs="Arial"/>
                <w:b/>
                <w:bCs/>
                <w:color w:val="auto"/>
                <w:sz w:val="18"/>
                <w:szCs w:val="18"/>
              </w:rPr>
              <w:t>AN-APP</w:t>
            </w:r>
          </w:p>
        </w:tc>
        <w:tc>
          <w:tcPr>
            <w:tcW w:w="7938" w:type="dxa"/>
          </w:tcPr>
          <w:p w14:paraId="787A9479" w14:textId="77777777" w:rsidR="00724246" w:rsidRDefault="00724246" w:rsidP="00ED2732">
            <w:pPr>
              <w:spacing w:after="120"/>
              <w:rPr>
                <w:rFonts w:cs="Arial"/>
                <w:color w:val="auto"/>
                <w:sz w:val="18"/>
                <w:szCs w:val="18"/>
              </w:rPr>
            </w:pPr>
            <w:r w:rsidRPr="00BF629E">
              <w:rPr>
                <w:rFonts w:cs="Arial"/>
                <w:color w:val="auto"/>
                <w:sz w:val="18"/>
                <w:szCs w:val="18"/>
              </w:rPr>
              <w:t>Australian National Audit Office</w:t>
            </w:r>
          </w:p>
          <w:p w14:paraId="119ED48E" w14:textId="77777777" w:rsidR="00724246" w:rsidRPr="00ED2732" w:rsidRDefault="00724246" w:rsidP="00ED2732">
            <w:pPr>
              <w:spacing w:after="120"/>
              <w:rPr>
                <w:rFonts w:cs="Arial"/>
                <w:color w:val="auto"/>
                <w:sz w:val="18"/>
                <w:szCs w:val="18"/>
              </w:rPr>
            </w:pPr>
            <w:r w:rsidRPr="00ED2732">
              <w:rPr>
                <w:rFonts w:cs="Arial"/>
                <w:color w:val="auto"/>
                <w:sz w:val="18"/>
                <w:szCs w:val="18"/>
              </w:rPr>
              <w:t xml:space="preserve">Australian Non-Admitted Patient Classification Project </w:t>
            </w:r>
          </w:p>
        </w:tc>
      </w:tr>
      <w:tr w:rsidR="00724246" w14:paraId="0DA30176" w14:textId="77777777" w:rsidTr="00ED2732">
        <w:tc>
          <w:tcPr>
            <w:tcW w:w="1560" w:type="dxa"/>
          </w:tcPr>
          <w:p w14:paraId="467753C2" w14:textId="77777777" w:rsidR="00724246" w:rsidRDefault="00724246" w:rsidP="00ED2732">
            <w:pPr>
              <w:spacing w:after="120"/>
              <w:rPr>
                <w:rFonts w:cs="Arial"/>
                <w:b/>
                <w:bCs/>
                <w:color w:val="auto"/>
                <w:sz w:val="18"/>
                <w:szCs w:val="18"/>
              </w:rPr>
            </w:pPr>
            <w:r w:rsidRPr="00BF629E">
              <w:rPr>
                <w:rFonts w:cs="Arial"/>
                <w:b/>
                <w:bCs/>
                <w:color w:val="auto"/>
                <w:sz w:val="18"/>
                <w:szCs w:val="18"/>
              </w:rPr>
              <w:t>AN-SNAP</w:t>
            </w:r>
            <w:r w:rsidRPr="00BF629E">
              <w:rPr>
                <w:rFonts w:cs="Arial"/>
                <w:color w:val="auto"/>
                <w:sz w:val="18"/>
                <w:szCs w:val="18"/>
              </w:rPr>
              <w:t xml:space="preserve"> </w:t>
            </w:r>
          </w:p>
        </w:tc>
        <w:tc>
          <w:tcPr>
            <w:tcW w:w="7938" w:type="dxa"/>
          </w:tcPr>
          <w:p w14:paraId="6AD522C0" w14:textId="77777777" w:rsidR="00724246" w:rsidRDefault="00724246" w:rsidP="00ED2732">
            <w:pPr>
              <w:spacing w:after="120"/>
              <w:rPr>
                <w:rFonts w:cs="Arial"/>
                <w:b/>
                <w:bCs/>
                <w:color w:val="auto"/>
                <w:sz w:val="18"/>
                <w:szCs w:val="18"/>
              </w:rPr>
            </w:pPr>
            <w:r w:rsidRPr="00BF629E">
              <w:rPr>
                <w:rFonts w:cs="Arial"/>
                <w:color w:val="auto"/>
                <w:sz w:val="18"/>
                <w:szCs w:val="18"/>
              </w:rPr>
              <w:t xml:space="preserve">Australian National Subacute and Non-Acute Patient Classification </w:t>
            </w:r>
          </w:p>
        </w:tc>
      </w:tr>
      <w:tr w:rsidR="00724246" w14:paraId="131BF8D8" w14:textId="77777777" w:rsidTr="00ED2732">
        <w:tc>
          <w:tcPr>
            <w:tcW w:w="1560" w:type="dxa"/>
          </w:tcPr>
          <w:p w14:paraId="417BB9F3" w14:textId="77777777" w:rsidR="00724246" w:rsidRDefault="00724246" w:rsidP="00ED2732">
            <w:pPr>
              <w:spacing w:after="120"/>
              <w:rPr>
                <w:rFonts w:cs="Arial"/>
                <w:b/>
                <w:bCs/>
                <w:color w:val="auto"/>
                <w:sz w:val="18"/>
                <w:szCs w:val="18"/>
              </w:rPr>
            </w:pPr>
            <w:r w:rsidRPr="00BF629E">
              <w:rPr>
                <w:rFonts w:cs="Arial"/>
                <w:b/>
                <w:bCs/>
                <w:color w:val="auto"/>
                <w:sz w:val="18"/>
                <w:szCs w:val="18"/>
              </w:rPr>
              <w:t>ADRG</w:t>
            </w:r>
          </w:p>
        </w:tc>
        <w:tc>
          <w:tcPr>
            <w:tcW w:w="7938" w:type="dxa"/>
          </w:tcPr>
          <w:p w14:paraId="42996DF4" w14:textId="77777777" w:rsidR="00724246" w:rsidRDefault="00724246" w:rsidP="00ED2732">
            <w:pPr>
              <w:spacing w:after="120"/>
              <w:rPr>
                <w:rFonts w:cs="Arial"/>
                <w:b/>
                <w:bCs/>
                <w:color w:val="auto"/>
                <w:sz w:val="18"/>
                <w:szCs w:val="18"/>
              </w:rPr>
            </w:pPr>
            <w:r w:rsidRPr="00BF629E">
              <w:rPr>
                <w:rFonts w:cs="Arial"/>
                <w:color w:val="auto"/>
                <w:sz w:val="18"/>
                <w:szCs w:val="18"/>
              </w:rPr>
              <w:t>Adjacent Diagnosis Related Group</w:t>
            </w:r>
          </w:p>
        </w:tc>
      </w:tr>
      <w:tr w:rsidR="00724246" w14:paraId="667DE835" w14:textId="77777777" w:rsidTr="00ED2732">
        <w:tc>
          <w:tcPr>
            <w:tcW w:w="1560" w:type="dxa"/>
          </w:tcPr>
          <w:p w14:paraId="332629B9" w14:textId="77777777" w:rsidR="00724246" w:rsidRDefault="00724246" w:rsidP="00ED2732">
            <w:pPr>
              <w:spacing w:after="120"/>
              <w:rPr>
                <w:rFonts w:cs="Arial"/>
                <w:b/>
                <w:bCs/>
                <w:color w:val="auto"/>
                <w:sz w:val="18"/>
                <w:szCs w:val="18"/>
              </w:rPr>
            </w:pPr>
            <w:r w:rsidRPr="00BF629E">
              <w:rPr>
                <w:rFonts w:cs="Arial"/>
                <w:b/>
                <w:bCs/>
                <w:color w:val="auto"/>
                <w:sz w:val="18"/>
                <w:szCs w:val="18"/>
              </w:rPr>
              <w:t>ARCC</w:t>
            </w:r>
          </w:p>
        </w:tc>
        <w:tc>
          <w:tcPr>
            <w:tcW w:w="7938" w:type="dxa"/>
          </w:tcPr>
          <w:p w14:paraId="5A1B5AF9" w14:textId="77777777" w:rsidR="00724246" w:rsidRDefault="00724246" w:rsidP="00ED2732">
            <w:pPr>
              <w:spacing w:after="120"/>
              <w:rPr>
                <w:rFonts w:cs="Arial"/>
                <w:b/>
                <w:bCs/>
                <w:color w:val="auto"/>
                <w:sz w:val="18"/>
                <w:szCs w:val="18"/>
              </w:rPr>
            </w:pPr>
            <w:r w:rsidRPr="00BF629E">
              <w:rPr>
                <w:rFonts w:cs="Arial"/>
                <w:color w:val="auto"/>
                <w:sz w:val="18"/>
                <w:szCs w:val="18"/>
              </w:rPr>
              <w:t>Audit Risk and Compliance Committee</w:t>
            </w:r>
          </w:p>
        </w:tc>
      </w:tr>
      <w:tr w:rsidR="00724246" w14:paraId="2CD4457D" w14:textId="77777777" w:rsidTr="00ED2732">
        <w:tc>
          <w:tcPr>
            <w:tcW w:w="1560" w:type="dxa"/>
          </w:tcPr>
          <w:p w14:paraId="07422CB9" w14:textId="77777777" w:rsidR="00724246" w:rsidRDefault="00724246" w:rsidP="00ED2732">
            <w:pPr>
              <w:spacing w:after="120"/>
              <w:rPr>
                <w:rFonts w:cs="Arial"/>
                <w:b/>
                <w:bCs/>
                <w:color w:val="auto"/>
                <w:sz w:val="18"/>
                <w:szCs w:val="18"/>
              </w:rPr>
            </w:pPr>
            <w:r w:rsidRPr="00BF629E">
              <w:rPr>
                <w:rFonts w:cs="Arial"/>
                <w:b/>
                <w:bCs/>
                <w:color w:val="auto"/>
                <w:sz w:val="18"/>
                <w:szCs w:val="18"/>
              </w:rPr>
              <w:t>AR-DRG</w:t>
            </w:r>
          </w:p>
          <w:p w14:paraId="10BA652A" w14:textId="77777777" w:rsidR="00724246" w:rsidRDefault="00724246" w:rsidP="00ED2732">
            <w:pPr>
              <w:spacing w:after="120"/>
              <w:rPr>
                <w:rFonts w:cs="Arial"/>
                <w:b/>
                <w:bCs/>
                <w:color w:val="auto"/>
                <w:sz w:val="18"/>
                <w:szCs w:val="18"/>
              </w:rPr>
            </w:pPr>
            <w:r>
              <w:rPr>
                <w:rFonts w:cs="Arial"/>
                <w:b/>
                <w:bCs/>
                <w:color w:val="auto"/>
                <w:sz w:val="18"/>
                <w:szCs w:val="18"/>
              </w:rPr>
              <w:t>ATTC</w:t>
            </w:r>
          </w:p>
        </w:tc>
        <w:tc>
          <w:tcPr>
            <w:tcW w:w="7938" w:type="dxa"/>
          </w:tcPr>
          <w:p w14:paraId="59C7B953" w14:textId="77777777" w:rsidR="00724246" w:rsidRPr="00E16939" w:rsidRDefault="00724246" w:rsidP="00ED2732">
            <w:pPr>
              <w:spacing w:after="120"/>
              <w:rPr>
                <w:rFonts w:cs="Arial"/>
                <w:color w:val="auto"/>
                <w:sz w:val="18"/>
                <w:szCs w:val="18"/>
              </w:rPr>
            </w:pPr>
            <w:r w:rsidRPr="00E16939">
              <w:rPr>
                <w:rFonts w:cs="Arial"/>
                <w:color w:val="auto"/>
                <w:sz w:val="18"/>
                <w:szCs w:val="18"/>
              </w:rPr>
              <w:t xml:space="preserve">Australian Refined Diagnosis Related Groups </w:t>
            </w:r>
          </w:p>
          <w:p w14:paraId="5E1D806A" w14:textId="77777777" w:rsidR="00724246" w:rsidRDefault="00724246" w:rsidP="00ED2732">
            <w:pPr>
              <w:spacing w:after="120"/>
              <w:rPr>
                <w:rFonts w:cs="Arial"/>
                <w:b/>
                <w:bCs/>
                <w:color w:val="auto"/>
                <w:sz w:val="18"/>
                <w:szCs w:val="18"/>
              </w:rPr>
            </w:pPr>
            <w:r w:rsidRPr="007D276F">
              <w:rPr>
                <w:sz w:val="18"/>
                <w:szCs w:val="18"/>
              </w:rPr>
              <w:t>Australian Teaching and Training Classification</w:t>
            </w:r>
          </w:p>
        </w:tc>
      </w:tr>
      <w:tr w:rsidR="00724246" w14:paraId="01312A15" w14:textId="77777777" w:rsidTr="00ED2732">
        <w:tc>
          <w:tcPr>
            <w:tcW w:w="1560" w:type="dxa"/>
          </w:tcPr>
          <w:p w14:paraId="667AA439" w14:textId="77777777" w:rsidR="00724246" w:rsidRDefault="00724246" w:rsidP="00ED2732">
            <w:pPr>
              <w:spacing w:after="120"/>
              <w:rPr>
                <w:rFonts w:cs="Arial"/>
                <w:b/>
                <w:bCs/>
                <w:color w:val="auto"/>
                <w:sz w:val="18"/>
                <w:szCs w:val="18"/>
              </w:rPr>
            </w:pPr>
            <w:r w:rsidRPr="00BF629E">
              <w:rPr>
                <w:rFonts w:cs="Arial"/>
                <w:b/>
                <w:bCs/>
                <w:color w:val="auto"/>
                <w:sz w:val="18"/>
                <w:szCs w:val="18"/>
              </w:rPr>
              <w:t>CAC</w:t>
            </w:r>
          </w:p>
        </w:tc>
        <w:tc>
          <w:tcPr>
            <w:tcW w:w="7938" w:type="dxa"/>
          </w:tcPr>
          <w:p w14:paraId="09FB1A6B" w14:textId="77777777" w:rsidR="00724246" w:rsidRDefault="00724246" w:rsidP="00ED2732">
            <w:pPr>
              <w:spacing w:after="120"/>
              <w:rPr>
                <w:rFonts w:cs="Arial"/>
                <w:b/>
                <w:bCs/>
                <w:color w:val="auto"/>
                <w:sz w:val="18"/>
                <w:szCs w:val="18"/>
              </w:rPr>
            </w:pPr>
            <w:r w:rsidRPr="00BF629E">
              <w:rPr>
                <w:rFonts w:cs="Arial"/>
                <w:color w:val="auto"/>
                <w:sz w:val="18"/>
                <w:szCs w:val="18"/>
              </w:rPr>
              <w:t>Clinical</w:t>
            </w:r>
            <w:r w:rsidRPr="00BF629E">
              <w:rPr>
                <w:rFonts w:cs="Arial"/>
                <w:b/>
                <w:bCs/>
                <w:color w:val="auto"/>
                <w:sz w:val="18"/>
                <w:szCs w:val="18"/>
              </w:rPr>
              <w:t xml:space="preserve"> </w:t>
            </w:r>
            <w:r w:rsidRPr="00BF629E">
              <w:rPr>
                <w:rFonts w:cs="Arial"/>
                <w:color w:val="auto"/>
                <w:sz w:val="18"/>
                <w:szCs w:val="18"/>
              </w:rPr>
              <w:t>Advisory Committee</w:t>
            </w:r>
          </w:p>
        </w:tc>
      </w:tr>
      <w:tr w:rsidR="00724246" w14:paraId="6BB5DB3E" w14:textId="77777777" w:rsidTr="00ED2732">
        <w:tc>
          <w:tcPr>
            <w:tcW w:w="1560" w:type="dxa"/>
          </w:tcPr>
          <w:p w14:paraId="56280560" w14:textId="77777777" w:rsidR="00724246" w:rsidRDefault="00724246" w:rsidP="00ED2732">
            <w:pPr>
              <w:spacing w:after="120"/>
              <w:rPr>
                <w:rFonts w:cs="Arial"/>
                <w:b/>
                <w:bCs/>
                <w:color w:val="auto"/>
                <w:sz w:val="18"/>
                <w:szCs w:val="18"/>
              </w:rPr>
            </w:pPr>
            <w:r w:rsidRPr="00BF629E">
              <w:rPr>
                <w:rFonts w:cs="Arial"/>
                <w:b/>
                <w:bCs/>
                <w:color w:val="auto"/>
                <w:sz w:val="18"/>
                <w:szCs w:val="18"/>
              </w:rPr>
              <w:t>CEO</w:t>
            </w:r>
          </w:p>
        </w:tc>
        <w:tc>
          <w:tcPr>
            <w:tcW w:w="7938" w:type="dxa"/>
          </w:tcPr>
          <w:p w14:paraId="586311FC" w14:textId="77777777" w:rsidR="00724246" w:rsidRDefault="00724246" w:rsidP="00ED2732">
            <w:pPr>
              <w:spacing w:after="120"/>
              <w:rPr>
                <w:rFonts w:cs="Arial"/>
                <w:b/>
                <w:bCs/>
                <w:color w:val="auto"/>
                <w:sz w:val="18"/>
                <w:szCs w:val="18"/>
              </w:rPr>
            </w:pPr>
            <w:r w:rsidRPr="00BF629E">
              <w:rPr>
                <w:rFonts w:cs="Arial"/>
                <w:color w:val="auto"/>
                <w:sz w:val="18"/>
                <w:szCs w:val="18"/>
              </w:rPr>
              <w:t>Chief Executive Officer</w:t>
            </w:r>
          </w:p>
        </w:tc>
      </w:tr>
      <w:tr w:rsidR="00724246" w14:paraId="6CC5E48C" w14:textId="77777777" w:rsidTr="00ED2732">
        <w:tc>
          <w:tcPr>
            <w:tcW w:w="1560" w:type="dxa"/>
          </w:tcPr>
          <w:p w14:paraId="3AA8CC8A" w14:textId="77777777" w:rsidR="00724246" w:rsidRDefault="00724246" w:rsidP="00ED2732">
            <w:pPr>
              <w:spacing w:after="120"/>
              <w:rPr>
                <w:rFonts w:cs="Arial"/>
                <w:b/>
                <w:bCs/>
                <w:color w:val="auto"/>
                <w:sz w:val="18"/>
                <w:szCs w:val="18"/>
              </w:rPr>
            </w:pPr>
            <w:r w:rsidRPr="00BF629E">
              <w:rPr>
                <w:rFonts w:cs="Arial"/>
                <w:b/>
                <w:bCs/>
                <w:color w:val="auto"/>
                <w:sz w:val="18"/>
                <w:szCs w:val="18"/>
              </w:rPr>
              <w:t>CPI</w:t>
            </w:r>
          </w:p>
          <w:p w14:paraId="78BB9D13" w14:textId="77777777" w:rsidR="00724246" w:rsidRDefault="00724246" w:rsidP="00ED2732">
            <w:pPr>
              <w:spacing w:after="120"/>
              <w:rPr>
                <w:rFonts w:cs="Arial"/>
                <w:b/>
                <w:bCs/>
                <w:color w:val="auto"/>
                <w:sz w:val="18"/>
                <w:szCs w:val="18"/>
              </w:rPr>
            </w:pPr>
            <w:r>
              <w:rPr>
                <w:rFonts w:cs="Arial"/>
                <w:b/>
                <w:bCs/>
                <w:color w:val="auto"/>
                <w:sz w:val="18"/>
                <w:szCs w:val="18"/>
              </w:rPr>
              <w:t>CSS</w:t>
            </w:r>
          </w:p>
        </w:tc>
        <w:tc>
          <w:tcPr>
            <w:tcW w:w="7938" w:type="dxa"/>
          </w:tcPr>
          <w:p w14:paraId="5085E507" w14:textId="77777777" w:rsidR="00724246" w:rsidRDefault="00724246" w:rsidP="00ED2732">
            <w:pPr>
              <w:spacing w:after="120"/>
              <w:rPr>
                <w:rFonts w:cs="Arial"/>
                <w:color w:val="auto"/>
                <w:sz w:val="18"/>
                <w:szCs w:val="18"/>
              </w:rPr>
            </w:pPr>
            <w:r w:rsidRPr="00BF629E">
              <w:rPr>
                <w:rFonts w:cs="Arial"/>
                <w:color w:val="auto"/>
                <w:sz w:val="18"/>
                <w:szCs w:val="18"/>
              </w:rPr>
              <w:t>Consumer Price Index</w:t>
            </w:r>
          </w:p>
          <w:p w14:paraId="3BB01296" w14:textId="77777777" w:rsidR="00724246" w:rsidRPr="009A55CE" w:rsidRDefault="00724246" w:rsidP="00ED2732">
            <w:pPr>
              <w:spacing w:after="120"/>
              <w:rPr>
                <w:rFonts w:cs="Arial"/>
                <w:color w:val="auto"/>
                <w:sz w:val="18"/>
                <w:szCs w:val="18"/>
              </w:rPr>
            </w:pPr>
            <w:r w:rsidRPr="009A55CE">
              <w:rPr>
                <w:rFonts w:cs="Arial"/>
                <w:color w:val="auto"/>
                <w:sz w:val="18"/>
                <w:szCs w:val="18"/>
              </w:rPr>
              <w:t xml:space="preserve">Commonwealth Superannuation Scheme </w:t>
            </w:r>
          </w:p>
        </w:tc>
      </w:tr>
      <w:tr w:rsidR="00724246" w14:paraId="598CDC09" w14:textId="77777777" w:rsidTr="00ED2732">
        <w:tc>
          <w:tcPr>
            <w:tcW w:w="1560" w:type="dxa"/>
          </w:tcPr>
          <w:p w14:paraId="7EDDC9D0" w14:textId="77777777" w:rsidR="00724246" w:rsidRDefault="00724246" w:rsidP="00ED2732">
            <w:pPr>
              <w:spacing w:after="120"/>
              <w:rPr>
                <w:rFonts w:cs="Arial"/>
                <w:b/>
                <w:bCs/>
                <w:color w:val="auto"/>
                <w:sz w:val="18"/>
                <w:szCs w:val="18"/>
              </w:rPr>
            </w:pPr>
            <w:r w:rsidRPr="00BF629E">
              <w:rPr>
                <w:rFonts w:cs="Arial"/>
                <w:b/>
                <w:bCs/>
                <w:color w:val="auto"/>
                <w:sz w:val="18"/>
                <w:szCs w:val="18"/>
              </w:rPr>
              <w:t>DCID</w:t>
            </w:r>
          </w:p>
        </w:tc>
        <w:tc>
          <w:tcPr>
            <w:tcW w:w="7938" w:type="dxa"/>
          </w:tcPr>
          <w:p w14:paraId="1D94339D" w14:textId="77777777" w:rsidR="00724246" w:rsidRDefault="00724246" w:rsidP="00ED2732">
            <w:pPr>
              <w:spacing w:after="120"/>
              <w:rPr>
                <w:rFonts w:cs="Arial"/>
                <w:b/>
                <w:bCs/>
                <w:color w:val="auto"/>
                <w:sz w:val="18"/>
                <w:szCs w:val="18"/>
              </w:rPr>
            </w:pPr>
            <w:r w:rsidRPr="00BF629E">
              <w:rPr>
                <w:rFonts w:cs="Arial"/>
                <w:color w:val="auto"/>
                <w:sz w:val="18"/>
                <w:szCs w:val="18"/>
              </w:rPr>
              <w:t xml:space="preserve">Diagnosis cluster identifier </w:t>
            </w:r>
          </w:p>
        </w:tc>
      </w:tr>
      <w:tr w:rsidR="00724246" w14:paraId="3F9B42F0" w14:textId="77777777" w:rsidTr="00ED2732">
        <w:tc>
          <w:tcPr>
            <w:tcW w:w="1560" w:type="dxa"/>
          </w:tcPr>
          <w:p w14:paraId="0BE2227C" w14:textId="77777777" w:rsidR="00724246" w:rsidRDefault="00724246" w:rsidP="00ED2732">
            <w:pPr>
              <w:spacing w:after="120"/>
              <w:rPr>
                <w:rFonts w:cs="Arial"/>
                <w:b/>
                <w:bCs/>
                <w:color w:val="auto"/>
                <w:sz w:val="18"/>
                <w:szCs w:val="18"/>
              </w:rPr>
            </w:pPr>
            <w:r w:rsidRPr="00BF629E">
              <w:rPr>
                <w:rFonts w:cs="Arial"/>
                <w:b/>
                <w:bCs/>
                <w:color w:val="auto"/>
                <w:sz w:val="18"/>
                <w:szCs w:val="18"/>
              </w:rPr>
              <w:t>EPD Short List</w:t>
            </w:r>
          </w:p>
        </w:tc>
        <w:tc>
          <w:tcPr>
            <w:tcW w:w="7938" w:type="dxa"/>
          </w:tcPr>
          <w:p w14:paraId="7D51A105" w14:textId="77777777" w:rsidR="00724246" w:rsidRDefault="00724246" w:rsidP="00ED2732">
            <w:pPr>
              <w:spacing w:after="120"/>
              <w:rPr>
                <w:rFonts w:cs="Arial"/>
                <w:b/>
                <w:bCs/>
                <w:color w:val="auto"/>
                <w:sz w:val="18"/>
                <w:szCs w:val="18"/>
              </w:rPr>
            </w:pPr>
            <w:r w:rsidRPr="00BF629E">
              <w:rPr>
                <w:rFonts w:cs="Arial"/>
                <w:color w:val="auto"/>
                <w:sz w:val="18"/>
                <w:szCs w:val="18"/>
              </w:rPr>
              <w:t>Emergency Care ICD-10-AM Thirteenth Edition Principal Diagnosis Short List</w:t>
            </w:r>
          </w:p>
        </w:tc>
      </w:tr>
      <w:tr w:rsidR="00724246" w14:paraId="4419E87F" w14:textId="77777777" w:rsidTr="00ED2732">
        <w:tc>
          <w:tcPr>
            <w:tcW w:w="1560" w:type="dxa"/>
          </w:tcPr>
          <w:p w14:paraId="4263D06C" w14:textId="77777777" w:rsidR="00724246" w:rsidRDefault="00724246" w:rsidP="00ED2732">
            <w:pPr>
              <w:spacing w:after="120"/>
              <w:rPr>
                <w:rFonts w:cs="Arial"/>
                <w:b/>
                <w:bCs/>
                <w:color w:val="auto"/>
                <w:sz w:val="18"/>
                <w:szCs w:val="18"/>
              </w:rPr>
            </w:pPr>
            <w:r w:rsidRPr="00BF629E">
              <w:rPr>
                <w:rFonts w:cs="Arial"/>
                <w:b/>
                <w:bCs/>
                <w:color w:val="auto"/>
                <w:sz w:val="18"/>
                <w:szCs w:val="18"/>
              </w:rPr>
              <w:t>ICD-10-AM</w:t>
            </w:r>
            <w:r w:rsidRPr="00BF629E">
              <w:rPr>
                <w:rFonts w:cs="Arial"/>
                <w:color w:val="auto"/>
                <w:sz w:val="18"/>
                <w:szCs w:val="18"/>
              </w:rPr>
              <w:t xml:space="preserve"> </w:t>
            </w:r>
          </w:p>
        </w:tc>
        <w:tc>
          <w:tcPr>
            <w:tcW w:w="7938" w:type="dxa"/>
          </w:tcPr>
          <w:p w14:paraId="0A3F93E8" w14:textId="77777777" w:rsidR="00724246" w:rsidRDefault="00724246" w:rsidP="00ED2732">
            <w:pPr>
              <w:spacing w:after="120"/>
              <w:rPr>
                <w:rFonts w:cs="Arial"/>
                <w:b/>
                <w:bCs/>
                <w:color w:val="auto"/>
                <w:sz w:val="18"/>
                <w:szCs w:val="18"/>
              </w:rPr>
            </w:pPr>
            <w:r w:rsidRPr="00BF629E">
              <w:rPr>
                <w:rFonts w:cs="Arial"/>
                <w:color w:val="auto"/>
                <w:sz w:val="18"/>
                <w:szCs w:val="18"/>
              </w:rPr>
              <w:t>International Statistical Classification of Diseases and Related Health Problems, Tenth Revision, Australian Modification</w:t>
            </w:r>
          </w:p>
        </w:tc>
      </w:tr>
      <w:tr w:rsidR="00724246" w14:paraId="3F5CDFC0" w14:textId="77777777" w:rsidTr="00ED2732">
        <w:tc>
          <w:tcPr>
            <w:tcW w:w="1560" w:type="dxa"/>
          </w:tcPr>
          <w:p w14:paraId="30F93956" w14:textId="77777777" w:rsidR="00724246" w:rsidRPr="00CD1026" w:rsidRDefault="00724246" w:rsidP="00ED2732">
            <w:pPr>
              <w:spacing w:after="120"/>
              <w:rPr>
                <w:rFonts w:cs="Arial"/>
                <w:b/>
                <w:bCs/>
                <w:color w:val="auto"/>
                <w:sz w:val="18"/>
                <w:szCs w:val="18"/>
              </w:rPr>
            </w:pPr>
            <w:r>
              <w:rPr>
                <w:rFonts w:cs="Arial"/>
                <w:b/>
                <w:bCs/>
                <w:color w:val="auto"/>
                <w:sz w:val="18"/>
                <w:szCs w:val="18"/>
              </w:rPr>
              <w:t>ICD-11</w:t>
            </w:r>
          </w:p>
        </w:tc>
        <w:tc>
          <w:tcPr>
            <w:tcW w:w="7938" w:type="dxa"/>
          </w:tcPr>
          <w:p w14:paraId="641972FA" w14:textId="77777777" w:rsidR="00724246" w:rsidRPr="00CD1026" w:rsidRDefault="00724246" w:rsidP="00ED2732">
            <w:pPr>
              <w:spacing w:after="120"/>
              <w:rPr>
                <w:rFonts w:cs="Arial"/>
                <w:color w:val="auto"/>
                <w:sz w:val="18"/>
                <w:szCs w:val="18"/>
              </w:rPr>
            </w:pPr>
            <w:r w:rsidRPr="00BF629E">
              <w:rPr>
                <w:rFonts w:cs="Arial"/>
                <w:color w:val="auto"/>
                <w:sz w:val="18"/>
                <w:szCs w:val="18"/>
              </w:rPr>
              <w:t xml:space="preserve">International Statistical Classification of Diseases and Related Health Problems, </w:t>
            </w:r>
            <w:r>
              <w:rPr>
                <w:rFonts w:cs="Arial"/>
                <w:color w:val="auto"/>
                <w:sz w:val="18"/>
                <w:szCs w:val="18"/>
              </w:rPr>
              <w:t>Eleventh</w:t>
            </w:r>
            <w:r w:rsidRPr="00BF629E">
              <w:rPr>
                <w:rFonts w:cs="Arial"/>
                <w:color w:val="auto"/>
                <w:sz w:val="18"/>
                <w:szCs w:val="18"/>
              </w:rPr>
              <w:t xml:space="preserve"> Revision</w:t>
            </w:r>
          </w:p>
        </w:tc>
      </w:tr>
      <w:tr w:rsidR="008C5237" w14:paraId="64B47DF6" w14:textId="77777777" w:rsidTr="00ED2732">
        <w:tc>
          <w:tcPr>
            <w:tcW w:w="1560" w:type="dxa"/>
          </w:tcPr>
          <w:p w14:paraId="201B0029" w14:textId="0D89D118" w:rsidR="008C5237" w:rsidRDefault="008C5237" w:rsidP="00ED2732">
            <w:pPr>
              <w:spacing w:after="120"/>
              <w:rPr>
                <w:rFonts w:cs="Arial"/>
                <w:b/>
                <w:bCs/>
                <w:color w:val="auto"/>
                <w:sz w:val="18"/>
                <w:szCs w:val="18"/>
              </w:rPr>
            </w:pPr>
            <w:r>
              <w:rPr>
                <w:rFonts w:cs="Arial"/>
                <w:b/>
                <w:bCs/>
                <w:color w:val="auto"/>
                <w:sz w:val="18"/>
                <w:szCs w:val="18"/>
              </w:rPr>
              <w:t>KMP</w:t>
            </w:r>
          </w:p>
        </w:tc>
        <w:tc>
          <w:tcPr>
            <w:tcW w:w="7938" w:type="dxa"/>
          </w:tcPr>
          <w:p w14:paraId="46E1EFAC" w14:textId="373D480B" w:rsidR="008C5237" w:rsidRPr="00BF629E" w:rsidRDefault="008C5237" w:rsidP="00ED2732">
            <w:pPr>
              <w:spacing w:after="120"/>
              <w:rPr>
                <w:rFonts w:cs="Arial"/>
                <w:color w:val="auto"/>
                <w:sz w:val="18"/>
                <w:szCs w:val="18"/>
              </w:rPr>
            </w:pPr>
            <w:r>
              <w:rPr>
                <w:rFonts w:cs="Arial"/>
                <w:color w:val="auto"/>
                <w:sz w:val="18"/>
                <w:szCs w:val="18"/>
              </w:rPr>
              <w:t xml:space="preserve">Key management personnel </w:t>
            </w:r>
          </w:p>
        </w:tc>
      </w:tr>
      <w:tr w:rsidR="00724246" w14:paraId="2AAAFD46" w14:textId="77777777" w:rsidTr="00ED2732">
        <w:tc>
          <w:tcPr>
            <w:tcW w:w="1560" w:type="dxa"/>
          </w:tcPr>
          <w:p w14:paraId="6900970C" w14:textId="77777777" w:rsidR="00724246" w:rsidRDefault="00724246" w:rsidP="00ED2732">
            <w:pPr>
              <w:spacing w:after="120"/>
              <w:rPr>
                <w:rFonts w:cs="Arial"/>
                <w:b/>
                <w:bCs/>
                <w:color w:val="auto"/>
                <w:sz w:val="18"/>
                <w:szCs w:val="18"/>
              </w:rPr>
            </w:pPr>
            <w:r w:rsidRPr="00CD1026">
              <w:rPr>
                <w:rFonts w:cs="Arial"/>
                <w:b/>
                <w:bCs/>
                <w:color w:val="auto"/>
                <w:sz w:val="18"/>
                <w:szCs w:val="18"/>
              </w:rPr>
              <w:t>MPSP</w:t>
            </w:r>
          </w:p>
        </w:tc>
        <w:tc>
          <w:tcPr>
            <w:tcW w:w="7938" w:type="dxa"/>
          </w:tcPr>
          <w:p w14:paraId="56AFA071" w14:textId="77777777" w:rsidR="00724246" w:rsidRDefault="00724246" w:rsidP="00ED2732">
            <w:pPr>
              <w:spacing w:after="120"/>
              <w:rPr>
                <w:rFonts w:cs="Arial"/>
                <w:b/>
                <w:bCs/>
                <w:color w:val="auto"/>
                <w:sz w:val="18"/>
                <w:szCs w:val="18"/>
              </w:rPr>
            </w:pPr>
            <w:r w:rsidRPr="00CD1026">
              <w:rPr>
                <w:rFonts w:cs="Arial"/>
                <w:color w:val="auto"/>
                <w:sz w:val="18"/>
                <w:szCs w:val="18"/>
              </w:rPr>
              <w:t xml:space="preserve">Multi-Purpose Services Program </w:t>
            </w:r>
          </w:p>
        </w:tc>
      </w:tr>
      <w:tr w:rsidR="00724246" w14:paraId="56771F48" w14:textId="77777777" w:rsidTr="00ED2732">
        <w:tc>
          <w:tcPr>
            <w:tcW w:w="1560" w:type="dxa"/>
          </w:tcPr>
          <w:p w14:paraId="7CC32152" w14:textId="77777777" w:rsidR="00724246" w:rsidRDefault="00724246" w:rsidP="00ED2732">
            <w:pPr>
              <w:spacing w:after="120"/>
              <w:rPr>
                <w:rFonts w:cs="Arial"/>
                <w:b/>
                <w:bCs/>
                <w:color w:val="auto"/>
                <w:sz w:val="18"/>
                <w:szCs w:val="18"/>
              </w:rPr>
            </w:pPr>
            <w:r w:rsidRPr="00CD1026">
              <w:rPr>
                <w:rFonts w:cs="Arial"/>
                <w:b/>
                <w:bCs/>
                <w:color w:val="auto"/>
                <w:sz w:val="18"/>
                <w:szCs w:val="18"/>
              </w:rPr>
              <w:t>NATSIFACP</w:t>
            </w:r>
          </w:p>
        </w:tc>
        <w:tc>
          <w:tcPr>
            <w:tcW w:w="7938" w:type="dxa"/>
          </w:tcPr>
          <w:p w14:paraId="64E23E26" w14:textId="77777777" w:rsidR="00724246" w:rsidRDefault="00724246" w:rsidP="00ED2732">
            <w:pPr>
              <w:spacing w:after="120"/>
              <w:rPr>
                <w:rFonts w:cs="Arial"/>
                <w:b/>
                <w:bCs/>
                <w:color w:val="auto"/>
                <w:sz w:val="18"/>
                <w:szCs w:val="18"/>
              </w:rPr>
            </w:pPr>
            <w:r w:rsidRPr="00CD1026">
              <w:rPr>
                <w:rFonts w:cs="Arial"/>
                <w:color w:val="auto"/>
                <w:sz w:val="18"/>
                <w:szCs w:val="18"/>
              </w:rPr>
              <w:t xml:space="preserve">National Aboriginal and Torres Strait Islander Flexible Aged Care Program </w:t>
            </w:r>
          </w:p>
        </w:tc>
      </w:tr>
      <w:tr w:rsidR="00724246" w14:paraId="2B8980BA" w14:textId="77777777" w:rsidTr="00ED2732">
        <w:tc>
          <w:tcPr>
            <w:tcW w:w="1560" w:type="dxa"/>
          </w:tcPr>
          <w:p w14:paraId="32F7E114" w14:textId="77777777" w:rsidR="00724246" w:rsidRDefault="00724246" w:rsidP="00ED2732">
            <w:pPr>
              <w:spacing w:after="120"/>
              <w:rPr>
                <w:rFonts w:cs="Arial"/>
                <w:b/>
                <w:bCs/>
                <w:color w:val="auto"/>
                <w:sz w:val="18"/>
                <w:szCs w:val="18"/>
              </w:rPr>
            </w:pPr>
            <w:r w:rsidRPr="00CD1026">
              <w:rPr>
                <w:rFonts w:cs="Arial"/>
                <w:b/>
                <w:bCs/>
                <w:color w:val="auto"/>
                <w:sz w:val="18"/>
                <w:szCs w:val="18"/>
              </w:rPr>
              <w:t>NEC</w:t>
            </w:r>
          </w:p>
        </w:tc>
        <w:tc>
          <w:tcPr>
            <w:tcW w:w="7938" w:type="dxa"/>
          </w:tcPr>
          <w:p w14:paraId="6A828086" w14:textId="77777777" w:rsidR="00724246" w:rsidRDefault="00724246" w:rsidP="00ED2732">
            <w:pPr>
              <w:spacing w:after="120"/>
              <w:rPr>
                <w:rFonts w:cs="Arial"/>
                <w:b/>
                <w:bCs/>
                <w:color w:val="auto"/>
                <w:sz w:val="18"/>
                <w:szCs w:val="18"/>
              </w:rPr>
            </w:pPr>
            <w:r w:rsidRPr="00CD1026">
              <w:rPr>
                <w:rFonts w:cs="Arial"/>
                <w:color w:val="auto"/>
                <w:sz w:val="18"/>
                <w:szCs w:val="18"/>
              </w:rPr>
              <w:t xml:space="preserve">National </w:t>
            </w:r>
            <w:r>
              <w:rPr>
                <w:rFonts w:cs="Arial"/>
                <w:color w:val="auto"/>
                <w:sz w:val="18"/>
                <w:szCs w:val="18"/>
              </w:rPr>
              <w:t>e</w:t>
            </w:r>
            <w:r w:rsidRPr="00CD1026">
              <w:rPr>
                <w:rFonts w:cs="Arial"/>
                <w:color w:val="auto"/>
                <w:sz w:val="18"/>
                <w:szCs w:val="18"/>
              </w:rPr>
              <w:t xml:space="preserve">fficient </w:t>
            </w:r>
            <w:r>
              <w:rPr>
                <w:rFonts w:cs="Arial"/>
                <w:color w:val="auto"/>
                <w:sz w:val="18"/>
                <w:szCs w:val="18"/>
              </w:rPr>
              <w:t>c</w:t>
            </w:r>
            <w:r w:rsidRPr="00CD1026">
              <w:rPr>
                <w:rFonts w:cs="Arial"/>
                <w:color w:val="auto"/>
                <w:sz w:val="18"/>
                <w:szCs w:val="18"/>
              </w:rPr>
              <w:t>ost</w:t>
            </w:r>
          </w:p>
        </w:tc>
      </w:tr>
      <w:tr w:rsidR="00724246" w14:paraId="03436D79" w14:textId="77777777" w:rsidTr="00ED2732">
        <w:tc>
          <w:tcPr>
            <w:tcW w:w="1560" w:type="dxa"/>
          </w:tcPr>
          <w:p w14:paraId="551C3690" w14:textId="77777777" w:rsidR="00724246" w:rsidRDefault="00724246" w:rsidP="00ED2732">
            <w:pPr>
              <w:spacing w:after="120"/>
              <w:rPr>
                <w:rFonts w:cs="Arial"/>
                <w:b/>
                <w:bCs/>
                <w:color w:val="auto"/>
                <w:sz w:val="18"/>
                <w:szCs w:val="18"/>
              </w:rPr>
            </w:pPr>
            <w:r w:rsidRPr="00CD1026">
              <w:rPr>
                <w:rFonts w:cs="Arial"/>
                <w:b/>
                <w:bCs/>
                <w:color w:val="auto"/>
                <w:sz w:val="18"/>
                <w:szCs w:val="18"/>
              </w:rPr>
              <w:lastRenderedPageBreak/>
              <w:t>NEP</w:t>
            </w:r>
          </w:p>
        </w:tc>
        <w:tc>
          <w:tcPr>
            <w:tcW w:w="7938" w:type="dxa"/>
          </w:tcPr>
          <w:p w14:paraId="366607BB" w14:textId="77777777" w:rsidR="00724246" w:rsidRDefault="00724246" w:rsidP="00ED2732">
            <w:pPr>
              <w:spacing w:after="120"/>
              <w:rPr>
                <w:rFonts w:cs="Arial"/>
                <w:b/>
                <w:bCs/>
                <w:color w:val="auto"/>
                <w:sz w:val="18"/>
                <w:szCs w:val="18"/>
              </w:rPr>
            </w:pPr>
            <w:r w:rsidRPr="00CD1026">
              <w:rPr>
                <w:rFonts w:cs="Arial"/>
                <w:color w:val="auto"/>
                <w:sz w:val="18"/>
                <w:szCs w:val="18"/>
              </w:rPr>
              <w:t xml:space="preserve">National </w:t>
            </w:r>
            <w:r>
              <w:rPr>
                <w:rFonts w:cs="Arial"/>
                <w:color w:val="auto"/>
                <w:sz w:val="18"/>
                <w:szCs w:val="18"/>
              </w:rPr>
              <w:t>e</w:t>
            </w:r>
            <w:r w:rsidRPr="00CD1026">
              <w:rPr>
                <w:rFonts w:cs="Arial"/>
                <w:color w:val="auto"/>
                <w:sz w:val="18"/>
                <w:szCs w:val="18"/>
              </w:rPr>
              <w:t xml:space="preserve">fficient </w:t>
            </w:r>
            <w:r>
              <w:rPr>
                <w:rFonts w:cs="Arial"/>
                <w:color w:val="auto"/>
                <w:sz w:val="18"/>
                <w:szCs w:val="18"/>
              </w:rPr>
              <w:t>p</w:t>
            </w:r>
            <w:r w:rsidRPr="00CD1026">
              <w:rPr>
                <w:rFonts w:cs="Arial"/>
                <w:color w:val="auto"/>
                <w:sz w:val="18"/>
                <w:szCs w:val="18"/>
              </w:rPr>
              <w:t>rice</w:t>
            </w:r>
          </w:p>
        </w:tc>
      </w:tr>
      <w:tr w:rsidR="00724246" w14:paraId="51D65FC5" w14:textId="77777777" w:rsidTr="00ED2732">
        <w:tc>
          <w:tcPr>
            <w:tcW w:w="1560" w:type="dxa"/>
          </w:tcPr>
          <w:p w14:paraId="4CCB7AF2" w14:textId="77777777" w:rsidR="00724246" w:rsidRDefault="00724246" w:rsidP="00ED2732">
            <w:pPr>
              <w:spacing w:after="120"/>
              <w:rPr>
                <w:rFonts w:cs="Arial"/>
                <w:b/>
                <w:bCs/>
                <w:color w:val="auto"/>
                <w:sz w:val="18"/>
                <w:szCs w:val="18"/>
              </w:rPr>
            </w:pPr>
            <w:r w:rsidRPr="00CD1026">
              <w:rPr>
                <w:rFonts w:cs="Arial"/>
                <w:b/>
                <w:bCs/>
                <w:color w:val="auto"/>
                <w:sz w:val="18"/>
                <w:szCs w:val="18"/>
              </w:rPr>
              <w:t>NHCDC</w:t>
            </w:r>
          </w:p>
        </w:tc>
        <w:tc>
          <w:tcPr>
            <w:tcW w:w="7938" w:type="dxa"/>
          </w:tcPr>
          <w:p w14:paraId="35387467" w14:textId="77777777" w:rsidR="00724246" w:rsidRDefault="00724246" w:rsidP="00ED2732">
            <w:pPr>
              <w:spacing w:after="120"/>
              <w:rPr>
                <w:rFonts w:cs="Arial"/>
                <w:b/>
                <w:bCs/>
                <w:color w:val="auto"/>
                <w:sz w:val="18"/>
                <w:szCs w:val="18"/>
              </w:rPr>
            </w:pPr>
            <w:r w:rsidRPr="00CD1026">
              <w:rPr>
                <w:rFonts w:cs="Arial"/>
                <w:color w:val="auto"/>
                <w:sz w:val="18"/>
                <w:szCs w:val="18"/>
              </w:rPr>
              <w:t>National Hospital Cost Data Collection</w:t>
            </w:r>
          </w:p>
        </w:tc>
      </w:tr>
      <w:tr w:rsidR="00724246" w14:paraId="48768964" w14:textId="77777777" w:rsidTr="00ED2732">
        <w:tc>
          <w:tcPr>
            <w:tcW w:w="1560" w:type="dxa"/>
          </w:tcPr>
          <w:p w14:paraId="2824E5EE" w14:textId="77777777" w:rsidR="00724246" w:rsidRDefault="00724246" w:rsidP="00ED2732">
            <w:pPr>
              <w:spacing w:after="120"/>
              <w:rPr>
                <w:rFonts w:cs="Arial"/>
                <w:b/>
                <w:bCs/>
                <w:color w:val="auto"/>
                <w:sz w:val="18"/>
                <w:szCs w:val="18"/>
              </w:rPr>
            </w:pPr>
            <w:r w:rsidRPr="00CD1026">
              <w:rPr>
                <w:rFonts w:cs="Arial"/>
                <w:b/>
                <w:bCs/>
                <w:color w:val="auto"/>
                <w:sz w:val="18"/>
                <w:szCs w:val="18"/>
              </w:rPr>
              <w:t>NHRA</w:t>
            </w:r>
          </w:p>
        </w:tc>
        <w:tc>
          <w:tcPr>
            <w:tcW w:w="7938" w:type="dxa"/>
          </w:tcPr>
          <w:p w14:paraId="2A959B60" w14:textId="77777777" w:rsidR="00724246" w:rsidRDefault="00724246" w:rsidP="00ED2732">
            <w:pPr>
              <w:spacing w:after="120"/>
              <w:rPr>
                <w:rFonts w:cs="Arial"/>
                <w:b/>
                <w:bCs/>
                <w:color w:val="auto"/>
                <w:sz w:val="18"/>
                <w:szCs w:val="18"/>
              </w:rPr>
            </w:pPr>
            <w:r w:rsidRPr="00CD1026">
              <w:rPr>
                <w:rFonts w:cs="Arial"/>
                <w:color w:val="auto"/>
                <w:sz w:val="18"/>
                <w:szCs w:val="18"/>
              </w:rPr>
              <w:t>National Health Reform Agreement</w:t>
            </w:r>
            <w:r w:rsidRPr="00CD1026">
              <w:rPr>
                <w:rFonts w:cs="Arial"/>
                <w:b/>
                <w:bCs/>
                <w:color w:val="auto"/>
                <w:sz w:val="18"/>
                <w:szCs w:val="18"/>
              </w:rPr>
              <w:t xml:space="preserve"> </w:t>
            </w:r>
          </w:p>
        </w:tc>
      </w:tr>
      <w:tr w:rsidR="00724246" w14:paraId="333C37E4" w14:textId="77777777" w:rsidTr="00ED2732">
        <w:tc>
          <w:tcPr>
            <w:tcW w:w="1560" w:type="dxa"/>
          </w:tcPr>
          <w:p w14:paraId="0681A12A" w14:textId="77777777" w:rsidR="00724246" w:rsidRDefault="00724246" w:rsidP="00ED2732">
            <w:pPr>
              <w:spacing w:after="120"/>
              <w:rPr>
                <w:rFonts w:cs="Arial"/>
                <w:b/>
                <w:bCs/>
                <w:color w:val="auto"/>
                <w:sz w:val="18"/>
                <w:szCs w:val="18"/>
              </w:rPr>
            </w:pPr>
            <w:r w:rsidRPr="00CD1026">
              <w:rPr>
                <w:rFonts w:cs="Arial"/>
                <w:b/>
                <w:bCs/>
                <w:color w:val="auto"/>
                <w:sz w:val="18"/>
                <w:szCs w:val="18"/>
              </w:rPr>
              <w:t>NHR Act</w:t>
            </w:r>
          </w:p>
        </w:tc>
        <w:tc>
          <w:tcPr>
            <w:tcW w:w="7938" w:type="dxa"/>
          </w:tcPr>
          <w:p w14:paraId="361087F3" w14:textId="77777777" w:rsidR="00724246" w:rsidRDefault="00724246" w:rsidP="00ED2732">
            <w:pPr>
              <w:spacing w:after="120"/>
              <w:rPr>
                <w:rFonts w:cs="Arial"/>
                <w:b/>
                <w:bCs/>
                <w:color w:val="auto"/>
                <w:sz w:val="18"/>
                <w:szCs w:val="18"/>
              </w:rPr>
            </w:pPr>
            <w:r w:rsidRPr="00CD1026">
              <w:rPr>
                <w:rFonts w:cs="Arial"/>
                <w:i/>
                <w:iCs/>
                <w:color w:val="auto"/>
                <w:sz w:val="18"/>
                <w:szCs w:val="18"/>
              </w:rPr>
              <w:t>National Health Reform Act 2011</w:t>
            </w:r>
          </w:p>
        </w:tc>
      </w:tr>
      <w:tr w:rsidR="00724246" w14:paraId="4EDA36C8" w14:textId="77777777" w:rsidTr="00ED2732">
        <w:tc>
          <w:tcPr>
            <w:tcW w:w="1560" w:type="dxa"/>
          </w:tcPr>
          <w:p w14:paraId="2838EBAA" w14:textId="77777777" w:rsidR="00724246" w:rsidRDefault="00724246" w:rsidP="00ED2732">
            <w:pPr>
              <w:spacing w:after="120"/>
              <w:rPr>
                <w:rFonts w:cs="Arial"/>
                <w:b/>
                <w:bCs/>
                <w:color w:val="auto"/>
                <w:sz w:val="18"/>
                <w:szCs w:val="18"/>
              </w:rPr>
            </w:pPr>
            <w:r w:rsidRPr="00CD1026">
              <w:rPr>
                <w:rFonts w:cs="Arial"/>
                <w:b/>
                <w:bCs/>
                <w:color w:val="auto"/>
                <w:sz w:val="18"/>
                <w:szCs w:val="18"/>
              </w:rPr>
              <w:t>PGPA</w:t>
            </w:r>
            <w:r>
              <w:rPr>
                <w:rFonts w:cs="Arial"/>
                <w:b/>
                <w:bCs/>
                <w:color w:val="auto"/>
                <w:sz w:val="18"/>
                <w:szCs w:val="18"/>
              </w:rPr>
              <w:t xml:space="preserve"> Act</w:t>
            </w:r>
          </w:p>
          <w:p w14:paraId="2AB59753" w14:textId="77777777" w:rsidR="00724246" w:rsidRDefault="00724246" w:rsidP="00ED2732">
            <w:pPr>
              <w:spacing w:after="120"/>
              <w:rPr>
                <w:rFonts w:cs="Arial"/>
                <w:b/>
                <w:bCs/>
                <w:color w:val="auto"/>
                <w:sz w:val="18"/>
                <w:szCs w:val="18"/>
              </w:rPr>
            </w:pPr>
            <w:r>
              <w:rPr>
                <w:rFonts w:cs="Arial"/>
                <w:b/>
                <w:bCs/>
                <w:color w:val="auto"/>
                <w:sz w:val="18"/>
                <w:szCs w:val="18"/>
              </w:rPr>
              <w:t>PSS</w:t>
            </w:r>
          </w:p>
        </w:tc>
        <w:tc>
          <w:tcPr>
            <w:tcW w:w="7938" w:type="dxa"/>
          </w:tcPr>
          <w:p w14:paraId="137B1855" w14:textId="77777777" w:rsidR="00724246" w:rsidRPr="009A55CE" w:rsidRDefault="00724246" w:rsidP="00ED2732">
            <w:pPr>
              <w:spacing w:after="120"/>
              <w:rPr>
                <w:rFonts w:cs="Arial"/>
                <w:i/>
                <w:iCs/>
                <w:sz w:val="18"/>
                <w:szCs w:val="18"/>
              </w:rPr>
            </w:pPr>
            <w:r w:rsidRPr="009A55CE">
              <w:rPr>
                <w:rFonts w:cs="Arial"/>
                <w:i/>
                <w:iCs/>
                <w:sz w:val="18"/>
                <w:szCs w:val="18"/>
              </w:rPr>
              <w:t>Public Governance, Performance and Accountability Act 2013</w:t>
            </w:r>
          </w:p>
          <w:p w14:paraId="74612BCC" w14:textId="77777777" w:rsidR="00724246" w:rsidRPr="009A55CE" w:rsidRDefault="00724246" w:rsidP="00ED2732">
            <w:pPr>
              <w:spacing w:after="120"/>
              <w:rPr>
                <w:rFonts w:cs="Arial"/>
                <w:sz w:val="18"/>
                <w:szCs w:val="18"/>
              </w:rPr>
            </w:pPr>
            <w:r w:rsidRPr="009A55CE">
              <w:rPr>
                <w:rFonts w:cs="Arial"/>
                <w:sz w:val="18"/>
                <w:szCs w:val="18"/>
              </w:rPr>
              <w:t xml:space="preserve">Public Sector Superannuation Scheme </w:t>
            </w:r>
          </w:p>
        </w:tc>
      </w:tr>
      <w:tr w:rsidR="00724246" w14:paraId="2CA990F7" w14:textId="77777777" w:rsidTr="00ED2732">
        <w:tc>
          <w:tcPr>
            <w:tcW w:w="1560" w:type="dxa"/>
          </w:tcPr>
          <w:p w14:paraId="2474724C" w14:textId="77777777" w:rsidR="00724246" w:rsidRDefault="00724246" w:rsidP="00ED2732">
            <w:pPr>
              <w:spacing w:after="120"/>
              <w:rPr>
                <w:rFonts w:cs="Arial"/>
                <w:b/>
                <w:bCs/>
                <w:color w:val="auto"/>
                <w:sz w:val="18"/>
                <w:szCs w:val="18"/>
              </w:rPr>
            </w:pPr>
            <w:r w:rsidRPr="00CD1026">
              <w:rPr>
                <w:rFonts w:cs="Arial"/>
                <w:b/>
                <w:bCs/>
                <w:color w:val="auto"/>
                <w:sz w:val="18"/>
                <w:szCs w:val="18"/>
              </w:rPr>
              <w:t>RAD</w:t>
            </w:r>
          </w:p>
        </w:tc>
        <w:tc>
          <w:tcPr>
            <w:tcW w:w="7938" w:type="dxa"/>
          </w:tcPr>
          <w:p w14:paraId="225186B5" w14:textId="77777777" w:rsidR="00724246" w:rsidRPr="009A55CE" w:rsidRDefault="00724246" w:rsidP="00ED2732">
            <w:pPr>
              <w:spacing w:after="120"/>
              <w:rPr>
                <w:rFonts w:cs="Arial"/>
                <w:b/>
                <w:bCs/>
                <w:sz w:val="18"/>
                <w:szCs w:val="18"/>
              </w:rPr>
            </w:pPr>
            <w:r w:rsidRPr="009A55CE">
              <w:rPr>
                <w:rFonts w:cs="Arial"/>
                <w:sz w:val="18"/>
                <w:szCs w:val="18"/>
              </w:rPr>
              <w:t>Refundable accommodation deposit</w:t>
            </w:r>
          </w:p>
        </w:tc>
      </w:tr>
      <w:tr w:rsidR="00724246" w14:paraId="6853FE32" w14:textId="77777777" w:rsidTr="00ED2732">
        <w:tc>
          <w:tcPr>
            <w:tcW w:w="1560" w:type="dxa"/>
          </w:tcPr>
          <w:p w14:paraId="002B2AF4" w14:textId="77777777" w:rsidR="00724246" w:rsidRDefault="00724246" w:rsidP="00ED2732">
            <w:pPr>
              <w:spacing w:after="120"/>
              <w:rPr>
                <w:rFonts w:cs="Arial"/>
                <w:color w:val="auto"/>
                <w:sz w:val="18"/>
                <w:szCs w:val="18"/>
              </w:rPr>
            </w:pPr>
            <w:r w:rsidRPr="00CD1026">
              <w:rPr>
                <w:rFonts w:cs="Arial"/>
                <w:b/>
                <w:bCs/>
                <w:color w:val="auto"/>
                <w:sz w:val="18"/>
                <w:szCs w:val="18"/>
              </w:rPr>
              <w:t>Tier 2</w:t>
            </w:r>
            <w:r w:rsidRPr="00CD1026">
              <w:rPr>
                <w:rFonts w:cs="Arial"/>
                <w:color w:val="auto"/>
                <w:sz w:val="18"/>
                <w:szCs w:val="18"/>
              </w:rPr>
              <w:t xml:space="preserve"> </w:t>
            </w:r>
          </w:p>
          <w:p w14:paraId="131B703E" w14:textId="77777777" w:rsidR="00724246" w:rsidRDefault="00724246" w:rsidP="00ED2732">
            <w:pPr>
              <w:spacing w:after="120"/>
              <w:rPr>
                <w:rFonts w:cs="Arial"/>
                <w:b/>
                <w:bCs/>
                <w:color w:val="auto"/>
                <w:sz w:val="18"/>
                <w:szCs w:val="18"/>
              </w:rPr>
            </w:pPr>
            <w:r>
              <w:rPr>
                <w:rFonts w:cs="Arial"/>
                <w:b/>
                <w:bCs/>
                <w:color w:val="auto"/>
                <w:sz w:val="18"/>
                <w:szCs w:val="18"/>
              </w:rPr>
              <w:t>WHS Act</w:t>
            </w:r>
          </w:p>
        </w:tc>
        <w:tc>
          <w:tcPr>
            <w:tcW w:w="7938" w:type="dxa"/>
          </w:tcPr>
          <w:p w14:paraId="1EADA456" w14:textId="77777777" w:rsidR="00724246" w:rsidRPr="009A55CE" w:rsidRDefault="00724246" w:rsidP="00ED2732">
            <w:pPr>
              <w:spacing w:after="120"/>
              <w:rPr>
                <w:rFonts w:cs="Arial"/>
                <w:sz w:val="18"/>
                <w:szCs w:val="18"/>
              </w:rPr>
            </w:pPr>
            <w:r w:rsidRPr="009A55CE">
              <w:rPr>
                <w:rFonts w:cs="Arial"/>
                <w:sz w:val="18"/>
                <w:szCs w:val="18"/>
              </w:rPr>
              <w:t>Tier 2 Non-Admitted Services Classification</w:t>
            </w:r>
          </w:p>
          <w:p w14:paraId="068646BA" w14:textId="77777777" w:rsidR="00724246" w:rsidRPr="009A55CE" w:rsidRDefault="00724246" w:rsidP="00ED2732">
            <w:pPr>
              <w:spacing w:after="120"/>
              <w:rPr>
                <w:rFonts w:cs="Arial"/>
                <w:i/>
                <w:iCs/>
                <w:sz w:val="18"/>
                <w:szCs w:val="18"/>
              </w:rPr>
            </w:pPr>
            <w:r w:rsidRPr="009A55CE">
              <w:rPr>
                <w:rFonts w:cs="Arial"/>
                <w:i/>
                <w:iCs/>
                <w:sz w:val="18"/>
                <w:szCs w:val="18"/>
              </w:rPr>
              <w:t>Work Health and Safety Act 2011</w:t>
            </w:r>
          </w:p>
        </w:tc>
      </w:tr>
    </w:tbl>
    <w:p w14:paraId="794BBFF1" w14:textId="77777777" w:rsidR="00724246" w:rsidRDefault="00724246" w:rsidP="00724246"/>
    <w:p w14:paraId="6A0F8373" w14:textId="77777777" w:rsidR="00724246" w:rsidRDefault="00724246" w:rsidP="00724246">
      <w:pPr>
        <w:pStyle w:val="Heading1"/>
      </w:pPr>
      <w:bookmarkStart w:id="1048" w:name="_Toc233022349"/>
      <w:bookmarkStart w:id="1049" w:name="_Toc233023110"/>
      <w:bookmarkStart w:id="1050" w:name="_Toc233023438"/>
      <w:bookmarkStart w:id="1051" w:name="_Toc233028761"/>
      <w:bookmarkStart w:id="1052" w:name="_Toc233028938"/>
    </w:p>
    <w:p w14:paraId="7032B934" w14:textId="77777777" w:rsidR="00724246" w:rsidRDefault="00724246" w:rsidP="00724246"/>
    <w:p w14:paraId="64F7E557" w14:textId="77777777" w:rsidR="00724246" w:rsidRDefault="00724246" w:rsidP="00724246"/>
    <w:p w14:paraId="152638B6" w14:textId="77777777" w:rsidR="00724246" w:rsidRDefault="00724246" w:rsidP="00724246"/>
    <w:p w14:paraId="765A6C7D" w14:textId="77777777" w:rsidR="00724246" w:rsidRDefault="00724246" w:rsidP="00724246"/>
    <w:p w14:paraId="0600F777" w14:textId="77777777" w:rsidR="00724246" w:rsidRDefault="00724246" w:rsidP="00724246"/>
    <w:p w14:paraId="6E22540A" w14:textId="77777777" w:rsidR="00724246" w:rsidRDefault="00724246" w:rsidP="00724246"/>
    <w:p w14:paraId="35FEEC3C" w14:textId="77777777" w:rsidR="00724246" w:rsidRDefault="00724246" w:rsidP="00724246"/>
    <w:p w14:paraId="0FB98328" w14:textId="77777777" w:rsidR="00724246" w:rsidRDefault="00724246" w:rsidP="00724246"/>
    <w:p w14:paraId="5AE94256" w14:textId="77777777" w:rsidR="00724246" w:rsidRDefault="00724246" w:rsidP="00724246"/>
    <w:p w14:paraId="41A2CEE9" w14:textId="77777777" w:rsidR="00724246" w:rsidRDefault="00724246" w:rsidP="00724246"/>
    <w:p w14:paraId="1DE8892D" w14:textId="77777777" w:rsidR="00724246" w:rsidRDefault="00724246" w:rsidP="00724246"/>
    <w:p w14:paraId="7CE35697" w14:textId="77777777" w:rsidR="00724246" w:rsidRDefault="00724246" w:rsidP="00724246"/>
    <w:p w14:paraId="387DD77E" w14:textId="77777777" w:rsidR="00724246" w:rsidRDefault="00724246" w:rsidP="00724246"/>
    <w:p w14:paraId="4EC0C155" w14:textId="77777777" w:rsidR="00724246" w:rsidRPr="0050567B" w:rsidRDefault="00724246" w:rsidP="00724246"/>
    <w:p w14:paraId="53C5BB6F" w14:textId="77777777" w:rsidR="00724246" w:rsidRDefault="00724246" w:rsidP="00724246">
      <w:pPr>
        <w:pStyle w:val="Heading1"/>
      </w:pPr>
      <w:bookmarkStart w:id="1053" w:name="_Toc235787517"/>
      <w:bookmarkStart w:id="1054" w:name="_Toc235791655"/>
      <w:bookmarkStart w:id="1055" w:name="_Toc237872758"/>
      <w:r>
        <w:lastRenderedPageBreak/>
        <w:t>Appendix C – Workforce statistics 2025–26</w:t>
      </w:r>
      <w:bookmarkEnd w:id="1048"/>
      <w:bookmarkEnd w:id="1049"/>
      <w:bookmarkEnd w:id="1050"/>
      <w:bookmarkEnd w:id="1051"/>
      <w:bookmarkEnd w:id="1052"/>
      <w:bookmarkEnd w:id="1053"/>
      <w:bookmarkEnd w:id="1054"/>
      <w:bookmarkEnd w:id="1055"/>
      <w:r>
        <w:t xml:space="preserve"> </w:t>
      </w:r>
    </w:p>
    <w:p w14:paraId="63B47E31" w14:textId="77777777" w:rsidR="00724246" w:rsidRDefault="00724246" w:rsidP="00724246">
      <w:pPr>
        <w:pStyle w:val="Heading2"/>
      </w:pPr>
      <w:bookmarkStart w:id="1056" w:name="_Toc233021857"/>
      <w:bookmarkStart w:id="1057" w:name="_Toc233022350"/>
      <w:bookmarkStart w:id="1058" w:name="_Toc233023111"/>
      <w:bookmarkStart w:id="1059" w:name="_Toc233023439"/>
      <w:bookmarkStart w:id="1060" w:name="_Toc233028762"/>
      <w:bookmarkStart w:id="1061" w:name="_Toc233028939"/>
      <w:bookmarkStart w:id="1062" w:name="_Toc235787518"/>
      <w:bookmarkStart w:id="1063" w:name="_Toc235791656"/>
      <w:bookmarkStart w:id="1064" w:name="_Toc237872759"/>
      <w:r>
        <w:t>Ongoing and non-ongoing employees</w:t>
      </w:r>
      <w:bookmarkEnd w:id="1056"/>
      <w:bookmarkEnd w:id="1057"/>
      <w:bookmarkEnd w:id="1058"/>
      <w:bookmarkEnd w:id="1059"/>
      <w:bookmarkEnd w:id="1060"/>
      <w:bookmarkEnd w:id="1061"/>
      <w:bookmarkEnd w:id="1062"/>
      <w:bookmarkEnd w:id="1063"/>
      <w:bookmarkEnd w:id="1064"/>
      <w:r>
        <w:t xml:space="preserve"> </w:t>
      </w:r>
    </w:p>
    <w:p w14:paraId="1E5A1B15" w14:textId="77777777" w:rsidR="00724246" w:rsidRPr="0088242B" w:rsidRDefault="00724246" w:rsidP="00724246">
      <w:pPr>
        <w:rPr>
          <w:rFonts w:eastAsia="Arial" w:cs="Arial"/>
        </w:rPr>
      </w:pPr>
      <w:r w:rsidRPr="0088242B">
        <w:rPr>
          <w:rFonts w:eastAsia="Arial" w:cs="Arial"/>
        </w:rPr>
        <w:t xml:space="preserve">With the exception of the IHACPA CEO, our staff are seconded from the department under a memorandum of understanding between the Pricing Authority and the department. The department reports on our staff in its workforce statistics tables. </w:t>
      </w:r>
      <w:r>
        <w:rPr>
          <w:rFonts w:eastAsia="Arial" w:cs="Arial"/>
        </w:rPr>
        <w:t>F</w:t>
      </w:r>
      <w:r w:rsidRPr="0088242B">
        <w:rPr>
          <w:rFonts w:eastAsia="Arial" w:cs="Arial"/>
        </w:rPr>
        <w:t xml:space="preserve">or transparency, we </w:t>
      </w:r>
      <w:r>
        <w:rPr>
          <w:rFonts w:eastAsia="Arial" w:cs="Arial"/>
        </w:rPr>
        <w:t xml:space="preserve">also </w:t>
      </w:r>
      <w:r w:rsidRPr="0088242B">
        <w:rPr>
          <w:rFonts w:eastAsia="Arial" w:cs="Arial"/>
        </w:rPr>
        <w:t xml:space="preserve">provide the following staffing tables for staff working with us </w:t>
      </w:r>
      <w:r>
        <w:rPr>
          <w:rFonts w:eastAsia="Arial" w:cs="Arial"/>
        </w:rPr>
        <w:t>under</w:t>
      </w:r>
      <w:r w:rsidRPr="0088242B">
        <w:rPr>
          <w:rFonts w:eastAsia="Arial" w:cs="Arial"/>
        </w:rPr>
        <w:t xml:space="preserve"> the direction of our CEO.</w:t>
      </w:r>
    </w:p>
    <w:p w14:paraId="4C31FC47" w14:textId="77777777" w:rsidR="00724246" w:rsidRDefault="00724246" w:rsidP="00EB0D85">
      <w:pPr>
        <w:pStyle w:val="TableFigureheading"/>
        <w:rPr>
          <w:color w:val="15272F" w:themeColor="text1"/>
        </w:rPr>
        <w:sectPr w:rsidR="00724246" w:rsidSect="00702F18">
          <w:pgSz w:w="11906" w:h="16838"/>
          <w:pgMar w:top="1440" w:right="1077" w:bottom="1440" w:left="1077" w:header="708" w:footer="708" w:gutter="0"/>
          <w:cols w:space="708"/>
          <w:docGrid w:linePitch="360"/>
        </w:sectPr>
      </w:pPr>
    </w:p>
    <w:p w14:paraId="5F053610" w14:textId="75B50A6E" w:rsidR="00EB0D85" w:rsidRPr="00724246" w:rsidRDefault="00724246" w:rsidP="00EB0D85">
      <w:pPr>
        <w:pStyle w:val="TableFigureheading"/>
        <w:rPr>
          <w:b/>
          <w:bCs/>
          <w:color w:val="15272F" w:themeColor="text1"/>
        </w:rPr>
      </w:pPr>
      <w:r w:rsidRPr="00724246">
        <w:rPr>
          <w:b/>
          <w:bCs/>
          <w:color w:val="15272F" w:themeColor="text1"/>
        </w:rPr>
        <w:lastRenderedPageBreak/>
        <w:t>Table 15</w:t>
      </w:r>
      <w:r>
        <w:rPr>
          <w:b/>
          <w:bCs/>
          <w:color w:val="15272F" w:themeColor="text1"/>
        </w:rPr>
        <w:t>:</w:t>
      </w:r>
      <w:r w:rsidRPr="00724246">
        <w:rPr>
          <w:b/>
          <w:bCs/>
          <w:color w:val="15272F" w:themeColor="text1"/>
        </w:rPr>
        <w:t xml:space="preserve"> Ongoing seconded employees at 30 June 2026. </w:t>
      </w:r>
    </w:p>
    <w:tbl>
      <w:tblPr>
        <w:tblStyle w:val="IHACPATable"/>
        <w:tblW w:w="14707" w:type="dxa"/>
        <w:tblLayout w:type="fixed"/>
        <w:tblLook w:val="04A0" w:firstRow="1" w:lastRow="0" w:firstColumn="1" w:lastColumn="0" w:noHBand="0" w:noVBand="1"/>
      </w:tblPr>
      <w:tblGrid>
        <w:gridCol w:w="1410"/>
        <w:gridCol w:w="707"/>
        <w:gridCol w:w="828"/>
        <w:gridCol w:w="848"/>
        <w:gridCol w:w="848"/>
        <w:gridCol w:w="848"/>
        <w:gridCol w:w="849"/>
        <w:gridCol w:w="848"/>
        <w:gridCol w:w="848"/>
        <w:gridCol w:w="849"/>
        <w:gridCol w:w="848"/>
        <w:gridCol w:w="848"/>
        <w:gridCol w:w="849"/>
        <w:gridCol w:w="848"/>
        <w:gridCol w:w="848"/>
        <w:gridCol w:w="849"/>
        <w:gridCol w:w="734"/>
      </w:tblGrid>
      <w:tr w:rsidR="00724246" w:rsidRPr="0008522A" w14:paraId="02A9BF28" w14:textId="77777777" w:rsidTr="00ED2732">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410" w:type="dxa"/>
            <w:noWrap/>
            <w:hideMark/>
          </w:tcPr>
          <w:p w14:paraId="422F87DB" w14:textId="77777777" w:rsidR="00724246" w:rsidRPr="005C1BF6" w:rsidRDefault="00724246" w:rsidP="00ED2732">
            <w:pPr>
              <w:suppressAutoHyphens/>
              <w:spacing w:before="120" w:after="120"/>
              <w:rPr>
                <w:rFonts w:eastAsia="Times New Roman" w:cs="Arial"/>
                <w:color w:val="auto"/>
                <w:sz w:val="18"/>
                <w:szCs w:val="18"/>
                <w:lang w:eastAsia="en-AU"/>
              </w:rPr>
            </w:pPr>
            <w:bookmarkStart w:id="1065" w:name="_Hlk132717974"/>
          </w:p>
        </w:tc>
        <w:tc>
          <w:tcPr>
            <w:tcW w:w="2383" w:type="dxa"/>
            <w:gridSpan w:val="3"/>
            <w:noWrap/>
            <w:hideMark/>
          </w:tcPr>
          <w:p w14:paraId="347BB9B2"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Man/Male</w:t>
            </w:r>
          </w:p>
        </w:tc>
        <w:tc>
          <w:tcPr>
            <w:tcW w:w="2545" w:type="dxa"/>
            <w:gridSpan w:val="3"/>
            <w:noWrap/>
            <w:hideMark/>
          </w:tcPr>
          <w:p w14:paraId="098FB30A"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Woman/Female</w:t>
            </w:r>
          </w:p>
        </w:tc>
        <w:tc>
          <w:tcPr>
            <w:tcW w:w="2545" w:type="dxa"/>
            <w:gridSpan w:val="3"/>
            <w:noWrap/>
            <w:hideMark/>
          </w:tcPr>
          <w:p w14:paraId="68D44426"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Non-binary</w:t>
            </w:r>
          </w:p>
        </w:tc>
        <w:tc>
          <w:tcPr>
            <w:tcW w:w="2545" w:type="dxa"/>
            <w:gridSpan w:val="3"/>
          </w:tcPr>
          <w:p w14:paraId="32474484"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Prefers not to answer</w:t>
            </w:r>
          </w:p>
        </w:tc>
        <w:tc>
          <w:tcPr>
            <w:tcW w:w="2545" w:type="dxa"/>
            <w:gridSpan w:val="3"/>
          </w:tcPr>
          <w:p w14:paraId="731C4634"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Uses a different term</w:t>
            </w:r>
          </w:p>
        </w:tc>
        <w:tc>
          <w:tcPr>
            <w:tcW w:w="734" w:type="dxa"/>
          </w:tcPr>
          <w:p w14:paraId="1EBE3952" w14:textId="77777777" w:rsidR="00724246" w:rsidRPr="005C1BF6" w:rsidRDefault="00724246" w:rsidP="00ED2732">
            <w:pPr>
              <w:suppressAutoHyphens/>
              <w:spacing w:before="120" w:after="120"/>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p>
        </w:tc>
      </w:tr>
      <w:tr w:rsidR="00724246" w:rsidRPr="00466D9C" w14:paraId="5E418178" w14:textId="77777777" w:rsidTr="00724246">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1410" w:type="dxa"/>
            <w:shd w:val="clear" w:color="auto" w:fill="DFEBF1" w:themeFill="text1" w:themeFillTint="1A"/>
            <w:noWrap/>
          </w:tcPr>
          <w:p w14:paraId="45171622" w14:textId="77777777" w:rsidR="00724246" w:rsidRPr="005C1BF6" w:rsidRDefault="00724246" w:rsidP="00ED2732">
            <w:pPr>
              <w:suppressAutoHyphens/>
              <w:spacing w:before="120" w:after="120"/>
              <w:rPr>
                <w:rFonts w:eastAsia="Times New Roman" w:cs="Arial"/>
                <w:color w:val="104F99" w:themeColor="accent2"/>
                <w:sz w:val="18"/>
                <w:szCs w:val="18"/>
                <w:lang w:eastAsia="en-AU"/>
              </w:rPr>
            </w:pPr>
          </w:p>
        </w:tc>
        <w:tc>
          <w:tcPr>
            <w:tcW w:w="707" w:type="dxa"/>
            <w:shd w:val="clear" w:color="auto" w:fill="DFEBF1" w:themeFill="text1" w:themeFillTint="1A"/>
            <w:noWrap/>
            <w:hideMark/>
          </w:tcPr>
          <w:p w14:paraId="21B8DD77"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28" w:type="dxa"/>
            <w:shd w:val="clear" w:color="auto" w:fill="DFEBF1" w:themeFill="text1" w:themeFillTint="1A"/>
            <w:noWrap/>
            <w:hideMark/>
          </w:tcPr>
          <w:p w14:paraId="4C14D0CF"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48" w:type="dxa"/>
            <w:shd w:val="clear" w:color="auto" w:fill="DFEBF1" w:themeFill="text1" w:themeFillTint="1A"/>
            <w:noWrap/>
            <w:hideMark/>
          </w:tcPr>
          <w:p w14:paraId="559B5FFA"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48" w:type="dxa"/>
            <w:shd w:val="clear" w:color="auto" w:fill="DFEBF1" w:themeFill="text1" w:themeFillTint="1A"/>
            <w:noWrap/>
            <w:hideMark/>
          </w:tcPr>
          <w:p w14:paraId="44BDDE4D"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48" w:type="dxa"/>
            <w:shd w:val="clear" w:color="auto" w:fill="DFEBF1" w:themeFill="text1" w:themeFillTint="1A"/>
            <w:noWrap/>
            <w:hideMark/>
          </w:tcPr>
          <w:p w14:paraId="4305F9B4"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49" w:type="dxa"/>
            <w:shd w:val="clear" w:color="auto" w:fill="DFEBF1" w:themeFill="text1" w:themeFillTint="1A"/>
            <w:noWrap/>
            <w:hideMark/>
          </w:tcPr>
          <w:p w14:paraId="57493E0A"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48" w:type="dxa"/>
            <w:shd w:val="clear" w:color="auto" w:fill="DFEBF1" w:themeFill="text1" w:themeFillTint="1A"/>
            <w:noWrap/>
            <w:hideMark/>
          </w:tcPr>
          <w:p w14:paraId="2FDDE2B2"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48" w:type="dxa"/>
            <w:shd w:val="clear" w:color="auto" w:fill="DFEBF1" w:themeFill="text1" w:themeFillTint="1A"/>
            <w:noWrap/>
            <w:hideMark/>
          </w:tcPr>
          <w:p w14:paraId="6E4E9111"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49" w:type="dxa"/>
            <w:shd w:val="clear" w:color="auto" w:fill="DFEBF1" w:themeFill="text1" w:themeFillTint="1A"/>
            <w:hideMark/>
          </w:tcPr>
          <w:p w14:paraId="5720212D"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48" w:type="dxa"/>
            <w:shd w:val="clear" w:color="auto" w:fill="DFEBF1" w:themeFill="text1" w:themeFillTint="1A"/>
          </w:tcPr>
          <w:p w14:paraId="06A599B0"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48" w:type="dxa"/>
            <w:shd w:val="clear" w:color="auto" w:fill="DFEBF1" w:themeFill="text1" w:themeFillTint="1A"/>
          </w:tcPr>
          <w:p w14:paraId="1A059C5A"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49" w:type="dxa"/>
            <w:shd w:val="clear" w:color="auto" w:fill="DFEBF1" w:themeFill="text1" w:themeFillTint="1A"/>
          </w:tcPr>
          <w:p w14:paraId="644BF100"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48" w:type="dxa"/>
            <w:shd w:val="clear" w:color="auto" w:fill="DFEBF1" w:themeFill="text1" w:themeFillTint="1A"/>
          </w:tcPr>
          <w:p w14:paraId="506971B4"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48" w:type="dxa"/>
            <w:shd w:val="clear" w:color="auto" w:fill="DFEBF1" w:themeFill="text1" w:themeFillTint="1A"/>
          </w:tcPr>
          <w:p w14:paraId="783BE506"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49" w:type="dxa"/>
            <w:shd w:val="clear" w:color="auto" w:fill="DFEBF1" w:themeFill="text1" w:themeFillTint="1A"/>
          </w:tcPr>
          <w:p w14:paraId="2CCE00D5"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734" w:type="dxa"/>
            <w:shd w:val="clear" w:color="auto" w:fill="DFEBF1" w:themeFill="text1" w:themeFillTint="1A"/>
          </w:tcPr>
          <w:p w14:paraId="7602A359"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Total</w:t>
            </w:r>
          </w:p>
        </w:tc>
      </w:tr>
      <w:tr w:rsidR="00724246" w:rsidRPr="00466D9C" w14:paraId="5741D753" w14:textId="77777777" w:rsidTr="00724246">
        <w:trPr>
          <w:cnfStyle w:val="000000010000" w:firstRow="0" w:lastRow="0" w:firstColumn="0" w:lastColumn="0" w:oddVBand="0" w:evenVBand="0" w:oddHBand="0" w:evenHBand="1"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10" w:type="dxa"/>
            <w:hideMark/>
          </w:tcPr>
          <w:p w14:paraId="1210C76A"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NSW</w:t>
            </w:r>
          </w:p>
        </w:tc>
        <w:tc>
          <w:tcPr>
            <w:tcW w:w="707" w:type="dxa"/>
            <w:noWrap/>
          </w:tcPr>
          <w:p w14:paraId="28BEF9C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34</w:t>
            </w:r>
          </w:p>
        </w:tc>
        <w:tc>
          <w:tcPr>
            <w:tcW w:w="828" w:type="dxa"/>
            <w:noWrap/>
            <w:hideMark/>
          </w:tcPr>
          <w:p w14:paraId="41816A6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w:t>
            </w:r>
          </w:p>
        </w:tc>
        <w:tc>
          <w:tcPr>
            <w:tcW w:w="848" w:type="dxa"/>
            <w:noWrap/>
            <w:hideMark/>
          </w:tcPr>
          <w:p w14:paraId="1CDC288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35</w:t>
            </w:r>
          </w:p>
        </w:tc>
        <w:tc>
          <w:tcPr>
            <w:tcW w:w="848" w:type="dxa"/>
            <w:noWrap/>
            <w:hideMark/>
          </w:tcPr>
          <w:p w14:paraId="450C33A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93</w:t>
            </w:r>
          </w:p>
        </w:tc>
        <w:tc>
          <w:tcPr>
            <w:tcW w:w="848" w:type="dxa"/>
            <w:noWrap/>
            <w:hideMark/>
          </w:tcPr>
          <w:p w14:paraId="0025D79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10</w:t>
            </w:r>
          </w:p>
        </w:tc>
        <w:tc>
          <w:tcPr>
            <w:tcW w:w="849" w:type="dxa"/>
            <w:noWrap/>
            <w:hideMark/>
          </w:tcPr>
          <w:p w14:paraId="46CBD05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103</w:t>
            </w:r>
          </w:p>
        </w:tc>
        <w:tc>
          <w:tcPr>
            <w:tcW w:w="848" w:type="dxa"/>
            <w:noWrap/>
            <w:hideMark/>
          </w:tcPr>
          <w:p w14:paraId="140433F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48" w:type="dxa"/>
            <w:noWrap/>
            <w:hideMark/>
          </w:tcPr>
          <w:p w14:paraId="004B0A0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49" w:type="dxa"/>
            <w:noWrap/>
            <w:hideMark/>
          </w:tcPr>
          <w:p w14:paraId="59CBE92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48" w:type="dxa"/>
          </w:tcPr>
          <w:p w14:paraId="7EBC9C1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48" w:type="dxa"/>
          </w:tcPr>
          <w:p w14:paraId="24BD108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49" w:type="dxa"/>
          </w:tcPr>
          <w:p w14:paraId="04309DC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48" w:type="dxa"/>
          </w:tcPr>
          <w:p w14:paraId="5822C49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48" w:type="dxa"/>
          </w:tcPr>
          <w:p w14:paraId="48DCF67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49" w:type="dxa"/>
          </w:tcPr>
          <w:p w14:paraId="5FE8787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734" w:type="dxa"/>
          </w:tcPr>
          <w:p w14:paraId="746163E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138</w:t>
            </w:r>
          </w:p>
        </w:tc>
      </w:tr>
      <w:tr w:rsidR="00724246" w:rsidRPr="00466D9C" w14:paraId="18014D8D" w14:textId="77777777" w:rsidTr="0072424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10" w:type="dxa"/>
            <w:hideMark/>
          </w:tcPr>
          <w:p w14:paraId="13EE7FAB"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Qld</w:t>
            </w:r>
          </w:p>
        </w:tc>
        <w:tc>
          <w:tcPr>
            <w:tcW w:w="707" w:type="dxa"/>
            <w:noWrap/>
          </w:tcPr>
          <w:p w14:paraId="3FA487E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28" w:type="dxa"/>
            <w:noWrap/>
            <w:hideMark/>
          </w:tcPr>
          <w:p w14:paraId="25FE9F6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noWrap/>
            <w:hideMark/>
          </w:tcPr>
          <w:p w14:paraId="34352CB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noWrap/>
            <w:hideMark/>
          </w:tcPr>
          <w:p w14:paraId="7702736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noWrap/>
            <w:hideMark/>
          </w:tcPr>
          <w:p w14:paraId="341306D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noWrap/>
            <w:hideMark/>
          </w:tcPr>
          <w:p w14:paraId="58FA7C3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noWrap/>
            <w:hideMark/>
          </w:tcPr>
          <w:p w14:paraId="1C7B109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noWrap/>
            <w:hideMark/>
          </w:tcPr>
          <w:p w14:paraId="3838FBF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noWrap/>
            <w:hideMark/>
          </w:tcPr>
          <w:p w14:paraId="7D276E5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6CC145F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4DA500E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4E20430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46B77A3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07D79B2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756893A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4" w:type="dxa"/>
          </w:tcPr>
          <w:p w14:paraId="47F4DE4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r>
      <w:tr w:rsidR="00724246" w:rsidRPr="00466D9C" w14:paraId="7653BB17" w14:textId="77777777" w:rsidTr="00724246">
        <w:trPr>
          <w:cnfStyle w:val="000000010000" w:firstRow="0" w:lastRow="0" w:firstColumn="0" w:lastColumn="0" w:oddVBand="0" w:evenVBand="0" w:oddHBand="0" w:evenHBand="1"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10" w:type="dxa"/>
            <w:hideMark/>
          </w:tcPr>
          <w:p w14:paraId="0508CD54"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SA</w:t>
            </w:r>
          </w:p>
        </w:tc>
        <w:tc>
          <w:tcPr>
            <w:tcW w:w="707" w:type="dxa"/>
            <w:noWrap/>
            <w:hideMark/>
          </w:tcPr>
          <w:p w14:paraId="3DB9BE5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28" w:type="dxa"/>
            <w:noWrap/>
            <w:hideMark/>
          </w:tcPr>
          <w:p w14:paraId="19C823F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2E18871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7E030DF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563C893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6B67CE0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0857C95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2AD416E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257F5EE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tcPr>
          <w:p w14:paraId="2268AC9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24B2138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5EA48A8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6963E88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38DCBB2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0704391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4" w:type="dxa"/>
          </w:tcPr>
          <w:p w14:paraId="480EAEC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2AB4B65C" w14:textId="77777777" w:rsidTr="0072424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10" w:type="dxa"/>
            <w:hideMark/>
          </w:tcPr>
          <w:p w14:paraId="053D6768"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Tas</w:t>
            </w:r>
          </w:p>
        </w:tc>
        <w:tc>
          <w:tcPr>
            <w:tcW w:w="707" w:type="dxa"/>
            <w:noWrap/>
            <w:hideMark/>
          </w:tcPr>
          <w:p w14:paraId="1FB4B29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28" w:type="dxa"/>
            <w:noWrap/>
            <w:hideMark/>
          </w:tcPr>
          <w:p w14:paraId="7234DC7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70FBB51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035F6C8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7ED2646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6862D7E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3302798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00FD5FD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1352007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tcPr>
          <w:p w14:paraId="4BE799E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0F08611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4F817EA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35E3C71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7E58DC8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3211CCF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4" w:type="dxa"/>
          </w:tcPr>
          <w:p w14:paraId="6FF1CF9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288BE33A" w14:textId="77777777" w:rsidTr="00724246">
        <w:trPr>
          <w:cnfStyle w:val="000000010000" w:firstRow="0" w:lastRow="0" w:firstColumn="0" w:lastColumn="0" w:oddVBand="0" w:evenVBand="0" w:oddHBand="0" w:evenHBand="1"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10" w:type="dxa"/>
            <w:hideMark/>
          </w:tcPr>
          <w:p w14:paraId="71C4A263"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Vic</w:t>
            </w:r>
          </w:p>
        </w:tc>
        <w:tc>
          <w:tcPr>
            <w:tcW w:w="707" w:type="dxa"/>
            <w:noWrap/>
            <w:hideMark/>
          </w:tcPr>
          <w:p w14:paraId="1F96AE4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28" w:type="dxa"/>
            <w:noWrap/>
            <w:hideMark/>
          </w:tcPr>
          <w:p w14:paraId="72A956A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656F061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6F4A434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0F04C6B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45489AD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0D684E8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759A05A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30D8E69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tcPr>
          <w:p w14:paraId="0C12E46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4BD224E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57DF978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37C5D4F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3B86D76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3F033B1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4" w:type="dxa"/>
          </w:tcPr>
          <w:p w14:paraId="79FE36D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189C00DD" w14:textId="77777777" w:rsidTr="0072424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10" w:type="dxa"/>
            <w:hideMark/>
          </w:tcPr>
          <w:p w14:paraId="1998F639"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WA</w:t>
            </w:r>
          </w:p>
        </w:tc>
        <w:tc>
          <w:tcPr>
            <w:tcW w:w="707" w:type="dxa"/>
            <w:noWrap/>
            <w:hideMark/>
          </w:tcPr>
          <w:p w14:paraId="1C2AAD7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28" w:type="dxa"/>
            <w:noWrap/>
            <w:hideMark/>
          </w:tcPr>
          <w:p w14:paraId="2C4E8AE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5C326D8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15A05F5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4477104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26B96FE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3306DC8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2946878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11C9014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tcPr>
          <w:p w14:paraId="6743017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109B478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3014136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0D3A59C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1293C41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49D6B68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4" w:type="dxa"/>
          </w:tcPr>
          <w:p w14:paraId="4D24D21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244DCF4B" w14:textId="77777777" w:rsidTr="00724246">
        <w:trPr>
          <w:cnfStyle w:val="000000010000" w:firstRow="0" w:lastRow="0" w:firstColumn="0" w:lastColumn="0" w:oddVBand="0" w:evenVBand="0" w:oddHBand="0" w:evenHBand="1"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10" w:type="dxa"/>
            <w:hideMark/>
          </w:tcPr>
          <w:p w14:paraId="33D9EF95"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ACT</w:t>
            </w:r>
          </w:p>
        </w:tc>
        <w:tc>
          <w:tcPr>
            <w:tcW w:w="707" w:type="dxa"/>
            <w:noWrap/>
            <w:hideMark/>
          </w:tcPr>
          <w:p w14:paraId="4AC9040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28" w:type="dxa"/>
            <w:noWrap/>
            <w:hideMark/>
          </w:tcPr>
          <w:p w14:paraId="1CACD67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2DAC5D1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487CD8C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78945F4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6F18B1C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216866E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3D3F5B8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42A7B7D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tcPr>
          <w:p w14:paraId="3745875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0166816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547E3F7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0A5611F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22FC5CE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4685669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4" w:type="dxa"/>
          </w:tcPr>
          <w:p w14:paraId="06BD395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15D5D069" w14:textId="77777777" w:rsidTr="0072424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10" w:type="dxa"/>
          </w:tcPr>
          <w:p w14:paraId="5816406B"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NT</w:t>
            </w:r>
          </w:p>
        </w:tc>
        <w:tc>
          <w:tcPr>
            <w:tcW w:w="707" w:type="dxa"/>
            <w:noWrap/>
          </w:tcPr>
          <w:p w14:paraId="68B2305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28" w:type="dxa"/>
            <w:noWrap/>
          </w:tcPr>
          <w:p w14:paraId="16F59A4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tcPr>
          <w:p w14:paraId="672B73D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tcPr>
          <w:p w14:paraId="09091E1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tcPr>
          <w:p w14:paraId="3DD2FC7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tcPr>
          <w:p w14:paraId="622B507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tcPr>
          <w:p w14:paraId="32BAE82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tcPr>
          <w:p w14:paraId="4768205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tcPr>
          <w:p w14:paraId="00AD881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tcPr>
          <w:p w14:paraId="1C4AB61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7937909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63B354E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71CCE1D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5C007FE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1A37540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4" w:type="dxa"/>
          </w:tcPr>
          <w:p w14:paraId="579F503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39744199" w14:textId="77777777" w:rsidTr="00724246">
        <w:trPr>
          <w:cnfStyle w:val="000000010000" w:firstRow="0" w:lastRow="0" w:firstColumn="0" w:lastColumn="0" w:oddVBand="0" w:evenVBand="0" w:oddHBand="0" w:evenHBand="1"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10" w:type="dxa"/>
          </w:tcPr>
          <w:p w14:paraId="46A911FA"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External Territories</w:t>
            </w:r>
          </w:p>
        </w:tc>
        <w:tc>
          <w:tcPr>
            <w:tcW w:w="707" w:type="dxa"/>
            <w:noWrap/>
          </w:tcPr>
          <w:p w14:paraId="5F2388B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28" w:type="dxa"/>
            <w:noWrap/>
          </w:tcPr>
          <w:p w14:paraId="7141FAE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noWrap/>
          </w:tcPr>
          <w:p w14:paraId="0B44336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noWrap/>
          </w:tcPr>
          <w:p w14:paraId="527415F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noWrap/>
          </w:tcPr>
          <w:p w14:paraId="4A7C472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noWrap/>
          </w:tcPr>
          <w:p w14:paraId="1CC27E8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noWrap/>
          </w:tcPr>
          <w:p w14:paraId="6C7C04C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noWrap/>
          </w:tcPr>
          <w:p w14:paraId="6CD1734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noWrap/>
          </w:tcPr>
          <w:p w14:paraId="3A3F80C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313BDEA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60D9ABB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199E9AA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749EB69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07D020E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568B8B4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4" w:type="dxa"/>
          </w:tcPr>
          <w:p w14:paraId="426BB7B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r>
      <w:tr w:rsidR="00724246" w:rsidRPr="00466D9C" w14:paraId="2B55B88C" w14:textId="77777777" w:rsidTr="0072424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10" w:type="dxa"/>
            <w:hideMark/>
          </w:tcPr>
          <w:p w14:paraId="3C055B0E"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Overseas</w:t>
            </w:r>
          </w:p>
        </w:tc>
        <w:tc>
          <w:tcPr>
            <w:tcW w:w="707" w:type="dxa"/>
            <w:noWrap/>
            <w:hideMark/>
          </w:tcPr>
          <w:p w14:paraId="3483051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28" w:type="dxa"/>
            <w:noWrap/>
            <w:hideMark/>
          </w:tcPr>
          <w:p w14:paraId="21666D5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717D685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731995B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379291D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0CF1834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2847028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noWrap/>
            <w:hideMark/>
          </w:tcPr>
          <w:p w14:paraId="4738E1E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6C3FA4E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8" w:type="dxa"/>
          </w:tcPr>
          <w:p w14:paraId="60A6E68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7DE7699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31CAB2C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483A408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8" w:type="dxa"/>
          </w:tcPr>
          <w:p w14:paraId="7DC9937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tcPr>
          <w:p w14:paraId="392C219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4" w:type="dxa"/>
          </w:tcPr>
          <w:p w14:paraId="6D10749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77AA6D44" w14:textId="77777777" w:rsidTr="00724246">
        <w:trPr>
          <w:cnfStyle w:val="000000010000" w:firstRow="0" w:lastRow="0" w:firstColumn="0" w:lastColumn="0" w:oddVBand="0" w:evenVBand="0" w:oddHBand="0" w:evenHBand="1"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410" w:type="dxa"/>
          </w:tcPr>
          <w:p w14:paraId="129597B9" w14:textId="77777777" w:rsidR="00724246" w:rsidRPr="007D32F7" w:rsidRDefault="00724246" w:rsidP="00ED2732">
            <w:pPr>
              <w:suppressAutoHyphens/>
              <w:spacing w:before="120" w:after="120"/>
              <w:rPr>
                <w:rFonts w:eastAsia="Times New Roman" w:cs="Arial"/>
                <w:color w:val="auto"/>
                <w:sz w:val="18"/>
                <w:szCs w:val="18"/>
                <w:lang w:eastAsia="en-AU"/>
              </w:rPr>
            </w:pPr>
            <w:r w:rsidRPr="007D32F7">
              <w:rPr>
                <w:rFonts w:eastAsia="Times New Roman" w:cs="Arial"/>
                <w:color w:val="auto"/>
                <w:sz w:val="18"/>
                <w:szCs w:val="18"/>
                <w:lang w:eastAsia="en-AU"/>
              </w:rPr>
              <w:t xml:space="preserve">Total </w:t>
            </w:r>
          </w:p>
        </w:tc>
        <w:tc>
          <w:tcPr>
            <w:tcW w:w="707" w:type="dxa"/>
            <w:noWrap/>
          </w:tcPr>
          <w:p w14:paraId="0FEA44EA"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34</w:t>
            </w:r>
          </w:p>
        </w:tc>
        <w:tc>
          <w:tcPr>
            <w:tcW w:w="828" w:type="dxa"/>
            <w:noWrap/>
          </w:tcPr>
          <w:p w14:paraId="29627B08"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w:t>
            </w:r>
          </w:p>
        </w:tc>
        <w:tc>
          <w:tcPr>
            <w:tcW w:w="848" w:type="dxa"/>
            <w:noWrap/>
          </w:tcPr>
          <w:p w14:paraId="4216BA52"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35</w:t>
            </w:r>
          </w:p>
        </w:tc>
        <w:tc>
          <w:tcPr>
            <w:tcW w:w="848" w:type="dxa"/>
            <w:noWrap/>
          </w:tcPr>
          <w:p w14:paraId="7CF6C283"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93</w:t>
            </w:r>
          </w:p>
        </w:tc>
        <w:tc>
          <w:tcPr>
            <w:tcW w:w="848" w:type="dxa"/>
            <w:noWrap/>
          </w:tcPr>
          <w:p w14:paraId="21911CEB"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10</w:t>
            </w:r>
          </w:p>
        </w:tc>
        <w:tc>
          <w:tcPr>
            <w:tcW w:w="849" w:type="dxa"/>
            <w:noWrap/>
          </w:tcPr>
          <w:p w14:paraId="570F2AA0"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103</w:t>
            </w:r>
          </w:p>
        </w:tc>
        <w:tc>
          <w:tcPr>
            <w:tcW w:w="848" w:type="dxa"/>
            <w:noWrap/>
          </w:tcPr>
          <w:p w14:paraId="7BE3325C"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48" w:type="dxa"/>
            <w:noWrap/>
          </w:tcPr>
          <w:p w14:paraId="560FE563"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49" w:type="dxa"/>
            <w:noWrap/>
          </w:tcPr>
          <w:p w14:paraId="3ADFEB72"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48" w:type="dxa"/>
          </w:tcPr>
          <w:p w14:paraId="3B583E25"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48" w:type="dxa"/>
          </w:tcPr>
          <w:p w14:paraId="4354E117"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49" w:type="dxa"/>
          </w:tcPr>
          <w:p w14:paraId="2A4C0C6B"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48" w:type="dxa"/>
          </w:tcPr>
          <w:p w14:paraId="42852F46"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48" w:type="dxa"/>
          </w:tcPr>
          <w:p w14:paraId="0A73786F"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49" w:type="dxa"/>
          </w:tcPr>
          <w:p w14:paraId="0ADFF24D"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734" w:type="dxa"/>
          </w:tcPr>
          <w:p w14:paraId="4C5F1B62"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138</w:t>
            </w:r>
          </w:p>
        </w:tc>
      </w:tr>
      <w:bookmarkEnd w:id="1065"/>
    </w:tbl>
    <w:p w14:paraId="7966E379" w14:textId="77777777" w:rsidR="00724246" w:rsidRDefault="00724246" w:rsidP="00724246">
      <w:pPr>
        <w:rPr>
          <w:b/>
          <w:bCs/>
        </w:rPr>
      </w:pPr>
    </w:p>
    <w:p w14:paraId="3993E2A5" w14:textId="77777777" w:rsidR="00724246" w:rsidRDefault="00724246" w:rsidP="00724246">
      <w:pPr>
        <w:rPr>
          <w:b/>
          <w:bCs/>
        </w:rPr>
      </w:pPr>
    </w:p>
    <w:p w14:paraId="0A2CBF44" w14:textId="77777777" w:rsidR="00724246" w:rsidRDefault="00724246" w:rsidP="00724246">
      <w:pPr>
        <w:rPr>
          <w:b/>
          <w:bCs/>
        </w:rPr>
      </w:pPr>
    </w:p>
    <w:p w14:paraId="6080F473" w14:textId="77777777" w:rsidR="00724246" w:rsidRDefault="00724246" w:rsidP="00724246">
      <w:pPr>
        <w:rPr>
          <w:b/>
          <w:bCs/>
        </w:rPr>
      </w:pPr>
    </w:p>
    <w:p w14:paraId="7303A384" w14:textId="77777777" w:rsidR="00724246" w:rsidRDefault="00724246" w:rsidP="00724246">
      <w:pPr>
        <w:rPr>
          <w:b/>
          <w:bCs/>
        </w:rPr>
      </w:pPr>
    </w:p>
    <w:p w14:paraId="6415B2A2" w14:textId="4E2EC335" w:rsidR="00724246" w:rsidRDefault="00724246" w:rsidP="00724246">
      <w:pPr>
        <w:rPr>
          <w:b/>
          <w:bCs/>
        </w:rPr>
      </w:pPr>
      <w:r w:rsidRPr="008E240F">
        <w:rPr>
          <w:b/>
          <w:bCs/>
        </w:rPr>
        <w:lastRenderedPageBreak/>
        <w:t xml:space="preserve">Table </w:t>
      </w:r>
      <w:r>
        <w:rPr>
          <w:b/>
          <w:bCs/>
        </w:rPr>
        <w:t>16:</w:t>
      </w:r>
      <w:r w:rsidRPr="008E240F">
        <w:rPr>
          <w:b/>
          <w:bCs/>
        </w:rPr>
        <w:t xml:space="preserve"> Non-ongoing seconded employees at 30 June 202</w:t>
      </w:r>
      <w:r>
        <w:rPr>
          <w:b/>
          <w:bCs/>
        </w:rPr>
        <w:t>6</w:t>
      </w:r>
      <w:r w:rsidRPr="008E240F">
        <w:rPr>
          <w:b/>
          <w:bCs/>
        </w:rPr>
        <w:t xml:space="preserve"> </w:t>
      </w:r>
    </w:p>
    <w:tbl>
      <w:tblPr>
        <w:tblStyle w:val="IHACPATable"/>
        <w:tblW w:w="14737" w:type="dxa"/>
        <w:tblLayout w:type="fixed"/>
        <w:tblLook w:val="04A0" w:firstRow="1" w:lastRow="0" w:firstColumn="1" w:lastColumn="0" w:noHBand="0" w:noVBand="1"/>
      </w:tblPr>
      <w:tblGrid>
        <w:gridCol w:w="1413"/>
        <w:gridCol w:w="709"/>
        <w:gridCol w:w="830"/>
        <w:gridCol w:w="849"/>
        <w:gridCol w:w="850"/>
        <w:gridCol w:w="850"/>
        <w:gridCol w:w="850"/>
        <w:gridCol w:w="850"/>
        <w:gridCol w:w="850"/>
        <w:gridCol w:w="850"/>
        <w:gridCol w:w="850"/>
        <w:gridCol w:w="850"/>
        <w:gridCol w:w="850"/>
        <w:gridCol w:w="850"/>
        <w:gridCol w:w="850"/>
        <w:gridCol w:w="850"/>
        <w:gridCol w:w="736"/>
      </w:tblGrid>
      <w:tr w:rsidR="00724246" w:rsidRPr="0008522A" w14:paraId="4054F12C" w14:textId="77777777" w:rsidTr="00ED273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823768B" w14:textId="77777777" w:rsidR="00724246" w:rsidRPr="005C1BF6" w:rsidRDefault="00724246" w:rsidP="00ED2732">
            <w:pPr>
              <w:suppressAutoHyphens/>
              <w:spacing w:before="120" w:after="120"/>
              <w:rPr>
                <w:rFonts w:eastAsia="Times New Roman" w:cs="Arial"/>
                <w:color w:val="auto"/>
                <w:sz w:val="18"/>
                <w:szCs w:val="18"/>
                <w:lang w:eastAsia="en-AU"/>
              </w:rPr>
            </w:pPr>
          </w:p>
        </w:tc>
        <w:tc>
          <w:tcPr>
            <w:tcW w:w="2388" w:type="dxa"/>
            <w:gridSpan w:val="3"/>
            <w:noWrap/>
            <w:hideMark/>
          </w:tcPr>
          <w:p w14:paraId="33878E6F"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Man/Male</w:t>
            </w:r>
          </w:p>
        </w:tc>
        <w:tc>
          <w:tcPr>
            <w:tcW w:w="2550" w:type="dxa"/>
            <w:gridSpan w:val="3"/>
            <w:noWrap/>
            <w:hideMark/>
          </w:tcPr>
          <w:p w14:paraId="72700D4A"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Woman/Female</w:t>
            </w:r>
          </w:p>
        </w:tc>
        <w:tc>
          <w:tcPr>
            <w:tcW w:w="2550" w:type="dxa"/>
            <w:gridSpan w:val="3"/>
            <w:noWrap/>
            <w:hideMark/>
          </w:tcPr>
          <w:p w14:paraId="4FBACF56"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Non-binary</w:t>
            </w:r>
          </w:p>
        </w:tc>
        <w:tc>
          <w:tcPr>
            <w:tcW w:w="2550" w:type="dxa"/>
            <w:gridSpan w:val="3"/>
          </w:tcPr>
          <w:p w14:paraId="4CB0EF08"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Prefers not to answer</w:t>
            </w:r>
          </w:p>
        </w:tc>
        <w:tc>
          <w:tcPr>
            <w:tcW w:w="2550" w:type="dxa"/>
            <w:gridSpan w:val="3"/>
          </w:tcPr>
          <w:p w14:paraId="3ACEE91D"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Uses a different term</w:t>
            </w:r>
          </w:p>
        </w:tc>
        <w:tc>
          <w:tcPr>
            <w:tcW w:w="736" w:type="dxa"/>
          </w:tcPr>
          <w:p w14:paraId="2ED1C3E5" w14:textId="77777777" w:rsidR="00724246" w:rsidRPr="005C1BF6" w:rsidRDefault="00724246" w:rsidP="00ED2732">
            <w:pPr>
              <w:suppressAutoHyphens/>
              <w:spacing w:before="120" w:after="120"/>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p>
        </w:tc>
      </w:tr>
      <w:tr w:rsidR="00724246" w:rsidRPr="00466D9C" w14:paraId="7957A931" w14:textId="77777777" w:rsidTr="00ED273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1413" w:type="dxa"/>
            <w:shd w:val="clear" w:color="auto" w:fill="DFEBF1" w:themeFill="text1" w:themeFillTint="1A"/>
            <w:noWrap/>
          </w:tcPr>
          <w:p w14:paraId="15B4FBAE" w14:textId="77777777" w:rsidR="00724246" w:rsidRPr="005C1BF6" w:rsidRDefault="00724246" w:rsidP="00ED2732">
            <w:pPr>
              <w:suppressAutoHyphens/>
              <w:spacing w:before="120" w:after="120"/>
              <w:rPr>
                <w:rFonts w:eastAsia="Times New Roman" w:cs="Arial"/>
                <w:color w:val="104F99" w:themeColor="accent2"/>
                <w:sz w:val="18"/>
                <w:szCs w:val="18"/>
                <w:lang w:eastAsia="en-AU"/>
              </w:rPr>
            </w:pPr>
          </w:p>
        </w:tc>
        <w:tc>
          <w:tcPr>
            <w:tcW w:w="709" w:type="dxa"/>
            <w:shd w:val="clear" w:color="auto" w:fill="DFEBF1" w:themeFill="text1" w:themeFillTint="1A"/>
            <w:noWrap/>
            <w:hideMark/>
          </w:tcPr>
          <w:p w14:paraId="5B27FBC1"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30" w:type="dxa"/>
            <w:shd w:val="clear" w:color="auto" w:fill="DFEBF1" w:themeFill="text1" w:themeFillTint="1A"/>
            <w:noWrap/>
            <w:hideMark/>
          </w:tcPr>
          <w:p w14:paraId="27F20823"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49" w:type="dxa"/>
            <w:shd w:val="clear" w:color="auto" w:fill="DFEBF1" w:themeFill="text1" w:themeFillTint="1A"/>
            <w:noWrap/>
            <w:hideMark/>
          </w:tcPr>
          <w:p w14:paraId="0B2EE535"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noWrap/>
            <w:hideMark/>
          </w:tcPr>
          <w:p w14:paraId="211BE877"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noWrap/>
            <w:hideMark/>
          </w:tcPr>
          <w:p w14:paraId="46B1D846"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noWrap/>
            <w:hideMark/>
          </w:tcPr>
          <w:p w14:paraId="2FC2D45D"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noWrap/>
            <w:hideMark/>
          </w:tcPr>
          <w:p w14:paraId="6059D2F1"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noWrap/>
            <w:hideMark/>
          </w:tcPr>
          <w:p w14:paraId="70FE5B9D"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hideMark/>
          </w:tcPr>
          <w:p w14:paraId="690D7DBC"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tcPr>
          <w:p w14:paraId="459D7E1F"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tcPr>
          <w:p w14:paraId="45FC4985"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tcPr>
          <w:p w14:paraId="7A9D607C"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tcPr>
          <w:p w14:paraId="028B67D7"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tcPr>
          <w:p w14:paraId="391B6112"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tcPr>
          <w:p w14:paraId="6A67D1B2"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736" w:type="dxa"/>
            <w:shd w:val="clear" w:color="auto" w:fill="DFEBF1" w:themeFill="text1" w:themeFillTint="1A"/>
          </w:tcPr>
          <w:p w14:paraId="2BE4888F"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Total</w:t>
            </w:r>
          </w:p>
        </w:tc>
      </w:tr>
      <w:tr w:rsidR="00724246" w:rsidRPr="00466D9C" w14:paraId="2F732277"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3302B570"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NSW</w:t>
            </w:r>
          </w:p>
        </w:tc>
        <w:tc>
          <w:tcPr>
            <w:tcW w:w="709" w:type="dxa"/>
            <w:noWrap/>
          </w:tcPr>
          <w:p w14:paraId="09F74E4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6</w:t>
            </w:r>
          </w:p>
        </w:tc>
        <w:tc>
          <w:tcPr>
            <w:tcW w:w="830" w:type="dxa"/>
            <w:noWrap/>
            <w:hideMark/>
          </w:tcPr>
          <w:p w14:paraId="6F81A87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49" w:type="dxa"/>
            <w:noWrap/>
            <w:hideMark/>
          </w:tcPr>
          <w:p w14:paraId="5C27E3E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6</w:t>
            </w:r>
          </w:p>
        </w:tc>
        <w:tc>
          <w:tcPr>
            <w:tcW w:w="850" w:type="dxa"/>
            <w:noWrap/>
            <w:hideMark/>
          </w:tcPr>
          <w:p w14:paraId="015FABB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10</w:t>
            </w:r>
          </w:p>
        </w:tc>
        <w:tc>
          <w:tcPr>
            <w:tcW w:w="850" w:type="dxa"/>
            <w:noWrap/>
            <w:hideMark/>
          </w:tcPr>
          <w:p w14:paraId="4E4BD3F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noWrap/>
            <w:hideMark/>
          </w:tcPr>
          <w:p w14:paraId="4E106D7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10</w:t>
            </w:r>
          </w:p>
        </w:tc>
        <w:tc>
          <w:tcPr>
            <w:tcW w:w="850" w:type="dxa"/>
            <w:noWrap/>
            <w:hideMark/>
          </w:tcPr>
          <w:p w14:paraId="6743A03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noWrap/>
            <w:hideMark/>
          </w:tcPr>
          <w:p w14:paraId="2866CDE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noWrap/>
            <w:hideMark/>
          </w:tcPr>
          <w:p w14:paraId="0AF5E1E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15E8EDC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23F5E8D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2BF2773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0FD5580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069E912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0C328C9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736" w:type="dxa"/>
          </w:tcPr>
          <w:p w14:paraId="0A490C8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16</w:t>
            </w:r>
          </w:p>
        </w:tc>
      </w:tr>
      <w:tr w:rsidR="00724246" w:rsidRPr="00466D9C" w14:paraId="7B0812C1"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6EFDED45"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Qld</w:t>
            </w:r>
          </w:p>
        </w:tc>
        <w:tc>
          <w:tcPr>
            <w:tcW w:w="709" w:type="dxa"/>
            <w:noWrap/>
          </w:tcPr>
          <w:p w14:paraId="1E84593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30" w:type="dxa"/>
            <w:noWrap/>
            <w:hideMark/>
          </w:tcPr>
          <w:p w14:paraId="565E80A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noWrap/>
            <w:hideMark/>
          </w:tcPr>
          <w:p w14:paraId="027A1D9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21CE406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0088EC9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1FE9001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48B49A9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539C69D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3295355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12D564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354AB2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237CA1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14FDD8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FF20E0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41042B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1EDC0DB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r>
      <w:tr w:rsidR="00724246" w:rsidRPr="00466D9C" w14:paraId="50148032"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7FC4630E"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SA</w:t>
            </w:r>
          </w:p>
        </w:tc>
        <w:tc>
          <w:tcPr>
            <w:tcW w:w="709" w:type="dxa"/>
            <w:noWrap/>
            <w:hideMark/>
          </w:tcPr>
          <w:p w14:paraId="2C19147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5933B16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2F2902B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35A524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B13CDF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1D1DBA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7AE40B0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1987ED5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EA864A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6D29B91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4AEE5E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4B67F1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836B42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5A92BE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607306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1CD91C0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2E52F7D0"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3D86E797"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Tas</w:t>
            </w:r>
          </w:p>
        </w:tc>
        <w:tc>
          <w:tcPr>
            <w:tcW w:w="709" w:type="dxa"/>
            <w:noWrap/>
            <w:hideMark/>
          </w:tcPr>
          <w:p w14:paraId="7B6F552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7921EBE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256465D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17A4EB3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CE0503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472CA9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2D1DC1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7F4454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1128B1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2F6F949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6A4B33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77BDB3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596649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59EB06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3E14EC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15991F5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4C07EA1D"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3FF99F6F"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Vic</w:t>
            </w:r>
          </w:p>
        </w:tc>
        <w:tc>
          <w:tcPr>
            <w:tcW w:w="709" w:type="dxa"/>
            <w:noWrap/>
            <w:hideMark/>
          </w:tcPr>
          <w:p w14:paraId="666639F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7ACBA8D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72199C6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B91A96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7E1DB99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5661E3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9A1F2B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64E9C61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7761A8E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789AE2B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8F7828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A577A5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8FD3AC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5C43F0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4B3CB5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008D692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70473514"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66AD386B"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WA</w:t>
            </w:r>
          </w:p>
        </w:tc>
        <w:tc>
          <w:tcPr>
            <w:tcW w:w="709" w:type="dxa"/>
            <w:noWrap/>
            <w:hideMark/>
          </w:tcPr>
          <w:p w14:paraId="1E5A5D0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0BAFAE9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6DC875B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E580E0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31EC66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EAF6A6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A913E8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119278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D0E0F0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5F63671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376EA1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3FE930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85B28E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C3C994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BD0381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7E03BBC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21098326"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76CC293D"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ACT</w:t>
            </w:r>
          </w:p>
        </w:tc>
        <w:tc>
          <w:tcPr>
            <w:tcW w:w="709" w:type="dxa"/>
            <w:noWrap/>
            <w:hideMark/>
          </w:tcPr>
          <w:p w14:paraId="1156F56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501268E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6D5068D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0D3265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7F73E6B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1C681E3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615C863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594C79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7B9B1C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19E571B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24928B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BABD22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9A98AD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8412DA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7824D8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4CE5A57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557C3571"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tcPr>
          <w:p w14:paraId="04F91622"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NT</w:t>
            </w:r>
          </w:p>
        </w:tc>
        <w:tc>
          <w:tcPr>
            <w:tcW w:w="709" w:type="dxa"/>
            <w:noWrap/>
          </w:tcPr>
          <w:p w14:paraId="62D2DB3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tcPr>
          <w:p w14:paraId="4E307DA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tcPr>
          <w:p w14:paraId="35527EF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38DD7BC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23E28E6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457D209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6C5721C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65B7DDF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59CAD3D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552E0F7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314F83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6832C9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152C28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EFD597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85DC1F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5FE7AA4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0321D234"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tcPr>
          <w:p w14:paraId="191B0D1D"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External Territories</w:t>
            </w:r>
          </w:p>
        </w:tc>
        <w:tc>
          <w:tcPr>
            <w:tcW w:w="709" w:type="dxa"/>
            <w:noWrap/>
          </w:tcPr>
          <w:p w14:paraId="3DD2DBF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30" w:type="dxa"/>
            <w:noWrap/>
          </w:tcPr>
          <w:p w14:paraId="5D4C6E3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noWrap/>
          </w:tcPr>
          <w:p w14:paraId="582C05C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2BE64AB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3CCCCA0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1770862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52D764C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2C42F62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1FE8E17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41DB89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34055F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62E08D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F17125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326E6A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66B48B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0CD2841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r>
      <w:tr w:rsidR="00724246" w:rsidRPr="00466D9C" w14:paraId="64A9D969"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4389CDB0"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Overseas</w:t>
            </w:r>
          </w:p>
        </w:tc>
        <w:tc>
          <w:tcPr>
            <w:tcW w:w="709" w:type="dxa"/>
            <w:noWrap/>
            <w:hideMark/>
          </w:tcPr>
          <w:p w14:paraId="18A4A6A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7F99B9E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477E4C2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33B6D3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9D9F86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A1A5E7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0A6715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1C56F15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E75958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0FF6771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D42C04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4D6923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6B3697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BE3051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F4799B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28E141E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42DA0A0B"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tcPr>
          <w:p w14:paraId="63068E93" w14:textId="77777777" w:rsidR="00724246" w:rsidRPr="007D32F7" w:rsidRDefault="00724246" w:rsidP="00ED2732">
            <w:pPr>
              <w:suppressAutoHyphens/>
              <w:spacing w:before="120" w:after="120"/>
              <w:rPr>
                <w:rFonts w:eastAsia="Times New Roman" w:cs="Arial"/>
                <w:color w:val="auto"/>
                <w:sz w:val="18"/>
                <w:szCs w:val="18"/>
                <w:lang w:eastAsia="en-AU"/>
              </w:rPr>
            </w:pPr>
            <w:r w:rsidRPr="007D32F7">
              <w:rPr>
                <w:rFonts w:eastAsia="Times New Roman" w:cs="Arial"/>
                <w:color w:val="auto"/>
                <w:sz w:val="18"/>
                <w:szCs w:val="18"/>
                <w:lang w:eastAsia="en-AU"/>
              </w:rPr>
              <w:t xml:space="preserve">Total </w:t>
            </w:r>
          </w:p>
        </w:tc>
        <w:tc>
          <w:tcPr>
            <w:tcW w:w="709" w:type="dxa"/>
            <w:noWrap/>
          </w:tcPr>
          <w:p w14:paraId="0D9879CB"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6</w:t>
            </w:r>
          </w:p>
        </w:tc>
        <w:tc>
          <w:tcPr>
            <w:tcW w:w="830" w:type="dxa"/>
            <w:noWrap/>
          </w:tcPr>
          <w:p w14:paraId="2D8512CD"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49" w:type="dxa"/>
            <w:noWrap/>
          </w:tcPr>
          <w:p w14:paraId="652F02D6"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6</w:t>
            </w:r>
          </w:p>
        </w:tc>
        <w:tc>
          <w:tcPr>
            <w:tcW w:w="850" w:type="dxa"/>
            <w:noWrap/>
          </w:tcPr>
          <w:p w14:paraId="578CA6B4"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10</w:t>
            </w:r>
          </w:p>
        </w:tc>
        <w:tc>
          <w:tcPr>
            <w:tcW w:w="850" w:type="dxa"/>
            <w:noWrap/>
          </w:tcPr>
          <w:p w14:paraId="49E434DC"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noWrap/>
          </w:tcPr>
          <w:p w14:paraId="52CCC439"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10</w:t>
            </w:r>
          </w:p>
        </w:tc>
        <w:tc>
          <w:tcPr>
            <w:tcW w:w="850" w:type="dxa"/>
            <w:noWrap/>
          </w:tcPr>
          <w:p w14:paraId="1490928E"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noWrap/>
          </w:tcPr>
          <w:p w14:paraId="09530EE2"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noWrap/>
          </w:tcPr>
          <w:p w14:paraId="526E978B"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77B8861C"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7CFDDF79"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3273162D"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04268183"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544324CD"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2EE7BEBD"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736" w:type="dxa"/>
          </w:tcPr>
          <w:p w14:paraId="0B8D3294"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16</w:t>
            </w:r>
          </w:p>
        </w:tc>
      </w:tr>
    </w:tbl>
    <w:p w14:paraId="6F7C3BBA" w14:textId="77777777" w:rsidR="00724246" w:rsidRDefault="00724246" w:rsidP="00724246"/>
    <w:p w14:paraId="5E90379E" w14:textId="77777777" w:rsidR="00724246" w:rsidRDefault="00724246" w:rsidP="00724246"/>
    <w:p w14:paraId="25634283" w14:textId="77777777" w:rsidR="00724246" w:rsidRDefault="00724246" w:rsidP="00724246"/>
    <w:p w14:paraId="32CD09CB" w14:textId="36619A15" w:rsidR="00EB0D85" w:rsidRDefault="00724246" w:rsidP="00EB0D85">
      <w:pPr>
        <w:pStyle w:val="TableFigureheading"/>
        <w:rPr>
          <w:b/>
          <w:bCs/>
          <w:color w:val="15272F" w:themeColor="text1"/>
        </w:rPr>
      </w:pPr>
      <w:r>
        <w:rPr>
          <w:b/>
          <w:bCs/>
          <w:color w:val="15272F" w:themeColor="text1"/>
        </w:rPr>
        <w:lastRenderedPageBreak/>
        <w:t>Table 17: Ongoing seconded employees at 30 June 2025</w:t>
      </w:r>
    </w:p>
    <w:tbl>
      <w:tblPr>
        <w:tblStyle w:val="IHACPATable"/>
        <w:tblW w:w="14737" w:type="dxa"/>
        <w:tblLayout w:type="fixed"/>
        <w:tblLook w:val="04A0" w:firstRow="1" w:lastRow="0" w:firstColumn="1" w:lastColumn="0" w:noHBand="0" w:noVBand="1"/>
      </w:tblPr>
      <w:tblGrid>
        <w:gridCol w:w="1413"/>
        <w:gridCol w:w="709"/>
        <w:gridCol w:w="830"/>
        <w:gridCol w:w="849"/>
        <w:gridCol w:w="850"/>
        <w:gridCol w:w="850"/>
        <w:gridCol w:w="850"/>
        <w:gridCol w:w="850"/>
        <w:gridCol w:w="850"/>
        <w:gridCol w:w="850"/>
        <w:gridCol w:w="850"/>
        <w:gridCol w:w="850"/>
        <w:gridCol w:w="850"/>
        <w:gridCol w:w="850"/>
        <w:gridCol w:w="850"/>
        <w:gridCol w:w="850"/>
        <w:gridCol w:w="736"/>
      </w:tblGrid>
      <w:tr w:rsidR="00724246" w:rsidRPr="0008522A" w14:paraId="06991D97" w14:textId="77777777" w:rsidTr="00ED273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A5093BA" w14:textId="77777777" w:rsidR="00724246" w:rsidRPr="005C1BF6" w:rsidRDefault="00724246" w:rsidP="00ED2732">
            <w:pPr>
              <w:suppressAutoHyphens/>
              <w:spacing w:before="120" w:after="120"/>
              <w:rPr>
                <w:rFonts w:eastAsia="Times New Roman" w:cs="Arial"/>
                <w:color w:val="auto"/>
                <w:sz w:val="18"/>
                <w:szCs w:val="18"/>
                <w:lang w:eastAsia="en-AU"/>
              </w:rPr>
            </w:pPr>
          </w:p>
        </w:tc>
        <w:tc>
          <w:tcPr>
            <w:tcW w:w="2388" w:type="dxa"/>
            <w:gridSpan w:val="3"/>
            <w:noWrap/>
            <w:hideMark/>
          </w:tcPr>
          <w:p w14:paraId="20400E81"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Man/Male</w:t>
            </w:r>
          </w:p>
        </w:tc>
        <w:tc>
          <w:tcPr>
            <w:tcW w:w="2550" w:type="dxa"/>
            <w:gridSpan w:val="3"/>
            <w:noWrap/>
            <w:hideMark/>
          </w:tcPr>
          <w:p w14:paraId="54792CB9"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Woman/Female</w:t>
            </w:r>
          </w:p>
        </w:tc>
        <w:tc>
          <w:tcPr>
            <w:tcW w:w="2550" w:type="dxa"/>
            <w:gridSpan w:val="3"/>
            <w:noWrap/>
            <w:hideMark/>
          </w:tcPr>
          <w:p w14:paraId="47B5A872"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Non-binary</w:t>
            </w:r>
          </w:p>
        </w:tc>
        <w:tc>
          <w:tcPr>
            <w:tcW w:w="2550" w:type="dxa"/>
            <w:gridSpan w:val="3"/>
          </w:tcPr>
          <w:p w14:paraId="1F0C0531"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Prefers not to answer</w:t>
            </w:r>
          </w:p>
        </w:tc>
        <w:tc>
          <w:tcPr>
            <w:tcW w:w="2550" w:type="dxa"/>
            <w:gridSpan w:val="3"/>
          </w:tcPr>
          <w:p w14:paraId="2B2FF23B"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Uses a different term</w:t>
            </w:r>
          </w:p>
        </w:tc>
        <w:tc>
          <w:tcPr>
            <w:tcW w:w="736" w:type="dxa"/>
          </w:tcPr>
          <w:p w14:paraId="696C9B92" w14:textId="77777777" w:rsidR="00724246" w:rsidRPr="005C1BF6" w:rsidRDefault="00724246" w:rsidP="00ED2732">
            <w:pPr>
              <w:suppressAutoHyphens/>
              <w:spacing w:before="120" w:after="120"/>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p>
        </w:tc>
      </w:tr>
      <w:tr w:rsidR="00724246" w:rsidRPr="00466D9C" w14:paraId="0F8BDAB1" w14:textId="77777777" w:rsidTr="00ED273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1413" w:type="dxa"/>
            <w:shd w:val="clear" w:color="auto" w:fill="DFEBF1" w:themeFill="text1" w:themeFillTint="1A"/>
            <w:noWrap/>
          </w:tcPr>
          <w:p w14:paraId="3B10CC66" w14:textId="77777777" w:rsidR="00724246" w:rsidRPr="005C1BF6" w:rsidRDefault="00724246" w:rsidP="00ED2732">
            <w:pPr>
              <w:suppressAutoHyphens/>
              <w:spacing w:before="120" w:after="120"/>
              <w:rPr>
                <w:rFonts w:eastAsia="Times New Roman" w:cs="Arial"/>
                <w:color w:val="104F99" w:themeColor="accent2"/>
                <w:sz w:val="18"/>
                <w:szCs w:val="18"/>
                <w:lang w:eastAsia="en-AU"/>
              </w:rPr>
            </w:pPr>
          </w:p>
        </w:tc>
        <w:tc>
          <w:tcPr>
            <w:tcW w:w="709" w:type="dxa"/>
            <w:shd w:val="clear" w:color="auto" w:fill="DFEBF1" w:themeFill="text1" w:themeFillTint="1A"/>
            <w:noWrap/>
            <w:hideMark/>
          </w:tcPr>
          <w:p w14:paraId="0E7E34C8"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30" w:type="dxa"/>
            <w:shd w:val="clear" w:color="auto" w:fill="DFEBF1" w:themeFill="text1" w:themeFillTint="1A"/>
            <w:noWrap/>
            <w:hideMark/>
          </w:tcPr>
          <w:p w14:paraId="1ABB9A53"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49" w:type="dxa"/>
            <w:shd w:val="clear" w:color="auto" w:fill="DFEBF1" w:themeFill="text1" w:themeFillTint="1A"/>
            <w:noWrap/>
            <w:hideMark/>
          </w:tcPr>
          <w:p w14:paraId="2A1C2870"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noWrap/>
            <w:hideMark/>
          </w:tcPr>
          <w:p w14:paraId="154812B4"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noWrap/>
            <w:hideMark/>
          </w:tcPr>
          <w:p w14:paraId="090237D8"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noWrap/>
            <w:hideMark/>
          </w:tcPr>
          <w:p w14:paraId="352512A4"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noWrap/>
            <w:hideMark/>
          </w:tcPr>
          <w:p w14:paraId="6A48E7C1"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noWrap/>
            <w:hideMark/>
          </w:tcPr>
          <w:p w14:paraId="09EFD093"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hideMark/>
          </w:tcPr>
          <w:p w14:paraId="50215BBC"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tcPr>
          <w:p w14:paraId="2AC92E50"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tcPr>
          <w:p w14:paraId="030285F0"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tcPr>
          <w:p w14:paraId="12D8F79F"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tcPr>
          <w:p w14:paraId="28A0416B"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tcPr>
          <w:p w14:paraId="26FA6842"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tcPr>
          <w:p w14:paraId="6F7E8344"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736" w:type="dxa"/>
            <w:shd w:val="clear" w:color="auto" w:fill="DFEBF1" w:themeFill="text1" w:themeFillTint="1A"/>
          </w:tcPr>
          <w:p w14:paraId="637EB8FE"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Total</w:t>
            </w:r>
          </w:p>
        </w:tc>
      </w:tr>
      <w:tr w:rsidR="00724246" w:rsidRPr="00466D9C" w14:paraId="67E38E9C"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035179CB"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NSW</w:t>
            </w:r>
          </w:p>
        </w:tc>
        <w:tc>
          <w:tcPr>
            <w:tcW w:w="709" w:type="dxa"/>
            <w:noWrap/>
          </w:tcPr>
          <w:p w14:paraId="67BA0AC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33</w:t>
            </w:r>
          </w:p>
        </w:tc>
        <w:tc>
          <w:tcPr>
            <w:tcW w:w="830" w:type="dxa"/>
            <w:noWrap/>
            <w:hideMark/>
          </w:tcPr>
          <w:p w14:paraId="673C70A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w:t>
            </w:r>
          </w:p>
        </w:tc>
        <w:tc>
          <w:tcPr>
            <w:tcW w:w="849" w:type="dxa"/>
            <w:noWrap/>
            <w:hideMark/>
          </w:tcPr>
          <w:p w14:paraId="14BB7B6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34</w:t>
            </w:r>
          </w:p>
        </w:tc>
        <w:tc>
          <w:tcPr>
            <w:tcW w:w="850" w:type="dxa"/>
            <w:noWrap/>
            <w:hideMark/>
          </w:tcPr>
          <w:p w14:paraId="777A277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78</w:t>
            </w:r>
          </w:p>
        </w:tc>
        <w:tc>
          <w:tcPr>
            <w:tcW w:w="850" w:type="dxa"/>
            <w:noWrap/>
            <w:hideMark/>
          </w:tcPr>
          <w:p w14:paraId="2448BC2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11</w:t>
            </w:r>
          </w:p>
        </w:tc>
        <w:tc>
          <w:tcPr>
            <w:tcW w:w="850" w:type="dxa"/>
            <w:noWrap/>
            <w:hideMark/>
          </w:tcPr>
          <w:p w14:paraId="1567C9D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89</w:t>
            </w:r>
          </w:p>
        </w:tc>
        <w:tc>
          <w:tcPr>
            <w:tcW w:w="850" w:type="dxa"/>
            <w:noWrap/>
            <w:hideMark/>
          </w:tcPr>
          <w:p w14:paraId="49B604A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noWrap/>
            <w:hideMark/>
          </w:tcPr>
          <w:p w14:paraId="66DC8D0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noWrap/>
            <w:hideMark/>
          </w:tcPr>
          <w:p w14:paraId="361BE92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67CCC7F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3621766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3CC71A9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3D52F06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31DDCDC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252C18C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736" w:type="dxa"/>
          </w:tcPr>
          <w:p w14:paraId="27BF105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123</w:t>
            </w:r>
          </w:p>
        </w:tc>
      </w:tr>
      <w:tr w:rsidR="00724246" w:rsidRPr="00466D9C" w14:paraId="25F98CE7"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1FE2D3CF"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Qld</w:t>
            </w:r>
          </w:p>
        </w:tc>
        <w:tc>
          <w:tcPr>
            <w:tcW w:w="709" w:type="dxa"/>
            <w:noWrap/>
          </w:tcPr>
          <w:p w14:paraId="5BE47D9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30" w:type="dxa"/>
            <w:noWrap/>
            <w:hideMark/>
          </w:tcPr>
          <w:p w14:paraId="67B22DE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noWrap/>
            <w:hideMark/>
          </w:tcPr>
          <w:p w14:paraId="39986F1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27EA42E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6114B22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7203DBD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19156DC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6620EDE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1854119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C3275D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6DF793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63B2BF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711B66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D8EB4C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6BA14B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1BB9122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r>
      <w:tr w:rsidR="00724246" w:rsidRPr="00466D9C" w14:paraId="17738E4B"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719F38A1"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SA</w:t>
            </w:r>
          </w:p>
        </w:tc>
        <w:tc>
          <w:tcPr>
            <w:tcW w:w="709" w:type="dxa"/>
            <w:noWrap/>
            <w:hideMark/>
          </w:tcPr>
          <w:p w14:paraId="044C79F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04EFCDC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7EB604F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7EA328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EA05B8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8E4FE2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13F6CE0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7E4B7ED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14D1DA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7678322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C29578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911152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F64DA3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B1495D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FC66BD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3A24238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1C1BC8BB"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47269914"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Tas</w:t>
            </w:r>
          </w:p>
        </w:tc>
        <w:tc>
          <w:tcPr>
            <w:tcW w:w="709" w:type="dxa"/>
            <w:noWrap/>
            <w:hideMark/>
          </w:tcPr>
          <w:p w14:paraId="2ECB793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4EF5405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31B226E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1A8AD82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B92925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105662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672CCFB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D2A833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2F9A57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5E4E563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E4E89D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60A113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B4308E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5B8656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E17B76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3EE2C13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7F5046E9"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70F06EAB"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Vic</w:t>
            </w:r>
          </w:p>
        </w:tc>
        <w:tc>
          <w:tcPr>
            <w:tcW w:w="709" w:type="dxa"/>
            <w:noWrap/>
            <w:hideMark/>
          </w:tcPr>
          <w:p w14:paraId="52D293E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7381C40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544A7E6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8E066C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63D3919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68561F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60D04B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C7AF09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36BCFD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6A10DA1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38BC20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39E80C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2BFE32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67B4A1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2D5D07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1FAB07A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627AC68A"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45BD44EA"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WA</w:t>
            </w:r>
          </w:p>
        </w:tc>
        <w:tc>
          <w:tcPr>
            <w:tcW w:w="709" w:type="dxa"/>
            <w:noWrap/>
            <w:hideMark/>
          </w:tcPr>
          <w:p w14:paraId="0909B0F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53D75D3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081F93C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E75AEE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3C3E42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D149F4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B2E80D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210A39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360FDF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7AFC07A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1BF905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D10B29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49F4C8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E47A77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DEF701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15AB2A1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0A5F58BC"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1B1F8496"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ACT</w:t>
            </w:r>
          </w:p>
        </w:tc>
        <w:tc>
          <w:tcPr>
            <w:tcW w:w="709" w:type="dxa"/>
            <w:noWrap/>
            <w:hideMark/>
          </w:tcPr>
          <w:p w14:paraId="232E29E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3D0AAB0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5D51290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D9EDAF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241FF4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8EB3BA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35D69D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1B2189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686687F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407AD52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3507C3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1B9CFD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066B1E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EC5075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7B6E26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7E186EC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65179745"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tcPr>
          <w:p w14:paraId="06DBE8DC"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NT</w:t>
            </w:r>
          </w:p>
        </w:tc>
        <w:tc>
          <w:tcPr>
            <w:tcW w:w="709" w:type="dxa"/>
            <w:noWrap/>
          </w:tcPr>
          <w:p w14:paraId="3D80FB1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tcPr>
          <w:p w14:paraId="182E746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tcPr>
          <w:p w14:paraId="493490B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009FF17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12FFB5F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76F51DC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3485089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6EA86E0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4E924AE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5D504EA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CE6CC4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D38086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9A62E7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751016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9B0213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14F70F6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061758E3"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tcPr>
          <w:p w14:paraId="551327A1"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External Territories</w:t>
            </w:r>
          </w:p>
        </w:tc>
        <w:tc>
          <w:tcPr>
            <w:tcW w:w="709" w:type="dxa"/>
            <w:noWrap/>
          </w:tcPr>
          <w:p w14:paraId="5AE4251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30" w:type="dxa"/>
            <w:noWrap/>
          </w:tcPr>
          <w:p w14:paraId="7D70399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noWrap/>
          </w:tcPr>
          <w:p w14:paraId="555DA22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0422A5C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403ECDE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446E3ED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546D4D6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003ED14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04EEF2A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DE0899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A0AB37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794A95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D321E4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6C0DDF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0111C5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1B78D88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r>
      <w:tr w:rsidR="00724246" w:rsidRPr="00466D9C" w14:paraId="00AB7771"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48B9A586"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Overseas</w:t>
            </w:r>
          </w:p>
        </w:tc>
        <w:tc>
          <w:tcPr>
            <w:tcW w:w="709" w:type="dxa"/>
            <w:noWrap/>
            <w:hideMark/>
          </w:tcPr>
          <w:p w14:paraId="150FF43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20181F4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5875671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B01F92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5C07F2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4D9B15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6E7416D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769DFD1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6034F4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6804E3E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EA80CF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005C60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88AEF2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504B71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0F152C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1501C9E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71F59C62"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tcPr>
          <w:p w14:paraId="4D11D954" w14:textId="77777777" w:rsidR="00724246" w:rsidRPr="007D32F7" w:rsidRDefault="00724246" w:rsidP="00ED2732">
            <w:pPr>
              <w:suppressAutoHyphens/>
              <w:spacing w:before="120" w:after="120"/>
              <w:rPr>
                <w:rFonts w:eastAsia="Times New Roman" w:cs="Arial"/>
                <w:color w:val="auto"/>
                <w:sz w:val="18"/>
                <w:szCs w:val="18"/>
                <w:lang w:eastAsia="en-AU"/>
              </w:rPr>
            </w:pPr>
            <w:r w:rsidRPr="007D32F7">
              <w:rPr>
                <w:rFonts w:eastAsia="Times New Roman" w:cs="Arial"/>
                <w:color w:val="auto"/>
                <w:sz w:val="18"/>
                <w:szCs w:val="18"/>
                <w:lang w:eastAsia="en-AU"/>
              </w:rPr>
              <w:t xml:space="preserve">Total </w:t>
            </w:r>
          </w:p>
        </w:tc>
        <w:tc>
          <w:tcPr>
            <w:tcW w:w="709" w:type="dxa"/>
            <w:noWrap/>
          </w:tcPr>
          <w:p w14:paraId="40CB5CF5"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33</w:t>
            </w:r>
          </w:p>
        </w:tc>
        <w:tc>
          <w:tcPr>
            <w:tcW w:w="830" w:type="dxa"/>
            <w:noWrap/>
          </w:tcPr>
          <w:p w14:paraId="54BA0875"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w:t>
            </w:r>
          </w:p>
        </w:tc>
        <w:tc>
          <w:tcPr>
            <w:tcW w:w="849" w:type="dxa"/>
            <w:noWrap/>
          </w:tcPr>
          <w:p w14:paraId="7FE34817"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34</w:t>
            </w:r>
          </w:p>
        </w:tc>
        <w:tc>
          <w:tcPr>
            <w:tcW w:w="850" w:type="dxa"/>
            <w:noWrap/>
          </w:tcPr>
          <w:p w14:paraId="4D51A785"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78</w:t>
            </w:r>
          </w:p>
        </w:tc>
        <w:tc>
          <w:tcPr>
            <w:tcW w:w="850" w:type="dxa"/>
            <w:noWrap/>
          </w:tcPr>
          <w:p w14:paraId="50947B3F"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11</w:t>
            </w:r>
          </w:p>
        </w:tc>
        <w:tc>
          <w:tcPr>
            <w:tcW w:w="850" w:type="dxa"/>
            <w:noWrap/>
          </w:tcPr>
          <w:p w14:paraId="6B49093C"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89</w:t>
            </w:r>
          </w:p>
        </w:tc>
        <w:tc>
          <w:tcPr>
            <w:tcW w:w="850" w:type="dxa"/>
            <w:noWrap/>
          </w:tcPr>
          <w:p w14:paraId="6BF42B78"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noWrap/>
          </w:tcPr>
          <w:p w14:paraId="1134915C"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noWrap/>
          </w:tcPr>
          <w:p w14:paraId="28B92627"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61F974B1"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39FE91ED"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763112F3"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53B0FD05"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47E795B0"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1A6657DB"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736" w:type="dxa"/>
          </w:tcPr>
          <w:p w14:paraId="63453B02"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123</w:t>
            </w:r>
          </w:p>
        </w:tc>
      </w:tr>
    </w:tbl>
    <w:p w14:paraId="398FD08F" w14:textId="77777777" w:rsidR="00A70381" w:rsidRDefault="00A70381" w:rsidP="00502EAF"/>
    <w:p w14:paraId="1795AEC7" w14:textId="77777777" w:rsidR="0014248F" w:rsidRDefault="0014248F" w:rsidP="0014248F"/>
    <w:p w14:paraId="73C0FEC7" w14:textId="77777777" w:rsidR="0014248F" w:rsidRDefault="0014248F" w:rsidP="00EB0D85">
      <w:pPr>
        <w:pStyle w:val="TableFigureheading"/>
        <w:rPr>
          <w:b/>
          <w:bCs/>
          <w:color w:val="15272F" w:themeColor="text1"/>
        </w:rPr>
      </w:pPr>
    </w:p>
    <w:p w14:paraId="28243344" w14:textId="02D6D0CF" w:rsidR="00EB0D85" w:rsidRDefault="00724246" w:rsidP="00EB0D85">
      <w:pPr>
        <w:pStyle w:val="TableFigureheading"/>
        <w:rPr>
          <w:b/>
          <w:bCs/>
          <w:color w:val="15272F" w:themeColor="text1"/>
        </w:rPr>
      </w:pPr>
      <w:r>
        <w:rPr>
          <w:b/>
          <w:bCs/>
          <w:color w:val="15272F" w:themeColor="text1"/>
        </w:rPr>
        <w:t>Table 18: Non-ongoing seconded employees at 30 June 202</w:t>
      </w:r>
      <w:r w:rsidR="006B0D5D">
        <w:rPr>
          <w:b/>
          <w:bCs/>
          <w:color w:val="15272F" w:themeColor="text1"/>
        </w:rPr>
        <w:t>5</w:t>
      </w:r>
    </w:p>
    <w:tbl>
      <w:tblPr>
        <w:tblStyle w:val="IHACPATable"/>
        <w:tblW w:w="14737" w:type="dxa"/>
        <w:tblLayout w:type="fixed"/>
        <w:tblLook w:val="04A0" w:firstRow="1" w:lastRow="0" w:firstColumn="1" w:lastColumn="0" w:noHBand="0" w:noVBand="1"/>
      </w:tblPr>
      <w:tblGrid>
        <w:gridCol w:w="1413"/>
        <w:gridCol w:w="709"/>
        <w:gridCol w:w="830"/>
        <w:gridCol w:w="849"/>
        <w:gridCol w:w="850"/>
        <w:gridCol w:w="850"/>
        <w:gridCol w:w="850"/>
        <w:gridCol w:w="850"/>
        <w:gridCol w:w="850"/>
        <w:gridCol w:w="850"/>
        <w:gridCol w:w="850"/>
        <w:gridCol w:w="850"/>
        <w:gridCol w:w="850"/>
        <w:gridCol w:w="850"/>
        <w:gridCol w:w="850"/>
        <w:gridCol w:w="850"/>
        <w:gridCol w:w="736"/>
      </w:tblGrid>
      <w:tr w:rsidR="00724246" w:rsidRPr="0008522A" w14:paraId="7F5CA58A" w14:textId="77777777" w:rsidTr="00ED273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A4C9533" w14:textId="77777777" w:rsidR="00724246" w:rsidRPr="005C1BF6" w:rsidRDefault="00724246" w:rsidP="00ED2732">
            <w:pPr>
              <w:suppressAutoHyphens/>
              <w:spacing w:before="120" w:after="120"/>
              <w:rPr>
                <w:rFonts w:eastAsia="Times New Roman" w:cs="Arial"/>
                <w:color w:val="auto"/>
                <w:sz w:val="18"/>
                <w:szCs w:val="18"/>
                <w:lang w:eastAsia="en-AU"/>
              </w:rPr>
            </w:pPr>
          </w:p>
        </w:tc>
        <w:tc>
          <w:tcPr>
            <w:tcW w:w="2388" w:type="dxa"/>
            <w:gridSpan w:val="3"/>
            <w:noWrap/>
            <w:hideMark/>
          </w:tcPr>
          <w:p w14:paraId="27049913"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Man/Male</w:t>
            </w:r>
          </w:p>
        </w:tc>
        <w:tc>
          <w:tcPr>
            <w:tcW w:w="2550" w:type="dxa"/>
            <w:gridSpan w:val="3"/>
            <w:noWrap/>
            <w:hideMark/>
          </w:tcPr>
          <w:p w14:paraId="767135AE"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Woman/Female</w:t>
            </w:r>
          </w:p>
        </w:tc>
        <w:tc>
          <w:tcPr>
            <w:tcW w:w="2550" w:type="dxa"/>
            <w:gridSpan w:val="3"/>
            <w:noWrap/>
            <w:hideMark/>
          </w:tcPr>
          <w:p w14:paraId="702554DC"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Non-binary</w:t>
            </w:r>
          </w:p>
        </w:tc>
        <w:tc>
          <w:tcPr>
            <w:tcW w:w="2550" w:type="dxa"/>
            <w:gridSpan w:val="3"/>
          </w:tcPr>
          <w:p w14:paraId="6335777A"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Prefers not to answer</w:t>
            </w:r>
          </w:p>
        </w:tc>
        <w:tc>
          <w:tcPr>
            <w:tcW w:w="2550" w:type="dxa"/>
            <w:gridSpan w:val="3"/>
          </w:tcPr>
          <w:p w14:paraId="15357165" w14:textId="77777777" w:rsidR="00724246" w:rsidRPr="005C1BF6" w:rsidRDefault="00724246" w:rsidP="00ED2732">
            <w:pPr>
              <w:suppressAutoHyphens/>
              <w:spacing w:before="120" w:after="12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Uses a different term</w:t>
            </w:r>
          </w:p>
        </w:tc>
        <w:tc>
          <w:tcPr>
            <w:tcW w:w="736" w:type="dxa"/>
          </w:tcPr>
          <w:p w14:paraId="3E4BDCA6" w14:textId="77777777" w:rsidR="00724246" w:rsidRPr="005C1BF6" w:rsidRDefault="00724246" w:rsidP="00ED2732">
            <w:pPr>
              <w:suppressAutoHyphens/>
              <w:spacing w:before="120" w:after="120"/>
              <w:cnfStyle w:val="100000000000" w:firstRow="1" w:lastRow="0" w:firstColumn="0" w:lastColumn="0" w:oddVBand="0" w:evenVBand="0" w:oddHBand="0" w:evenHBand="0" w:firstRowFirstColumn="0" w:firstRowLastColumn="0" w:lastRowFirstColumn="0" w:lastRowLastColumn="0"/>
              <w:rPr>
                <w:rFonts w:eastAsia="Times New Roman" w:cs="Arial"/>
                <w:color w:val="auto"/>
                <w:szCs w:val="18"/>
                <w:lang w:eastAsia="en-AU"/>
              </w:rPr>
            </w:pPr>
          </w:p>
        </w:tc>
      </w:tr>
      <w:tr w:rsidR="00724246" w:rsidRPr="00466D9C" w14:paraId="7590C1FD" w14:textId="77777777" w:rsidTr="00ED273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1413" w:type="dxa"/>
            <w:shd w:val="clear" w:color="auto" w:fill="DFEBF1" w:themeFill="text1" w:themeFillTint="1A"/>
            <w:noWrap/>
          </w:tcPr>
          <w:p w14:paraId="2047AC26" w14:textId="77777777" w:rsidR="00724246" w:rsidRPr="005C1BF6" w:rsidRDefault="00724246" w:rsidP="00ED2732">
            <w:pPr>
              <w:suppressAutoHyphens/>
              <w:spacing w:before="120" w:after="120"/>
              <w:rPr>
                <w:rFonts w:eastAsia="Times New Roman" w:cs="Arial"/>
                <w:color w:val="104F99" w:themeColor="accent2"/>
                <w:sz w:val="18"/>
                <w:szCs w:val="18"/>
                <w:lang w:eastAsia="en-AU"/>
              </w:rPr>
            </w:pPr>
          </w:p>
        </w:tc>
        <w:tc>
          <w:tcPr>
            <w:tcW w:w="709" w:type="dxa"/>
            <w:shd w:val="clear" w:color="auto" w:fill="DFEBF1" w:themeFill="text1" w:themeFillTint="1A"/>
            <w:noWrap/>
            <w:hideMark/>
          </w:tcPr>
          <w:p w14:paraId="78A401F2"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30" w:type="dxa"/>
            <w:shd w:val="clear" w:color="auto" w:fill="DFEBF1" w:themeFill="text1" w:themeFillTint="1A"/>
            <w:noWrap/>
            <w:hideMark/>
          </w:tcPr>
          <w:p w14:paraId="46EBA071"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49" w:type="dxa"/>
            <w:shd w:val="clear" w:color="auto" w:fill="DFEBF1" w:themeFill="text1" w:themeFillTint="1A"/>
            <w:noWrap/>
            <w:hideMark/>
          </w:tcPr>
          <w:p w14:paraId="5876EEE2"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noWrap/>
            <w:hideMark/>
          </w:tcPr>
          <w:p w14:paraId="65B73A27"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noWrap/>
            <w:hideMark/>
          </w:tcPr>
          <w:p w14:paraId="413ED325"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noWrap/>
            <w:hideMark/>
          </w:tcPr>
          <w:p w14:paraId="2236F847"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noWrap/>
            <w:hideMark/>
          </w:tcPr>
          <w:p w14:paraId="31DF7A5C"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noWrap/>
            <w:hideMark/>
          </w:tcPr>
          <w:p w14:paraId="6565E899"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hideMark/>
          </w:tcPr>
          <w:p w14:paraId="119912DF"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tcPr>
          <w:p w14:paraId="3875ADF5"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tcPr>
          <w:p w14:paraId="159F6BA5"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tcPr>
          <w:p w14:paraId="1FF1520A"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850" w:type="dxa"/>
            <w:shd w:val="clear" w:color="auto" w:fill="DFEBF1" w:themeFill="text1" w:themeFillTint="1A"/>
          </w:tcPr>
          <w:p w14:paraId="07E50CD9"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Full time</w:t>
            </w:r>
          </w:p>
        </w:tc>
        <w:tc>
          <w:tcPr>
            <w:tcW w:w="850" w:type="dxa"/>
            <w:shd w:val="clear" w:color="auto" w:fill="DFEBF1" w:themeFill="text1" w:themeFillTint="1A"/>
          </w:tcPr>
          <w:p w14:paraId="792A91AF"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Part time</w:t>
            </w:r>
          </w:p>
        </w:tc>
        <w:tc>
          <w:tcPr>
            <w:tcW w:w="850" w:type="dxa"/>
            <w:shd w:val="clear" w:color="auto" w:fill="DFEBF1" w:themeFill="text1" w:themeFillTint="1A"/>
          </w:tcPr>
          <w:p w14:paraId="7123D0E5"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 xml:space="preserve">Total </w:t>
            </w:r>
          </w:p>
        </w:tc>
        <w:tc>
          <w:tcPr>
            <w:tcW w:w="736" w:type="dxa"/>
            <w:shd w:val="clear" w:color="auto" w:fill="DFEBF1" w:themeFill="text1" w:themeFillTint="1A"/>
          </w:tcPr>
          <w:p w14:paraId="0611D7CF" w14:textId="77777777" w:rsidR="00724246" w:rsidRPr="008E240F"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b/>
                <w:bCs/>
                <w:szCs w:val="18"/>
                <w:lang w:eastAsia="en-AU"/>
              </w:rPr>
            </w:pPr>
            <w:r w:rsidRPr="008E240F">
              <w:rPr>
                <w:rFonts w:eastAsia="Times New Roman" w:cs="Arial"/>
                <w:b/>
                <w:bCs/>
                <w:szCs w:val="18"/>
                <w:lang w:eastAsia="en-AU"/>
              </w:rPr>
              <w:t>Total</w:t>
            </w:r>
          </w:p>
        </w:tc>
      </w:tr>
      <w:tr w:rsidR="00724246" w:rsidRPr="00466D9C" w14:paraId="28C58C37"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4D6F040A"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NSW</w:t>
            </w:r>
          </w:p>
        </w:tc>
        <w:tc>
          <w:tcPr>
            <w:tcW w:w="709" w:type="dxa"/>
            <w:noWrap/>
          </w:tcPr>
          <w:p w14:paraId="36FADAA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w:t>
            </w:r>
          </w:p>
        </w:tc>
        <w:tc>
          <w:tcPr>
            <w:tcW w:w="830" w:type="dxa"/>
            <w:noWrap/>
            <w:hideMark/>
          </w:tcPr>
          <w:p w14:paraId="50A355D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49" w:type="dxa"/>
            <w:noWrap/>
            <w:hideMark/>
          </w:tcPr>
          <w:p w14:paraId="252202A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1</w:t>
            </w:r>
          </w:p>
        </w:tc>
        <w:tc>
          <w:tcPr>
            <w:tcW w:w="850" w:type="dxa"/>
            <w:noWrap/>
            <w:hideMark/>
          </w:tcPr>
          <w:p w14:paraId="24CBEAA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8</w:t>
            </w:r>
          </w:p>
        </w:tc>
        <w:tc>
          <w:tcPr>
            <w:tcW w:w="850" w:type="dxa"/>
            <w:noWrap/>
            <w:hideMark/>
          </w:tcPr>
          <w:p w14:paraId="3DF5CE6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noWrap/>
            <w:hideMark/>
          </w:tcPr>
          <w:p w14:paraId="19FD098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8</w:t>
            </w:r>
          </w:p>
        </w:tc>
        <w:tc>
          <w:tcPr>
            <w:tcW w:w="850" w:type="dxa"/>
            <w:noWrap/>
            <w:hideMark/>
          </w:tcPr>
          <w:p w14:paraId="1B64844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noWrap/>
            <w:hideMark/>
          </w:tcPr>
          <w:p w14:paraId="7A3241C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noWrap/>
            <w:hideMark/>
          </w:tcPr>
          <w:p w14:paraId="751311F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77A4148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6CB37D7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3CE2228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4A52F06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6ADD801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850" w:type="dxa"/>
          </w:tcPr>
          <w:p w14:paraId="4E873EE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0</w:t>
            </w:r>
          </w:p>
        </w:tc>
        <w:tc>
          <w:tcPr>
            <w:tcW w:w="736" w:type="dxa"/>
          </w:tcPr>
          <w:p w14:paraId="35841FD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Pr>
                <w:rFonts w:eastAsia="Times New Roman" w:cs="Arial"/>
                <w:color w:val="auto"/>
                <w:szCs w:val="18"/>
                <w:lang w:eastAsia="en-AU"/>
              </w:rPr>
              <w:t>9</w:t>
            </w:r>
          </w:p>
        </w:tc>
      </w:tr>
      <w:tr w:rsidR="00724246" w:rsidRPr="00466D9C" w14:paraId="55F42442"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3DA0D40D"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Qld</w:t>
            </w:r>
          </w:p>
        </w:tc>
        <w:tc>
          <w:tcPr>
            <w:tcW w:w="709" w:type="dxa"/>
            <w:noWrap/>
          </w:tcPr>
          <w:p w14:paraId="5DF3C7C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30" w:type="dxa"/>
            <w:noWrap/>
            <w:hideMark/>
          </w:tcPr>
          <w:p w14:paraId="6C44A51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noWrap/>
            <w:hideMark/>
          </w:tcPr>
          <w:p w14:paraId="207F38B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4BB026B0"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3FC9161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2061364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4C6B943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5622B13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hideMark/>
          </w:tcPr>
          <w:p w14:paraId="0BF568A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0BC375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FA4D82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2063E0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48703F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AAFD7A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6F0C8A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0E4DB3B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r>
      <w:tr w:rsidR="00724246" w:rsidRPr="00466D9C" w14:paraId="7A2BE35E"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121FDB56"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SA</w:t>
            </w:r>
          </w:p>
        </w:tc>
        <w:tc>
          <w:tcPr>
            <w:tcW w:w="709" w:type="dxa"/>
            <w:noWrap/>
            <w:hideMark/>
          </w:tcPr>
          <w:p w14:paraId="6B2E202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63951F1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6AD6666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E24893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1AAFE0C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684E690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31F7F9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A6DB19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D42FED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7E376A2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EF0312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F9AC76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FE0047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01851D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007EA9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5ABF5BA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2C70E5B0"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00BE74DA"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Tas</w:t>
            </w:r>
          </w:p>
        </w:tc>
        <w:tc>
          <w:tcPr>
            <w:tcW w:w="709" w:type="dxa"/>
            <w:noWrap/>
            <w:hideMark/>
          </w:tcPr>
          <w:p w14:paraId="259591A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7601B84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3B07E78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94B0DC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F5C40F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6134397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B8E456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C08735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B3D363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365651A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887FDF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426B55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C077E7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68B1CA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1D71DD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749FAB0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5E95027A"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022868FB"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Vic</w:t>
            </w:r>
          </w:p>
        </w:tc>
        <w:tc>
          <w:tcPr>
            <w:tcW w:w="709" w:type="dxa"/>
            <w:noWrap/>
            <w:hideMark/>
          </w:tcPr>
          <w:p w14:paraId="6350291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154460C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7B405B9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6F07D39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1A4DAA1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082100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8AE1C8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1A888F0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3E2E2C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32235FE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2224EA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92FFF3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15E8A57"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2EE0FA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1DAA67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6C323E8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13D71521"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158CE8E6"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WA</w:t>
            </w:r>
          </w:p>
        </w:tc>
        <w:tc>
          <w:tcPr>
            <w:tcW w:w="709" w:type="dxa"/>
            <w:noWrap/>
            <w:hideMark/>
          </w:tcPr>
          <w:p w14:paraId="59CF8C9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0A50FF7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6065D2D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D578FE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6338510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28A728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1457B8B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4556BD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5C170C84"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7B4815F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7809CA6"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C064B0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878D9E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F4D548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4AFB8E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24560A5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55245C8A"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3D5259F2"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ACT</w:t>
            </w:r>
          </w:p>
        </w:tc>
        <w:tc>
          <w:tcPr>
            <w:tcW w:w="709" w:type="dxa"/>
            <w:noWrap/>
            <w:hideMark/>
          </w:tcPr>
          <w:p w14:paraId="1B51734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1EC046E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516C08A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89472C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320488D9"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7302C20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BDA4E2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10F5E0B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43BA1063"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54138C3E"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CF7FE0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0D9A57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8ADAC48"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9B72F2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397F130"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170C7D01"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6D1648B1"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tcPr>
          <w:p w14:paraId="6EFEF76A"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NT</w:t>
            </w:r>
          </w:p>
        </w:tc>
        <w:tc>
          <w:tcPr>
            <w:tcW w:w="709" w:type="dxa"/>
            <w:noWrap/>
          </w:tcPr>
          <w:p w14:paraId="4666A32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tcPr>
          <w:p w14:paraId="6A8EF75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tcPr>
          <w:p w14:paraId="09B3F0C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57295EF5"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692CB43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730AB2A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7C751A4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337E96DF"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tcPr>
          <w:p w14:paraId="1A6ECAF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276C68E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501283C"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8712FC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4941F487"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24EAAB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EF8403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34C462F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3C05A63F"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tcPr>
          <w:p w14:paraId="0AEFA4C4"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External Territories</w:t>
            </w:r>
          </w:p>
        </w:tc>
        <w:tc>
          <w:tcPr>
            <w:tcW w:w="709" w:type="dxa"/>
            <w:noWrap/>
          </w:tcPr>
          <w:p w14:paraId="2690AD6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30" w:type="dxa"/>
            <w:noWrap/>
          </w:tcPr>
          <w:p w14:paraId="1759E73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49" w:type="dxa"/>
            <w:noWrap/>
          </w:tcPr>
          <w:p w14:paraId="6F091BA6"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4B769F3F"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20C81C1D"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37EB516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599F10E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4658F72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noWrap/>
          </w:tcPr>
          <w:p w14:paraId="5E0EE065"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BC3703C"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3B59D1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95764FA"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68C98F7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17913DAB"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39F78B82"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68AFD184" w14:textId="77777777" w:rsidR="00724246" w:rsidRPr="005C1BF6"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r>
      <w:tr w:rsidR="00724246" w:rsidRPr="00466D9C" w14:paraId="707B8444" w14:textId="77777777" w:rsidTr="00ED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hideMark/>
          </w:tcPr>
          <w:p w14:paraId="3FC78AF0" w14:textId="77777777" w:rsidR="00724246" w:rsidRPr="005C1BF6" w:rsidRDefault="00724246" w:rsidP="00ED2732">
            <w:pPr>
              <w:suppressAutoHyphens/>
              <w:spacing w:before="120" w:after="120"/>
              <w:rPr>
                <w:rFonts w:eastAsia="Times New Roman" w:cs="Arial"/>
                <w:b/>
                <w:bCs/>
                <w:color w:val="auto"/>
                <w:sz w:val="18"/>
                <w:szCs w:val="18"/>
                <w:lang w:eastAsia="en-AU"/>
              </w:rPr>
            </w:pPr>
            <w:r w:rsidRPr="005C1BF6">
              <w:rPr>
                <w:rFonts w:eastAsia="Times New Roman" w:cs="Arial"/>
                <w:color w:val="auto"/>
                <w:sz w:val="18"/>
                <w:szCs w:val="18"/>
                <w:lang w:eastAsia="en-AU"/>
              </w:rPr>
              <w:t>Overseas</w:t>
            </w:r>
          </w:p>
        </w:tc>
        <w:tc>
          <w:tcPr>
            <w:tcW w:w="709" w:type="dxa"/>
            <w:noWrap/>
            <w:hideMark/>
          </w:tcPr>
          <w:p w14:paraId="652A010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30" w:type="dxa"/>
            <w:noWrap/>
            <w:hideMark/>
          </w:tcPr>
          <w:p w14:paraId="1776AD0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49" w:type="dxa"/>
            <w:noWrap/>
            <w:hideMark/>
          </w:tcPr>
          <w:p w14:paraId="3ED8E1ED"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16008A8"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7C38DA6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2C1FF5FE"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612CD0E3"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F56767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noWrap/>
            <w:hideMark/>
          </w:tcPr>
          <w:p w14:paraId="030BC9EA"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c>
          <w:tcPr>
            <w:tcW w:w="850" w:type="dxa"/>
          </w:tcPr>
          <w:p w14:paraId="764DD432"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2D2793B"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7F81889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2762505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01AFFB4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850" w:type="dxa"/>
          </w:tcPr>
          <w:p w14:paraId="5747DA69"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w:t>
            </w:r>
          </w:p>
        </w:tc>
        <w:tc>
          <w:tcPr>
            <w:tcW w:w="736" w:type="dxa"/>
          </w:tcPr>
          <w:p w14:paraId="7A92E581" w14:textId="77777777" w:rsidR="00724246" w:rsidRPr="005C1BF6" w:rsidRDefault="00724246" w:rsidP="00ED2732">
            <w:pPr>
              <w:suppressAutoHyphens/>
              <w:spacing w:before="120" w:after="120"/>
              <w:cnfStyle w:val="000000100000" w:firstRow="0" w:lastRow="0" w:firstColumn="0" w:lastColumn="0" w:oddVBand="0" w:evenVBand="0" w:oddHBand="1" w:evenHBand="0" w:firstRowFirstColumn="0" w:firstRowLastColumn="0" w:lastRowFirstColumn="0" w:lastRowLastColumn="0"/>
              <w:rPr>
                <w:rFonts w:eastAsia="Times New Roman" w:cs="Arial"/>
                <w:color w:val="auto"/>
                <w:szCs w:val="18"/>
                <w:lang w:eastAsia="en-AU"/>
              </w:rPr>
            </w:pPr>
            <w:r w:rsidRPr="005C1BF6">
              <w:rPr>
                <w:rFonts w:eastAsia="Times New Roman" w:cs="Arial"/>
                <w:color w:val="auto"/>
                <w:szCs w:val="18"/>
                <w:lang w:eastAsia="en-AU"/>
              </w:rPr>
              <w:t> -</w:t>
            </w:r>
          </w:p>
        </w:tc>
      </w:tr>
      <w:tr w:rsidR="00724246" w:rsidRPr="00466D9C" w14:paraId="32EFC056" w14:textId="77777777" w:rsidTr="00ED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tcPr>
          <w:p w14:paraId="4D8E0F07" w14:textId="77777777" w:rsidR="00724246" w:rsidRPr="007D32F7" w:rsidRDefault="00724246" w:rsidP="00ED2732">
            <w:pPr>
              <w:suppressAutoHyphens/>
              <w:spacing w:before="120" w:after="120"/>
              <w:rPr>
                <w:rFonts w:eastAsia="Times New Roman" w:cs="Arial"/>
                <w:color w:val="auto"/>
                <w:sz w:val="18"/>
                <w:szCs w:val="18"/>
                <w:lang w:eastAsia="en-AU"/>
              </w:rPr>
            </w:pPr>
            <w:r w:rsidRPr="007D32F7">
              <w:rPr>
                <w:rFonts w:eastAsia="Times New Roman" w:cs="Arial"/>
                <w:color w:val="auto"/>
                <w:sz w:val="18"/>
                <w:szCs w:val="18"/>
                <w:lang w:eastAsia="en-AU"/>
              </w:rPr>
              <w:t xml:space="preserve">Total </w:t>
            </w:r>
          </w:p>
        </w:tc>
        <w:tc>
          <w:tcPr>
            <w:tcW w:w="709" w:type="dxa"/>
            <w:noWrap/>
          </w:tcPr>
          <w:p w14:paraId="5DE34FCA"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w:t>
            </w:r>
          </w:p>
        </w:tc>
        <w:tc>
          <w:tcPr>
            <w:tcW w:w="830" w:type="dxa"/>
            <w:noWrap/>
          </w:tcPr>
          <w:p w14:paraId="7478E6D3"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49" w:type="dxa"/>
            <w:noWrap/>
          </w:tcPr>
          <w:p w14:paraId="5D3C22D0"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1</w:t>
            </w:r>
          </w:p>
        </w:tc>
        <w:tc>
          <w:tcPr>
            <w:tcW w:w="850" w:type="dxa"/>
            <w:noWrap/>
          </w:tcPr>
          <w:p w14:paraId="671070A2"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8</w:t>
            </w:r>
          </w:p>
        </w:tc>
        <w:tc>
          <w:tcPr>
            <w:tcW w:w="850" w:type="dxa"/>
            <w:noWrap/>
          </w:tcPr>
          <w:p w14:paraId="7CBDE657"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noWrap/>
          </w:tcPr>
          <w:p w14:paraId="1C3AA29A"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8</w:t>
            </w:r>
          </w:p>
        </w:tc>
        <w:tc>
          <w:tcPr>
            <w:tcW w:w="850" w:type="dxa"/>
            <w:noWrap/>
          </w:tcPr>
          <w:p w14:paraId="107C9F54"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noWrap/>
          </w:tcPr>
          <w:p w14:paraId="17F90188"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noWrap/>
          </w:tcPr>
          <w:p w14:paraId="46BC71BB"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4663FD08"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04EEFD8B"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5F81649B"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01FD8779"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7642D56A"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850" w:type="dxa"/>
          </w:tcPr>
          <w:p w14:paraId="7D024702"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0</w:t>
            </w:r>
          </w:p>
        </w:tc>
        <w:tc>
          <w:tcPr>
            <w:tcW w:w="736" w:type="dxa"/>
          </w:tcPr>
          <w:p w14:paraId="5B6B001A" w14:textId="77777777" w:rsidR="00724246" w:rsidRPr="007D32F7" w:rsidRDefault="00724246" w:rsidP="00ED2732">
            <w:pPr>
              <w:suppressAutoHyphens/>
              <w:spacing w:before="120" w:after="120"/>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Cs w:val="18"/>
                <w:lang w:eastAsia="en-AU"/>
              </w:rPr>
            </w:pPr>
            <w:r>
              <w:rPr>
                <w:rFonts w:eastAsia="Times New Roman" w:cs="Arial"/>
                <w:b/>
                <w:bCs/>
                <w:color w:val="auto"/>
                <w:szCs w:val="18"/>
                <w:lang w:eastAsia="en-AU"/>
              </w:rPr>
              <w:t>9</w:t>
            </w:r>
          </w:p>
        </w:tc>
      </w:tr>
    </w:tbl>
    <w:p w14:paraId="2674712C" w14:textId="77777777" w:rsidR="00EB0D85" w:rsidRDefault="00EB0D85" w:rsidP="00EB0D85">
      <w:pPr>
        <w:pStyle w:val="TableFigureheading"/>
        <w:rPr>
          <w:b/>
          <w:bCs/>
          <w:color w:val="15272F" w:themeColor="text1"/>
        </w:rPr>
      </w:pPr>
    </w:p>
    <w:p w14:paraId="5C49342D" w14:textId="77777777" w:rsidR="00724246" w:rsidRDefault="00724246" w:rsidP="00EB0D85">
      <w:pPr>
        <w:pStyle w:val="TableFigureheading"/>
        <w:rPr>
          <w:b/>
          <w:bCs/>
          <w:color w:val="15272F" w:themeColor="text1"/>
        </w:rPr>
        <w:sectPr w:rsidR="00724246" w:rsidSect="001A5C57">
          <w:pgSz w:w="16838" w:h="11906" w:orient="landscape"/>
          <w:pgMar w:top="1077" w:right="1440" w:bottom="1077" w:left="1440" w:header="709" w:footer="709" w:gutter="0"/>
          <w:cols w:space="708"/>
          <w:docGrid w:linePitch="360"/>
        </w:sectPr>
      </w:pPr>
    </w:p>
    <w:p w14:paraId="17E4B3C9" w14:textId="77777777" w:rsidR="00724246" w:rsidRDefault="00724246" w:rsidP="00724246">
      <w:pPr>
        <w:pStyle w:val="Heading1"/>
      </w:pPr>
      <w:bookmarkStart w:id="1066" w:name="_Toc233022351"/>
      <w:bookmarkStart w:id="1067" w:name="_Toc233023112"/>
      <w:bookmarkStart w:id="1068" w:name="_Toc233023440"/>
      <w:bookmarkStart w:id="1069" w:name="_Toc233028763"/>
      <w:bookmarkStart w:id="1070" w:name="_Toc233028940"/>
      <w:bookmarkStart w:id="1071" w:name="_Toc235787519"/>
      <w:bookmarkStart w:id="1072" w:name="_Toc235791657"/>
      <w:bookmarkStart w:id="1073" w:name="_Toc237872760"/>
      <w:r>
        <w:lastRenderedPageBreak/>
        <w:t xml:space="preserve">Appendix D – Climate </w:t>
      </w:r>
      <w:bookmarkEnd w:id="1066"/>
      <w:bookmarkEnd w:id="1067"/>
      <w:bookmarkEnd w:id="1068"/>
      <w:bookmarkEnd w:id="1069"/>
      <w:bookmarkEnd w:id="1070"/>
      <w:r>
        <w:t>statement</w:t>
      </w:r>
      <w:bookmarkEnd w:id="1071"/>
      <w:bookmarkEnd w:id="1072"/>
      <w:bookmarkEnd w:id="1073"/>
      <w:r>
        <w:t xml:space="preserve"> </w:t>
      </w:r>
      <w:r>
        <w:tab/>
      </w:r>
    </w:p>
    <w:p w14:paraId="3BD1E6E8" w14:textId="77777777" w:rsidR="00724246" w:rsidRPr="009D1874" w:rsidRDefault="00724246" w:rsidP="00724246">
      <w:pPr>
        <w:pStyle w:val="Heading2"/>
      </w:pPr>
      <w:bookmarkStart w:id="1074" w:name="_Toc233021859"/>
      <w:bookmarkStart w:id="1075" w:name="_Toc233022352"/>
      <w:bookmarkStart w:id="1076" w:name="_Toc233023113"/>
      <w:bookmarkStart w:id="1077" w:name="_Toc233023441"/>
      <w:bookmarkStart w:id="1078" w:name="_Toc233028764"/>
      <w:bookmarkStart w:id="1079" w:name="_Toc233028941"/>
      <w:bookmarkStart w:id="1080" w:name="_Toc235787520"/>
      <w:bookmarkStart w:id="1081" w:name="_Toc235791658"/>
      <w:bookmarkStart w:id="1082" w:name="_Toc237872761"/>
      <w:r w:rsidRPr="009D1874">
        <w:t>Ecologically sustainable development and environmental performance</w:t>
      </w:r>
      <w:bookmarkEnd w:id="1074"/>
      <w:bookmarkEnd w:id="1075"/>
      <w:bookmarkEnd w:id="1076"/>
      <w:bookmarkEnd w:id="1077"/>
      <w:bookmarkEnd w:id="1078"/>
      <w:bookmarkEnd w:id="1079"/>
      <w:bookmarkEnd w:id="1080"/>
      <w:bookmarkEnd w:id="1081"/>
      <w:bookmarkEnd w:id="1082"/>
    </w:p>
    <w:p w14:paraId="7E9437A8" w14:textId="77777777" w:rsidR="00724246" w:rsidRPr="00B549E6" w:rsidRDefault="00724246" w:rsidP="00724246">
      <w:pPr>
        <w:rPr>
          <w:rFonts w:cs="Arial"/>
          <w:color w:val="auto"/>
        </w:rPr>
      </w:pPr>
      <w:r w:rsidRPr="00467010">
        <w:rPr>
          <w:rFonts w:cs="Arial"/>
        </w:rPr>
        <w:t xml:space="preserve">IHACPA does not undertake any substantive work that is covered by section 516A of the </w:t>
      </w:r>
      <w:hyperlink r:id="rId69" w:history="1">
        <w:r w:rsidRPr="0083261F">
          <w:rPr>
            <w:rStyle w:val="Hyperlink"/>
            <w:rFonts w:cs="Arial"/>
            <w:i/>
            <w:iCs/>
          </w:rPr>
          <w:t>Environment Protection and Biodiversity Conservation Act 1999</w:t>
        </w:r>
      </w:hyperlink>
      <w:r w:rsidRPr="00E214FE">
        <w:rPr>
          <w:rFonts w:cs="Arial"/>
        </w:rPr>
        <w:t xml:space="preserve"> </w:t>
      </w:r>
      <w:r w:rsidRPr="00467010">
        <w:rPr>
          <w:rFonts w:cs="Arial"/>
        </w:rPr>
        <w:t>(EPBC Act).</w:t>
      </w:r>
    </w:p>
    <w:p w14:paraId="17281F05" w14:textId="77777777" w:rsidR="00724246" w:rsidRPr="009D1874" w:rsidRDefault="00724246" w:rsidP="00724246">
      <w:pPr>
        <w:pStyle w:val="Heading2"/>
      </w:pPr>
      <w:bookmarkStart w:id="1083" w:name="_Toc233021860"/>
      <w:bookmarkStart w:id="1084" w:name="_Toc233022353"/>
      <w:bookmarkStart w:id="1085" w:name="_Toc233023114"/>
      <w:bookmarkStart w:id="1086" w:name="_Toc233023442"/>
      <w:bookmarkStart w:id="1087" w:name="_Toc233028765"/>
      <w:bookmarkStart w:id="1088" w:name="_Toc233028942"/>
      <w:bookmarkStart w:id="1089" w:name="_Toc235787521"/>
      <w:bookmarkStart w:id="1090" w:name="_Toc235791659"/>
      <w:bookmarkStart w:id="1091" w:name="_Toc237872762"/>
      <w:r w:rsidRPr="009D1874">
        <w:t>Australian Public Service Net Zero 2030</w:t>
      </w:r>
      <w:bookmarkEnd w:id="1083"/>
      <w:bookmarkEnd w:id="1084"/>
      <w:bookmarkEnd w:id="1085"/>
      <w:bookmarkEnd w:id="1086"/>
      <w:bookmarkEnd w:id="1087"/>
      <w:bookmarkEnd w:id="1088"/>
      <w:bookmarkEnd w:id="1089"/>
      <w:bookmarkEnd w:id="1090"/>
      <w:bookmarkEnd w:id="1091"/>
    </w:p>
    <w:p w14:paraId="2EB97D80" w14:textId="77777777" w:rsidR="00D824EC" w:rsidRPr="001B4D1B" w:rsidRDefault="00D824EC" w:rsidP="00D824EC">
      <w:pPr>
        <w:rPr>
          <w:rFonts w:cs="Arial"/>
        </w:rPr>
      </w:pPr>
      <w:r>
        <w:rPr>
          <w:rFonts w:cs="Arial"/>
        </w:rPr>
        <w:t xml:space="preserve">As part of the reporting requirements under section 516A of </w:t>
      </w:r>
      <w:r w:rsidRPr="0085051F">
        <w:rPr>
          <w:rFonts w:cs="Arial"/>
          <w:i/>
          <w:iCs/>
        </w:rPr>
        <w:t>the Environment Protection and Biodiversity Conservation Act 1999</w:t>
      </w:r>
      <w:r w:rsidRPr="0085051F">
        <w:rPr>
          <w:rFonts w:cs="Arial"/>
        </w:rPr>
        <w:t xml:space="preserve">, </w:t>
      </w:r>
      <w:r>
        <w:rPr>
          <w:rFonts w:cs="Arial"/>
        </w:rPr>
        <w:t xml:space="preserve">and in line with the Government’s Australian Public Service Net Zero 2030 policy, all non-corporate Commonwealth entities and corporate Commonwealth entities are required to publicly report on the emissions from their operations. </w:t>
      </w:r>
    </w:p>
    <w:p w14:paraId="17AE7000" w14:textId="77777777" w:rsidR="00BA34CB" w:rsidRPr="00467010" w:rsidRDefault="00BA34CB" w:rsidP="00BA34CB">
      <w:pPr>
        <w:rPr>
          <w:rFonts w:cs="Arial"/>
        </w:rPr>
      </w:pPr>
      <w:r w:rsidRPr="00467010">
        <w:rPr>
          <w:rFonts w:cs="Arial"/>
        </w:rPr>
        <w:t xml:space="preserve">The </w:t>
      </w:r>
      <w:r>
        <w:rPr>
          <w:rFonts w:cs="Arial"/>
        </w:rPr>
        <w:t>G</w:t>
      </w:r>
      <w:r w:rsidRPr="00467010">
        <w:rPr>
          <w:rFonts w:cs="Arial"/>
        </w:rPr>
        <w:t xml:space="preserve">reenhouse </w:t>
      </w:r>
      <w:r>
        <w:rPr>
          <w:rFonts w:cs="Arial"/>
        </w:rPr>
        <w:t>G</w:t>
      </w:r>
      <w:r w:rsidRPr="00467010">
        <w:rPr>
          <w:rFonts w:cs="Arial"/>
        </w:rPr>
        <w:t xml:space="preserve">as </w:t>
      </w:r>
      <w:r>
        <w:rPr>
          <w:rFonts w:cs="Arial"/>
        </w:rPr>
        <w:t>E</w:t>
      </w:r>
      <w:r w:rsidRPr="00467010">
        <w:rPr>
          <w:rFonts w:cs="Arial"/>
        </w:rPr>
        <w:t xml:space="preserve">missions </w:t>
      </w:r>
      <w:r>
        <w:rPr>
          <w:rFonts w:cs="Arial"/>
        </w:rPr>
        <w:t>I</w:t>
      </w:r>
      <w:r w:rsidRPr="00467010">
        <w:rPr>
          <w:rFonts w:cs="Arial"/>
        </w:rPr>
        <w:t xml:space="preserve">nventory </w:t>
      </w:r>
      <w:r>
        <w:rPr>
          <w:rFonts w:cs="Arial"/>
        </w:rPr>
        <w:t xml:space="preserve">and Electricity Greenhouse Gas Emissions </w:t>
      </w:r>
      <w:r w:rsidRPr="00467010">
        <w:rPr>
          <w:rFonts w:cs="Arial"/>
        </w:rPr>
        <w:t xml:space="preserve">tables </w:t>
      </w:r>
      <w:r>
        <w:rPr>
          <w:rFonts w:cs="Arial"/>
        </w:rPr>
        <w:t xml:space="preserve">below </w:t>
      </w:r>
      <w:r w:rsidRPr="003C4D27">
        <w:rPr>
          <w:rFonts w:cs="Arial"/>
        </w:rPr>
        <w:t>presents greenhouse gas emissions over the 2025-2026 period. Results are on the basis of Carbon Dioxide Equivalent (CO</w:t>
      </w:r>
      <w:r w:rsidRPr="003C4D27">
        <w:rPr>
          <w:rFonts w:cs="Arial"/>
          <w:vertAlign w:val="subscript"/>
        </w:rPr>
        <w:t>2</w:t>
      </w:r>
      <w:r w:rsidRPr="003C4D27">
        <w:rPr>
          <w:rFonts w:cs="Arial"/>
        </w:rPr>
        <w:t>-e) emissions. Greenhouse gas emissions reporting has been developed with methodology that is consistent with the Whole-of-Australian Government approach as part of the APS Net Zero 2030 policy</w:t>
      </w:r>
      <w:r>
        <w:rPr>
          <w:rFonts w:cs="Arial"/>
        </w:rPr>
        <w:t xml:space="preserve">. </w:t>
      </w:r>
    </w:p>
    <w:p w14:paraId="0D2E5BFC" w14:textId="179B35B6" w:rsidR="00724246" w:rsidRDefault="00724246" w:rsidP="00724246">
      <w:pPr>
        <w:rPr>
          <w:b/>
          <w:bCs/>
        </w:rPr>
      </w:pPr>
      <w:r w:rsidRPr="0045258E">
        <w:rPr>
          <w:b/>
          <w:bCs/>
        </w:rPr>
        <w:t xml:space="preserve">Table </w:t>
      </w:r>
      <w:r>
        <w:rPr>
          <w:b/>
          <w:bCs/>
        </w:rPr>
        <w:t>19:</w:t>
      </w:r>
      <w:r w:rsidRPr="0045258E">
        <w:rPr>
          <w:b/>
          <w:bCs/>
        </w:rPr>
        <w:t xml:space="preserve"> </w:t>
      </w:r>
      <w:r w:rsidR="001C3BBB" w:rsidRPr="00741731">
        <w:rPr>
          <w:b/>
          <w:bCs/>
        </w:rPr>
        <w:t>2025</w:t>
      </w:r>
      <w:r w:rsidR="001C3BBB">
        <w:rPr>
          <w:b/>
          <w:bCs/>
        </w:rPr>
        <w:t>–</w:t>
      </w:r>
      <w:r w:rsidR="001C3BBB" w:rsidRPr="00741731">
        <w:rPr>
          <w:b/>
          <w:bCs/>
        </w:rPr>
        <w:t xml:space="preserve">26 Greenhouse Gas Emissions Inventory – Location-based </w:t>
      </w:r>
    </w:p>
    <w:tbl>
      <w:tblPr>
        <w:tblStyle w:val="IHACPATable"/>
        <w:tblW w:w="0" w:type="auto"/>
        <w:tblLayout w:type="fixed"/>
        <w:tblLook w:val="01E0" w:firstRow="1" w:lastRow="1" w:firstColumn="1" w:lastColumn="1" w:noHBand="0" w:noVBand="0"/>
      </w:tblPr>
      <w:tblGrid>
        <w:gridCol w:w="3261"/>
        <w:gridCol w:w="1594"/>
        <w:gridCol w:w="1595"/>
        <w:gridCol w:w="1594"/>
        <w:gridCol w:w="1595"/>
      </w:tblGrid>
      <w:tr w:rsidR="00724246" w:rsidRPr="00E214FE" w14:paraId="2F1726B3" w14:textId="77777777" w:rsidTr="00ED2732">
        <w:trPr>
          <w:cnfStyle w:val="100000000000" w:firstRow="1" w:lastRow="0" w:firstColumn="0" w:lastColumn="0" w:oddVBand="0" w:evenVBand="0" w:oddHBand="0"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3261" w:type="dxa"/>
          </w:tcPr>
          <w:p w14:paraId="468B9109" w14:textId="77777777" w:rsidR="00724246" w:rsidRPr="000B7819" w:rsidRDefault="00724246" w:rsidP="00ED2732">
            <w:pPr>
              <w:pStyle w:val="TableParagraph"/>
              <w:framePr w:hSpace="0" w:wrap="auto" w:vAnchor="margin" w:hAnchor="text" w:yAlign="inline"/>
              <w:ind w:left="142"/>
              <w:jc w:val="left"/>
              <w:rPr>
                <w:b/>
                <w:bCs/>
                <w:color w:val="FFFFFF" w:themeColor="background2"/>
              </w:rPr>
            </w:pPr>
            <w:r w:rsidRPr="000B7819">
              <w:rPr>
                <w:b/>
                <w:bCs/>
                <w:color w:val="FFFFFF" w:themeColor="background2"/>
              </w:rPr>
              <w:t>Emission source</w:t>
            </w:r>
          </w:p>
        </w:tc>
        <w:tc>
          <w:tcPr>
            <w:tcW w:w="1594" w:type="dxa"/>
          </w:tcPr>
          <w:p w14:paraId="7347F2D6" w14:textId="77777777" w:rsidR="00724246" w:rsidRDefault="00724246" w:rsidP="00ED2732">
            <w:pPr>
              <w:pStyle w:val="TableParagraph"/>
              <w:framePr w:hSpace="0" w:wrap="auto" w:vAnchor="margin" w:hAnchor="text" w:yAlign="inline"/>
              <w:ind w:left="142"/>
              <w:jc w:val="left"/>
              <w:cnfStyle w:val="100000000000" w:firstRow="1" w:lastRow="0" w:firstColumn="0" w:lastColumn="0" w:oddVBand="0" w:evenVBand="0" w:oddHBand="0" w:evenHBand="0" w:firstRowFirstColumn="0" w:firstRowLastColumn="0" w:lastRowFirstColumn="0" w:lastRowLastColumn="0"/>
              <w:rPr>
                <w:b/>
                <w:bCs/>
                <w:color w:val="FFFFFF" w:themeColor="background2"/>
              </w:rPr>
            </w:pPr>
            <w:r w:rsidRPr="000B7819">
              <w:rPr>
                <w:b/>
                <w:bCs/>
                <w:color w:val="FFFFFF" w:themeColor="background2"/>
              </w:rPr>
              <w:t xml:space="preserve">Scope 1 </w:t>
            </w:r>
          </w:p>
          <w:p w14:paraId="2A3C0384" w14:textId="77777777" w:rsidR="00724246" w:rsidRPr="000B7819" w:rsidRDefault="00724246" w:rsidP="00ED2732">
            <w:pPr>
              <w:pStyle w:val="TableParagraph"/>
              <w:framePr w:hSpace="0" w:wrap="auto" w:vAnchor="margin" w:hAnchor="text" w:yAlign="inline"/>
              <w:ind w:left="142"/>
              <w:jc w:val="left"/>
              <w:cnfStyle w:val="100000000000" w:firstRow="1" w:lastRow="0" w:firstColumn="0" w:lastColumn="0" w:oddVBand="0" w:evenVBand="0" w:oddHBand="0" w:evenHBand="0" w:firstRowFirstColumn="0" w:firstRowLastColumn="0" w:lastRowFirstColumn="0" w:lastRowLastColumn="0"/>
              <w:rPr>
                <w:b/>
                <w:bCs/>
                <w:color w:val="FFFFFF" w:themeColor="background2"/>
              </w:rPr>
            </w:pPr>
            <w:r w:rsidRPr="000B7819">
              <w:rPr>
                <w:rFonts w:eastAsia="Times New Roman"/>
                <w:b/>
                <w:bCs/>
                <w:color w:val="FFFFFF" w:themeColor="background2"/>
                <w:lang w:eastAsia="en-AU"/>
              </w:rPr>
              <w:t>t</w:t>
            </w:r>
            <w:r w:rsidRPr="000B7819">
              <w:rPr>
                <w:b/>
                <w:bCs/>
                <w:color w:val="FFFFFF" w:themeColor="background2"/>
              </w:rPr>
              <w:t xml:space="preserve"> CO</w:t>
            </w:r>
            <w:r w:rsidRPr="000B7819">
              <w:rPr>
                <w:b/>
                <w:bCs/>
                <w:color w:val="FFFFFF" w:themeColor="background2"/>
                <w:vertAlign w:val="subscript"/>
              </w:rPr>
              <w:t>2</w:t>
            </w:r>
            <w:r w:rsidRPr="000B7819">
              <w:rPr>
                <w:rFonts w:ascii="Cambria Math" w:hAnsi="Cambria Math" w:cs="Cambria Math"/>
                <w:b/>
                <w:bCs/>
                <w:color w:val="FFFFFF" w:themeColor="background2"/>
              </w:rPr>
              <w:t>‑</w:t>
            </w:r>
            <w:r w:rsidRPr="000B7819">
              <w:rPr>
                <w:b/>
                <w:bCs/>
                <w:color w:val="FFFFFF" w:themeColor="background2"/>
              </w:rPr>
              <w:t>e</w:t>
            </w:r>
          </w:p>
        </w:tc>
        <w:tc>
          <w:tcPr>
            <w:tcW w:w="1595" w:type="dxa"/>
          </w:tcPr>
          <w:p w14:paraId="5B5F9786" w14:textId="77777777" w:rsidR="00724246" w:rsidRDefault="00724246" w:rsidP="00ED2732">
            <w:pPr>
              <w:pStyle w:val="TableParagraph"/>
              <w:framePr w:hSpace="0" w:wrap="auto" w:vAnchor="margin" w:hAnchor="text" w:yAlign="inline"/>
              <w:ind w:left="142"/>
              <w:jc w:val="left"/>
              <w:cnfStyle w:val="100000000000" w:firstRow="1" w:lastRow="0" w:firstColumn="0" w:lastColumn="0" w:oddVBand="0" w:evenVBand="0" w:oddHBand="0" w:evenHBand="0" w:firstRowFirstColumn="0" w:firstRowLastColumn="0" w:lastRowFirstColumn="0" w:lastRowLastColumn="0"/>
              <w:rPr>
                <w:b/>
                <w:bCs/>
                <w:color w:val="FFFFFF" w:themeColor="background2"/>
              </w:rPr>
            </w:pPr>
            <w:r w:rsidRPr="000B7819">
              <w:rPr>
                <w:b/>
                <w:bCs/>
                <w:color w:val="FFFFFF" w:themeColor="background2"/>
              </w:rPr>
              <w:t xml:space="preserve">Scope 2 </w:t>
            </w:r>
          </w:p>
          <w:p w14:paraId="7D44CED6" w14:textId="77777777" w:rsidR="00724246" w:rsidRPr="000B7819" w:rsidRDefault="00724246" w:rsidP="00ED2732">
            <w:pPr>
              <w:pStyle w:val="TableParagraph"/>
              <w:framePr w:hSpace="0" w:wrap="auto" w:vAnchor="margin" w:hAnchor="text" w:yAlign="inline"/>
              <w:ind w:left="142"/>
              <w:jc w:val="left"/>
              <w:cnfStyle w:val="100000000000" w:firstRow="1" w:lastRow="0" w:firstColumn="0" w:lastColumn="0" w:oddVBand="0" w:evenVBand="0" w:oddHBand="0" w:evenHBand="0" w:firstRowFirstColumn="0" w:firstRowLastColumn="0" w:lastRowFirstColumn="0" w:lastRowLastColumn="0"/>
              <w:rPr>
                <w:b/>
                <w:bCs/>
                <w:color w:val="FFFFFF" w:themeColor="background2"/>
              </w:rPr>
            </w:pPr>
            <w:r w:rsidRPr="000B7819">
              <w:rPr>
                <w:rFonts w:eastAsia="Times New Roman"/>
                <w:b/>
                <w:bCs/>
                <w:color w:val="FFFFFF" w:themeColor="background2"/>
                <w:lang w:eastAsia="en-AU"/>
              </w:rPr>
              <w:t>t</w:t>
            </w:r>
            <w:r w:rsidRPr="000B7819">
              <w:rPr>
                <w:b/>
                <w:bCs/>
                <w:color w:val="FFFFFF" w:themeColor="background2"/>
              </w:rPr>
              <w:t xml:space="preserve"> CO</w:t>
            </w:r>
            <w:r w:rsidRPr="000B7819">
              <w:rPr>
                <w:b/>
                <w:bCs/>
                <w:color w:val="FFFFFF" w:themeColor="background2"/>
                <w:vertAlign w:val="subscript"/>
              </w:rPr>
              <w:t>2</w:t>
            </w:r>
            <w:r w:rsidRPr="000B7819">
              <w:rPr>
                <w:rFonts w:ascii="Cambria Math" w:hAnsi="Cambria Math" w:cs="Cambria Math"/>
                <w:b/>
                <w:bCs/>
                <w:color w:val="FFFFFF" w:themeColor="background2"/>
              </w:rPr>
              <w:t>‑</w:t>
            </w:r>
            <w:r w:rsidRPr="000B7819">
              <w:rPr>
                <w:b/>
                <w:bCs/>
                <w:color w:val="FFFFFF" w:themeColor="background2"/>
              </w:rPr>
              <w:t>e</w:t>
            </w:r>
          </w:p>
        </w:tc>
        <w:tc>
          <w:tcPr>
            <w:tcW w:w="1594" w:type="dxa"/>
          </w:tcPr>
          <w:p w14:paraId="53BFDBCE" w14:textId="77777777" w:rsidR="00724246" w:rsidRDefault="00724246" w:rsidP="00ED2732">
            <w:pPr>
              <w:pStyle w:val="TableParagraph"/>
              <w:framePr w:hSpace="0" w:wrap="auto" w:vAnchor="margin" w:hAnchor="text" w:yAlign="inline"/>
              <w:ind w:left="142"/>
              <w:jc w:val="left"/>
              <w:cnfStyle w:val="100000000000" w:firstRow="1" w:lastRow="0" w:firstColumn="0" w:lastColumn="0" w:oddVBand="0" w:evenVBand="0" w:oddHBand="0" w:evenHBand="0" w:firstRowFirstColumn="0" w:firstRowLastColumn="0" w:lastRowFirstColumn="0" w:lastRowLastColumn="0"/>
              <w:rPr>
                <w:b/>
                <w:bCs/>
                <w:color w:val="FFFFFF" w:themeColor="background2"/>
              </w:rPr>
            </w:pPr>
            <w:r w:rsidRPr="000B7819">
              <w:rPr>
                <w:b/>
                <w:bCs/>
                <w:color w:val="FFFFFF" w:themeColor="background2"/>
              </w:rPr>
              <w:t xml:space="preserve">Scope 3 </w:t>
            </w:r>
          </w:p>
          <w:p w14:paraId="0260559E" w14:textId="77777777" w:rsidR="00724246" w:rsidRPr="000B7819" w:rsidRDefault="00724246" w:rsidP="00ED2732">
            <w:pPr>
              <w:pStyle w:val="TableParagraph"/>
              <w:framePr w:hSpace="0" w:wrap="auto" w:vAnchor="margin" w:hAnchor="text" w:yAlign="inline"/>
              <w:ind w:left="142"/>
              <w:jc w:val="left"/>
              <w:cnfStyle w:val="100000000000" w:firstRow="1" w:lastRow="0" w:firstColumn="0" w:lastColumn="0" w:oddVBand="0" w:evenVBand="0" w:oddHBand="0" w:evenHBand="0" w:firstRowFirstColumn="0" w:firstRowLastColumn="0" w:lastRowFirstColumn="0" w:lastRowLastColumn="0"/>
              <w:rPr>
                <w:b/>
                <w:bCs/>
                <w:color w:val="FFFFFF" w:themeColor="background2"/>
              </w:rPr>
            </w:pPr>
            <w:r w:rsidRPr="000B7819">
              <w:rPr>
                <w:rFonts w:eastAsia="Times New Roman"/>
                <w:b/>
                <w:bCs/>
                <w:color w:val="FFFFFF" w:themeColor="background2"/>
                <w:lang w:eastAsia="en-AU"/>
              </w:rPr>
              <w:t>t</w:t>
            </w:r>
            <w:r w:rsidRPr="000B7819">
              <w:rPr>
                <w:b/>
                <w:bCs/>
                <w:color w:val="FFFFFF" w:themeColor="background2"/>
              </w:rPr>
              <w:t xml:space="preserve"> CO</w:t>
            </w:r>
            <w:r w:rsidRPr="000B7819">
              <w:rPr>
                <w:b/>
                <w:bCs/>
                <w:color w:val="FFFFFF" w:themeColor="background2"/>
                <w:vertAlign w:val="subscript"/>
              </w:rPr>
              <w:t>2</w:t>
            </w:r>
            <w:r w:rsidRPr="000B7819">
              <w:rPr>
                <w:rFonts w:ascii="Cambria Math" w:hAnsi="Cambria Math" w:cs="Cambria Math"/>
                <w:b/>
                <w:bCs/>
                <w:color w:val="FFFFFF" w:themeColor="background2"/>
              </w:rPr>
              <w:t>‑</w:t>
            </w:r>
            <w:r w:rsidRPr="000B7819">
              <w:rPr>
                <w:b/>
                <w:bCs/>
                <w:color w:val="FFFFFF" w:themeColor="background2"/>
              </w:rPr>
              <w:t>e</w:t>
            </w:r>
          </w:p>
        </w:tc>
        <w:tc>
          <w:tcPr>
            <w:tcW w:w="1595" w:type="dxa"/>
          </w:tcPr>
          <w:p w14:paraId="44C13177" w14:textId="77777777" w:rsidR="00724246" w:rsidRDefault="00724246" w:rsidP="00ED2732">
            <w:pPr>
              <w:pStyle w:val="TableParagraph"/>
              <w:framePr w:hSpace="0" w:wrap="auto" w:vAnchor="margin" w:hAnchor="text" w:yAlign="inline"/>
              <w:ind w:left="142"/>
              <w:jc w:val="left"/>
              <w:cnfStyle w:val="100000000000" w:firstRow="1" w:lastRow="0" w:firstColumn="0" w:lastColumn="0" w:oddVBand="0" w:evenVBand="0" w:oddHBand="0" w:evenHBand="0" w:firstRowFirstColumn="0" w:firstRowLastColumn="0" w:lastRowFirstColumn="0" w:lastRowLastColumn="0"/>
              <w:rPr>
                <w:b/>
                <w:bCs/>
                <w:color w:val="FFFFFF" w:themeColor="background2"/>
              </w:rPr>
            </w:pPr>
            <w:r w:rsidRPr="000B7819">
              <w:rPr>
                <w:b/>
                <w:bCs/>
                <w:color w:val="FFFFFF" w:themeColor="background2"/>
              </w:rPr>
              <w:t xml:space="preserve">Total </w:t>
            </w:r>
          </w:p>
          <w:p w14:paraId="42937C5F" w14:textId="77777777" w:rsidR="00724246" w:rsidRPr="000B7819" w:rsidRDefault="00724246" w:rsidP="00ED2732">
            <w:pPr>
              <w:pStyle w:val="TableParagraph"/>
              <w:framePr w:hSpace="0" w:wrap="auto" w:vAnchor="margin" w:hAnchor="text" w:yAlign="inline"/>
              <w:ind w:left="142"/>
              <w:jc w:val="left"/>
              <w:cnfStyle w:val="100000000000" w:firstRow="1" w:lastRow="0" w:firstColumn="0" w:lastColumn="0" w:oddVBand="0" w:evenVBand="0" w:oddHBand="0" w:evenHBand="0" w:firstRowFirstColumn="0" w:firstRowLastColumn="0" w:lastRowFirstColumn="0" w:lastRowLastColumn="0"/>
              <w:rPr>
                <w:b/>
                <w:bCs/>
                <w:color w:val="FFFFFF" w:themeColor="background2"/>
              </w:rPr>
            </w:pPr>
            <w:r w:rsidRPr="000B7819">
              <w:rPr>
                <w:rFonts w:eastAsia="Times New Roman"/>
                <w:b/>
                <w:bCs/>
                <w:color w:val="FFFFFF" w:themeColor="background2"/>
                <w:lang w:eastAsia="en-AU"/>
              </w:rPr>
              <w:t>t</w:t>
            </w:r>
            <w:r w:rsidRPr="000B7819">
              <w:rPr>
                <w:b/>
                <w:bCs/>
                <w:color w:val="FFFFFF" w:themeColor="background2"/>
              </w:rPr>
              <w:t xml:space="preserve"> CO</w:t>
            </w:r>
            <w:r w:rsidRPr="000B7819">
              <w:rPr>
                <w:b/>
                <w:bCs/>
                <w:color w:val="FFFFFF" w:themeColor="background2"/>
                <w:vertAlign w:val="subscript"/>
              </w:rPr>
              <w:t>2</w:t>
            </w:r>
            <w:r w:rsidRPr="000B7819">
              <w:rPr>
                <w:rFonts w:ascii="Cambria Math" w:hAnsi="Cambria Math" w:cs="Cambria Math"/>
                <w:b/>
                <w:bCs/>
                <w:color w:val="FFFFFF" w:themeColor="background2"/>
              </w:rPr>
              <w:t>‑</w:t>
            </w:r>
            <w:r w:rsidRPr="000B7819">
              <w:rPr>
                <w:b/>
                <w:bCs/>
                <w:color w:val="FFFFFF" w:themeColor="background2"/>
              </w:rPr>
              <w:t>e</w:t>
            </w:r>
          </w:p>
        </w:tc>
      </w:tr>
      <w:tr w:rsidR="00724246" w:rsidRPr="00E214FE" w14:paraId="04740BFF" w14:textId="77777777" w:rsidTr="00ED273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261" w:type="dxa"/>
          </w:tcPr>
          <w:p w14:paraId="263460DE" w14:textId="0AF3BE03" w:rsidR="00724246" w:rsidRPr="003B5A22" w:rsidRDefault="00724246" w:rsidP="00ED2732">
            <w:pPr>
              <w:pStyle w:val="TableParagraph"/>
              <w:framePr w:hSpace="0" w:wrap="auto" w:vAnchor="margin" w:hAnchor="text" w:yAlign="inline"/>
              <w:ind w:left="142"/>
              <w:jc w:val="left"/>
            </w:pPr>
            <w:r w:rsidRPr="003B5A22">
              <w:t xml:space="preserve">Electricity </w:t>
            </w:r>
            <w:r w:rsidR="002E53B8">
              <w:t>(L</w:t>
            </w:r>
            <w:r w:rsidRPr="003B5A22">
              <w:t>ocation-based approach)</w:t>
            </w:r>
          </w:p>
        </w:tc>
        <w:tc>
          <w:tcPr>
            <w:tcW w:w="1594" w:type="dxa"/>
          </w:tcPr>
          <w:p w14:paraId="4274F532"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 xml:space="preserve">n/a </w:t>
            </w:r>
          </w:p>
        </w:tc>
        <w:tc>
          <w:tcPr>
            <w:tcW w:w="1595" w:type="dxa"/>
          </w:tcPr>
          <w:p w14:paraId="1BEF631F"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32.23</w:t>
            </w:r>
          </w:p>
        </w:tc>
        <w:tc>
          <w:tcPr>
            <w:tcW w:w="1594" w:type="dxa"/>
          </w:tcPr>
          <w:p w14:paraId="49BA5B93"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1.52</w:t>
            </w:r>
          </w:p>
        </w:tc>
        <w:tc>
          <w:tcPr>
            <w:tcW w:w="1595" w:type="dxa"/>
          </w:tcPr>
          <w:p w14:paraId="0D5802E7"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33.75</w:t>
            </w:r>
          </w:p>
        </w:tc>
      </w:tr>
      <w:tr w:rsidR="00724246" w:rsidRPr="00E214FE" w14:paraId="161BF071" w14:textId="77777777" w:rsidTr="00ED2732">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261" w:type="dxa"/>
          </w:tcPr>
          <w:p w14:paraId="72FCF253" w14:textId="77777777" w:rsidR="00724246" w:rsidRPr="003B5A22" w:rsidRDefault="00724246" w:rsidP="00ED2732">
            <w:pPr>
              <w:pStyle w:val="TableParagraph"/>
              <w:framePr w:hSpace="0" w:wrap="auto" w:vAnchor="margin" w:hAnchor="text" w:yAlign="inline"/>
              <w:ind w:left="142"/>
              <w:jc w:val="left"/>
            </w:pPr>
            <w:r w:rsidRPr="003B5A22">
              <w:t>Natural gas</w:t>
            </w:r>
          </w:p>
        </w:tc>
        <w:tc>
          <w:tcPr>
            <w:tcW w:w="1594" w:type="dxa"/>
          </w:tcPr>
          <w:p w14:paraId="6CE95F4C"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w:t>
            </w:r>
          </w:p>
        </w:tc>
        <w:tc>
          <w:tcPr>
            <w:tcW w:w="1595" w:type="dxa"/>
          </w:tcPr>
          <w:p w14:paraId="4FF9DE45"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n/a</w:t>
            </w:r>
          </w:p>
        </w:tc>
        <w:tc>
          <w:tcPr>
            <w:tcW w:w="1594" w:type="dxa"/>
          </w:tcPr>
          <w:p w14:paraId="3FD0DA0E"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w:t>
            </w:r>
          </w:p>
        </w:tc>
        <w:tc>
          <w:tcPr>
            <w:tcW w:w="1595" w:type="dxa"/>
          </w:tcPr>
          <w:p w14:paraId="4A4A0E85"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w:t>
            </w:r>
          </w:p>
        </w:tc>
      </w:tr>
      <w:tr w:rsidR="00724246" w:rsidRPr="00E214FE" w14:paraId="139B5FD8" w14:textId="77777777" w:rsidTr="00ED273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261" w:type="dxa"/>
          </w:tcPr>
          <w:p w14:paraId="48E3D6A6" w14:textId="77777777" w:rsidR="00724246" w:rsidRPr="003B5A22" w:rsidRDefault="00724246" w:rsidP="00ED2732">
            <w:pPr>
              <w:pStyle w:val="TableParagraph"/>
              <w:framePr w:hSpace="0" w:wrap="auto" w:vAnchor="margin" w:hAnchor="text" w:yAlign="inline"/>
              <w:ind w:left="142"/>
              <w:jc w:val="left"/>
            </w:pPr>
            <w:r w:rsidRPr="003B5A22">
              <w:t>Solid waste</w:t>
            </w:r>
          </w:p>
        </w:tc>
        <w:tc>
          <w:tcPr>
            <w:tcW w:w="1594" w:type="dxa"/>
          </w:tcPr>
          <w:p w14:paraId="67AE6F9A"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w:t>
            </w:r>
          </w:p>
        </w:tc>
        <w:tc>
          <w:tcPr>
            <w:tcW w:w="1595" w:type="dxa"/>
          </w:tcPr>
          <w:p w14:paraId="29FC43DC"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n/a</w:t>
            </w:r>
          </w:p>
        </w:tc>
        <w:tc>
          <w:tcPr>
            <w:tcW w:w="1594" w:type="dxa"/>
          </w:tcPr>
          <w:p w14:paraId="4DC40B63"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w:t>
            </w:r>
          </w:p>
        </w:tc>
        <w:tc>
          <w:tcPr>
            <w:tcW w:w="1595" w:type="dxa"/>
          </w:tcPr>
          <w:p w14:paraId="74F5C534"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w:t>
            </w:r>
          </w:p>
        </w:tc>
      </w:tr>
      <w:tr w:rsidR="00724246" w:rsidRPr="00E214FE" w14:paraId="1BBE5139" w14:textId="77777777" w:rsidTr="00ED2732">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261" w:type="dxa"/>
          </w:tcPr>
          <w:p w14:paraId="4AB89000" w14:textId="31C0BD09" w:rsidR="00724246" w:rsidRPr="003B5A22" w:rsidRDefault="00724246" w:rsidP="00ED2732">
            <w:pPr>
              <w:pStyle w:val="TableParagraph"/>
              <w:framePr w:hSpace="0" w:wrap="auto" w:vAnchor="margin" w:hAnchor="text" w:yAlign="inline"/>
              <w:ind w:left="142"/>
              <w:jc w:val="left"/>
            </w:pPr>
            <w:r w:rsidRPr="003B5A22">
              <w:t>Refrigerants</w:t>
            </w:r>
          </w:p>
        </w:tc>
        <w:tc>
          <w:tcPr>
            <w:tcW w:w="1594" w:type="dxa"/>
          </w:tcPr>
          <w:p w14:paraId="25792220"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w:t>
            </w:r>
          </w:p>
        </w:tc>
        <w:tc>
          <w:tcPr>
            <w:tcW w:w="1595" w:type="dxa"/>
          </w:tcPr>
          <w:p w14:paraId="331EDC19"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n/a</w:t>
            </w:r>
          </w:p>
        </w:tc>
        <w:tc>
          <w:tcPr>
            <w:tcW w:w="1594" w:type="dxa"/>
          </w:tcPr>
          <w:p w14:paraId="41EE86F2"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n/a</w:t>
            </w:r>
          </w:p>
        </w:tc>
        <w:tc>
          <w:tcPr>
            <w:tcW w:w="1595" w:type="dxa"/>
          </w:tcPr>
          <w:p w14:paraId="76BBBFE9"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w:t>
            </w:r>
          </w:p>
        </w:tc>
      </w:tr>
      <w:tr w:rsidR="00724246" w:rsidRPr="00E214FE" w14:paraId="07AA198A" w14:textId="77777777" w:rsidTr="00ED273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261" w:type="dxa"/>
          </w:tcPr>
          <w:p w14:paraId="6F3EA9AF" w14:textId="77777777" w:rsidR="00724246" w:rsidRPr="003B5A22" w:rsidRDefault="00724246" w:rsidP="00ED2732">
            <w:pPr>
              <w:pStyle w:val="TableParagraph"/>
              <w:framePr w:hSpace="0" w:wrap="auto" w:vAnchor="margin" w:hAnchor="text" w:yAlign="inline"/>
              <w:ind w:left="142"/>
              <w:jc w:val="left"/>
            </w:pPr>
            <w:r w:rsidRPr="003B5A22">
              <w:t>Fleet and other vehicles</w:t>
            </w:r>
          </w:p>
        </w:tc>
        <w:tc>
          <w:tcPr>
            <w:tcW w:w="1594" w:type="dxa"/>
          </w:tcPr>
          <w:p w14:paraId="52007E55"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w:t>
            </w:r>
          </w:p>
        </w:tc>
        <w:tc>
          <w:tcPr>
            <w:tcW w:w="1595" w:type="dxa"/>
          </w:tcPr>
          <w:p w14:paraId="77FB621C"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n/a</w:t>
            </w:r>
          </w:p>
        </w:tc>
        <w:tc>
          <w:tcPr>
            <w:tcW w:w="1594" w:type="dxa"/>
          </w:tcPr>
          <w:p w14:paraId="01EFC735"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w:t>
            </w:r>
          </w:p>
        </w:tc>
        <w:tc>
          <w:tcPr>
            <w:tcW w:w="1595" w:type="dxa"/>
          </w:tcPr>
          <w:p w14:paraId="66B9F99E"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w:t>
            </w:r>
          </w:p>
        </w:tc>
      </w:tr>
      <w:tr w:rsidR="00724246" w:rsidRPr="00E214FE" w14:paraId="7F62F2DE" w14:textId="77777777" w:rsidTr="00ED2732">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261" w:type="dxa"/>
          </w:tcPr>
          <w:p w14:paraId="23A28645" w14:textId="77777777" w:rsidR="00724246" w:rsidRPr="003B5A22" w:rsidRDefault="00724246" w:rsidP="00ED2732">
            <w:pPr>
              <w:pStyle w:val="TableParagraph"/>
              <w:framePr w:hSpace="0" w:wrap="auto" w:vAnchor="margin" w:hAnchor="text" w:yAlign="inline"/>
              <w:ind w:left="142"/>
              <w:jc w:val="left"/>
            </w:pPr>
            <w:r w:rsidRPr="003B5A22">
              <w:t>Domestic commercial flights</w:t>
            </w:r>
          </w:p>
        </w:tc>
        <w:tc>
          <w:tcPr>
            <w:tcW w:w="1594" w:type="dxa"/>
          </w:tcPr>
          <w:p w14:paraId="2D05D551"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w:t>
            </w:r>
          </w:p>
        </w:tc>
        <w:tc>
          <w:tcPr>
            <w:tcW w:w="1595" w:type="dxa"/>
          </w:tcPr>
          <w:p w14:paraId="53D54C82"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n/a</w:t>
            </w:r>
          </w:p>
        </w:tc>
        <w:tc>
          <w:tcPr>
            <w:tcW w:w="1594" w:type="dxa"/>
          </w:tcPr>
          <w:p w14:paraId="38E4E707"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21.08</w:t>
            </w:r>
          </w:p>
        </w:tc>
        <w:tc>
          <w:tcPr>
            <w:tcW w:w="1595" w:type="dxa"/>
          </w:tcPr>
          <w:p w14:paraId="407FBC2D"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21.08</w:t>
            </w:r>
          </w:p>
        </w:tc>
      </w:tr>
      <w:tr w:rsidR="00724246" w:rsidRPr="00E214FE" w14:paraId="6886D1AB" w14:textId="77777777" w:rsidTr="00ED273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261" w:type="dxa"/>
          </w:tcPr>
          <w:p w14:paraId="120C3DC4" w14:textId="77777777" w:rsidR="00724246" w:rsidRPr="003B5A22" w:rsidRDefault="00724246" w:rsidP="00ED2732">
            <w:pPr>
              <w:pStyle w:val="TableParagraph"/>
              <w:framePr w:hSpace="0" w:wrap="auto" w:vAnchor="margin" w:hAnchor="text" w:yAlign="inline"/>
              <w:ind w:left="142"/>
              <w:jc w:val="left"/>
            </w:pPr>
            <w:r w:rsidRPr="003B5A22">
              <w:t>Domestic hire car</w:t>
            </w:r>
          </w:p>
        </w:tc>
        <w:tc>
          <w:tcPr>
            <w:tcW w:w="1594" w:type="dxa"/>
          </w:tcPr>
          <w:p w14:paraId="7AAA3947"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n/a</w:t>
            </w:r>
          </w:p>
        </w:tc>
        <w:tc>
          <w:tcPr>
            <w:tcW w:w="1595" w:type="dxa"/>
          </w:tcPr>
          <w:p w14:paraId="6F645805"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n/a</w:t>
            </w:r>
          </w:p>
        </w:tc>
        <w:tc>
          <w:tcPr>
            <w:tcW w:w="1594" w:type="dxa"/>
          </w:tcPr>
          <w:p w14:paraId="7791A223"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0.23</w:t>
            </w:r>
          </w:p>
        </w:tc>
        <w:tc>
          <w:tcPr>
            <w:tcW w:w="1595" w:type="dxa"/>
          </w:tcPr>
          <w:p w14:paraId="29060F54"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0.23</w:t>
            </w:r>
          </w:p>
        </w:tc>
      </w:tr>
      <w:tr w:rsidR="00724246" w:rsidRPr="00E214FE" w14:paraId="24DF07AF" w14:textId="77777777" w:rsidTr="00ED2732">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3261" w:type="dxa"/>
          </w:tcPr>
          <w:p w14:paraId="17268A41" w14:textId="77777777" w:rsidR="00724246" w:rsidRPr="003B5A22" w:rsidRDefault="00724246" w:rsidP="00ED2732">
            <w:pPr>
              <w:pStyle w:val="TableParagraph"/>
              <w:framePr w:hSpace="0" w:wrap="auto" w:vAnchor="margin" w:hAnchor="text" w:yAlign="inline"/>
              <w:ind w:left="142"/>
              <w:jc w:val="left"/>
            </w:pPr>
            <w:r w:rsidRPr="003B5A22">
              <w:t>Domestic travel accommodation</w:t>
            </w:r>
          </w:p>
        </w:tc>
        <w:tc>
          <w:tcPr>
            <w:tcW w:w="1594" w:type="dxa"/>
          </w:tcPr>
          <w:p w14:paraId="3C92A021"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n/a</w:t>
            </w:r>
          </w:p>
        </w:tc>
        <w:tc>
          <w:tcPr>
            <w:tcW w:w="1595" w:type="dxa"/>
          </w:tcPr>
          <w:p w14:paraId="6015D486"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n/a</w:t>
            </w:r>
          </w:p>
        </w:tc>
        <w:tc>
          <w:tcPr>
            <w:tcW w:w="1594" w:type="dxa"/>
          </w:tcPr>
          <w:p w14:paraId="4086FDE8"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1.77</w:t>
            </w:r>
          </w:p>
        </w:tc>
        <w:tc>
          <w:tcPr>
            <w:tcW w:w="1595" w:type="dxa"/>
          </w:tcPr>
          <w:p w14:paraId="15C79655" w14:textId="77777777" w:rsidR="00724246" w:rsidRPr="003B5A22" w:rsidRDefault="00724246" w:rsidP="00ED2732">
            <w:pPr>
              <w:pStyle w:val="TableParagraph"/>
              <w:framePr w:hSpace="0" w:wrap="auto" w:vAnchor="margin" w:hAnchor="text" w:yAlign="inline"/>
              <w:ind w:left="142"/>
              <w:jc w:val="left"/>
              <w:cnfStyle w:val="000000010000" w:firstRow="0" w:lastRow="0" w:firstColumn="0" w:lastColumn="0" w:oddVBand="0" w:evenVBand="0" w:oddHBand="0" w:evenHBand="1" w:firstRowFirstColumn="0" w:firstRowLastColumn="0" w:lastRowFirstColumn="0" w:lastRowLastColumn="0"/>
            </w:pPr>
            <w:r>
              <w:t>1.77</w:t>
            </w:r>
          </w:p>
        </w:tc>
      </w:tr>
      <w:tr w:rsidR="00724246" w:rsidRPr="00E214FE" w14:paraId="41EEF357" w14:textId="77777777" w:rsidTr="00ED273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261" w:type="dxa"/>
          </w:tcPr>
          <w:p w14:paraId="1B367F05" w14:textId="77777777" w:rsidR="00724246" w:rsidRPr="003B5A22" w:rsidRDefault="00724246" w:rsidP="00ED2732">
            <w:pPr>
              <w:pStyle w:val="TableParagraph"/>
              <w:framePr w:hSpace="0" w:wrap="auto" w:vAnchor="margin" w:hAnchor="text" w:yAlign="inline"/>
              <w:ind w:left="142"/>
              <w:jc w:val="left"/>
            </w:pPr>
            <w:r w:rsidRPr="003B5A22">
              <w:t>Other energy</w:t>
            </w:r>
          </w:p>
        </w:tc>
        <w:tc>
          <w:tcPr>
            <w:tcW w:w="1594" w:type="dxa"/>
          </w:tcPr>
          <w:p w14:paraId="14B3B05F"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w:t>
            </w:r>
          </w:p>
        </w:tc>
        <w:tc>
          <w:tcPr>
            <w:tcW w:w="1595" w:type="dxa"/>
          </w:tcPr>
          <w:p w14:paraId="4C81DFE9"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n/a</w:t>
            </w:r>
          </w:p>
        </w:tc>
        <w:tc>
          <w:tcPr>
            <w:tcW w:w="1594" w:type="dxa"/>
          </w:tcPr>
          <w:p w14:paraId="2D77DEB6"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w:t>
            </w:r>
          </w:p>
        </w:tc>
        <w:tc>
          <w:tcPr>
            <w:tcW w:w="1595" w:type="dxa"/>
          </w:tcPr>
          <w:p w14:paraId="6AA7C9A0" w14:textId="77777777" w:rsidR="00724246" w:rsidRPr="003B5A22" w:rsidRDefault="00724246" w:rsidP="00ED2732">
            <w:pPr>
              <w:pStyle w:val="TableParagraph"/>
              <w:framePr w:hSpace="0" w:wrap="auto" w:vAnchor="margin" w:hAnchor="text" w:yAlign="inline"/>
              <w:ind w:left="142"/>
              <w:jc w:val="left"/>
              <w:cnfStyle w:val="000000100000" w:firstRow="0" w:lastRow="0" w:firstColumn="0" w:lastColumn="0" w:oddVBand="0" w:evenVBand="0" w:oddHBand="1" w:evenHBand="0" w:firstRowFirstColumn="0" w:firstRowLastColumn="0" w:lastRowFirstColumn="0" w:lastRowLastColumn="0"/>
            </w:pPr>
            <w:r>
              <w:t>-</w:t>
            </w:r>
          </w:p>
        </w:tc>
      </w:tr>
      <w:tr w:rsidR="00724246" w:rsidRPr="00E214FE" w14:paraId="754A1EE2" w14:textId="77777777" w:rsidTr="00ED2732">
        <w:trPr>
          <w:cnfStyle w:val="010000000000" w:firstRow="0" w:lastRow="1"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261" w:type="dxa"/>
            <w:shd w:val="clear" w:color="auto" w:fill="DFEBF1" w:themeFill="text2" w:themeFillTint="1A"/>
          </w:tcPr>
          <w:p w14:paraId="06FA1FE2" w14:textId="77777777" w:rsidR="00724246" w:rsidRPr="003B5A22" w:rsidRDefault="00724246" w:rsidP="00ED2732">
            <w:pPr>
              <w:pStyle w:val="TableParagraph"/>
              <w:framePr w:hSpace="0" w:wrap="auto" w:vAnchor="margin" w:hAnchor="text" w:yAlign="inline"/>
              <w:ind w:left="142"/>
              <w:jc w:val="left"/>
              <w:rPr>
                <w:b/>
                <w:bCs/>
              </w:rPr>
            </w:pPr>
            <w:r w:rsidRPr="003B5A22">
              <w:rPr>
                <w:b/>
                <w:bCs/>
              </w:rPr>
              <w:lastRenderedPageBreak/>
              <w:t>Total t CO</w:t>
            </w:r>
            <w:r w:rsidRPr="003B5A22">
              <w:rPr>
                <w:b/>
                <w:bCs/>
                <w:vertAlign w:val="subscript"/>
              </w:rPr>
              <w:t>2</w:t>
            </w:r>
            <w:r w:rsidRPr="003B5A22">
              <w:rPr>
                <w:rFonts w:ascii="Cambria Math" w:hAnsi="Cambria Math" w:cs="Cambria Math"/>
                <w:b/>
                <w:bCs/>
              </w:rPr>
              <w:t>‑</w:t>
            </w:r>
            <w:r w:rsidRPr="003B5A22">
              <w:rPr>
                <w:b/>
                <w:bCs/>
              </w:rPr>
              <w:t>e</w:t>
            </w:r>
          </w:p>
        </w:tc>
        <w:tc>
          <w:tcPr>
            <w:tcW w:w="1594" w:type="dxa"/>
            <w:shd w:val="clear" w:color="auto" w:fill="DFEBF1" w:themeFill="text2" w:themeFillTint="1A"/>
          </w:tcPr>
          <w:p w14:paraId="44A5DB52" w14:textId="77777777" w:rsidR="00724246" w:rsidRPr="003B5A22" w:rsidRDefault="00724246" w:rsidP="00ED2732">
            <w:pPr>
              <w:pStyle w:val="TableParagraph"/>
              <w:framePr w:hSpace="0" w:wrap="auto" w:vAnchor="margin" w:hAnchor="text" w:yAlign="inline"/>
              <w:ind w:left="142"/>
              <w:jc w:val="left"/>
              <w:cnfStyle w:val="010000000000" w:firstRow="0" w:lastRow="1" w:firstColumn="0" w:lastColumn="0" w:oddVBand="0" w:evenVBand="0" w:oddHBand="0" w:evenHBand="0" w:firstRowFirstColumn="0" w:firstRowLastColumn="0" w:lastRowFirstColumn="0" w:lastRowLastColumn="0"/>
              <w:rPr>
                <w:b/>
                <w:bCs/>
              </w:rPr>
            </w:pPr>
            <w:r>
              <w:rPr>
                <w:b/>
                <w:bCs/>
              </w:rPr>
              <w:t>-</w:t>
            </w:r>
          </w:p>
        </w:tc>
        <w:tc>
          <w:tcPr>
            <w:tcW w:w="1595" w:type="dxa"/>
            <w:shd w:val="clear" w:color="auto" w:fill="DFEBF1" w:themeFill="text2" w:themeFillTint="1A"/>
          </w:tcPr>
          <w:p w14:paraId="29DBB7CD" w14:textId="77777777" w:rsidR="00724246" w:rsidRPr="003B5A22" w:rsidRDefault="00724246" w:rsidP="00ED2732">
            <w:pPr>
              <w:pStyle w:val="TableParagraph"/>
              <w:framePr w:hSpace="0" w:wrap="auto" w:vAnchor="margin" w:hAnchor="text" w:yAlign="inline"/>
              <w:ind w:left="142"/>
              <w:jc w:val="left"/>
              <w:cnfStyle w:val="010000000000" w:firstRow="0" w:lastRow="1" w:firstColumn="0" w:lastColumn="0" w:oddVBand="0" w:evenVBand="0" w:oddHBand="0" w:evenHBand="0" w:firstRowFirstColumn="0" w:firstRowLastColumn="0" w:lastRowFirstColumn="0" w:lastRowLastColumn="0"/>
              <w:rPr>
                <w:b/>
                <w:bCs/>
              </w:rPr>
            </w:pPr>
            <w:r>
              <w:rPr>
                <w:b/>
                <w:bCs/>
              </w:rPr>
              <w:t>32.23</w:t>
            </w:r>
          </w:p>
        </w:tc>
        <w:tc>
          <w:tcPr>
            <w:tcW w:w="1594" w:type="dxa"/>
            <w:shd w:val="clear" w:color="auto" w:fill="DFEBF1" w:themeFill="text2" w:themeFillTint="1A"/>
          </w:tcPr>
          <w:p w14:paraId="6D26F33C" w14:textId="77777777" w:rsidR="00724246" w:rsidRPr="003B5A22" w:rsidRDefault="00724246" w:rsidP="00ED2732">
            <w:pPr>
              <w:pStyle w:val="TableParagraph"/>
              <w:framePr w:hSpace="0" w:wrap="auto" w:vAnchor="margin" w:hAnchor="text" w:yAlign="inline"/>
              <w:ind w:left="142"/>
              <w:jc w:val="left"/>
              <w:cnfStyle w:val="010000000000" w:firstRow="0" w:lastRow="1" w:firstColumn="0" w:lastColumn="0" w:oddVBand="0" w:evenVBand="0" w:oddHBand="0" w:evenHBand="0" w:firstRowFirstColumn="0" w:firstRowLastColumn="0" w:lastRowFirstColumn="0" w:lastRowLastColumn="0"/>
              <w:rPr>
                <w:b/>
                <w:bCs/>
              </w:rPr>
            </w:pPr>
            <w:r>
              <w:rPr>
                <w:b/>
                <w:bCs/>
              </w:rPr>
              <w:t>24.60</w:t>
            </w:r>
          </w:p>
        </w:tc>
        <w:tc>
          <w:tcPr>
            <w:tcW w:w="1595" w:type="dxa"/>
            <w:shd w:val="clear" w:color="auto" w:fill="DFEBF1" w:themeFill="text2" w:themeFillTint="1A"/>
          </w:tcPr>
          <w:p w14:paraId="0A4E34BE" w14:textId="77777777" w:rsidR="00724246" w:rsidRPr="003B5A22" w:rsidRDefault="00724246" w:rsidP="00ED2732">
            <w:pPr>
              <w:pStyle w:val="TableParagraph"/>
              <w:framePr w:hSpace="0" w:wrap="auto" w:vAnchor="margin" w:hAnchor="text" w:yAlign="inline"/>
              <w:ind w:left="142"/>
              <w:jc w:val="left"/>
              <w:cnfStyle w:val="010000000000" w:firstRow="0" w:lastRow="1" w:firstColumn="0" w:lastColumn="0" w:oddVBand="0" w:evenVBand="0" w:oddHBand="0" w:evenHBand="0" w:firstRowFirstColumn="0" w:firstRowLastColumn="0" w:lastRowFirstColumn="0" w:lastRowLastColumn="0"/>
              <w:rPr>
                <w:b/>
                <w:bCs/>
              </w:rPr>
            </w:pPr>
            <w:r>
              <w:rPr>
                <w:b/>
                <w:bCs/>
              </w:rPr>
              <w:t>56.83</w:t>
            </w:r>
          </w:p>
        </w:tc>
      </w:tr>
    </w:tbl>
    <w:p w14:paraId="378FB758" w14:textId="77777777" w:rsidR="00724246" w:rsidRDefault="00724246" w:rsidP="00724246">
      <w:pPr>
        <w:rPr>
          <w:rFonts w:cs="Arial"/>
          <w:b/>
        </w:rPr>
      </w:pPr>
    </w:p>
    <w:p w14:paraId="7FEE8A2C" w14:textId="77777777" w:rsidR="00C267A7" w:rsidRDefault="00C267A7" w:rsidP="00C267A7">
      <w:pPr>
        <w:spacing w:before="120"/>
        <w:rPr>
          <w:rFonts w:cs="Arial"/>
        </w:rPr>
      </w:pPr>
      <w:r w:rsidRPr="00856101">
        <w:rPr>
          <w:rFonts w:cs="Arial"/>
          <w:bCs/>
        </w:rPr>
        <w:t>Note:</w:t>
      </w:r>
      <w:r>
        <w:rPr>
          <w:rFonts w:cs="Arial"/>
          <w:b/>
        </w:rPr>
        <w:t xml:space="preserve"> </w:t>
      </w:r>
      <w:r w:rsidRPr="00E84481">
        <w:rPr>
          <w:rFonts w:cs="Arial"/>
          <w:b/>
        </w:rPr>
        <w:t>Table 19</w:t>
      </w:r>
      <w:r w:rsidRPr="00467010">
        <w:rPr>
          <w:rFonts w:cs="Arial"/>
        </w:rPr>
        <w:t xml:space="preserve"> presents emissions related to electricity usage using the location-based accounting method. CO</w:t>
      </w:r>
      <w:r w:rsidRPr="00467010">
        <w:rPr>
          <w:rFonts w:cs="Arial"/>
          <w:vertAlign w:val="subscript"/>
        </w:rPr>
        <w:t>2</w:t>
      </w:r>
      <w:r w:rsidRPr="00467010">
        <w:rPr>
          <w:rFonts w:cs="Arial"/>
        </w:rPr>
        <w:t xml:space="preserve">-e = Carbon Dioxide Equivalent. Solid waste data was unable to be separated from </w:t>
      </w:r>
      <w:r>
        <w:rPr>
          <w:rFonts w:cs="Arial"/>
        </w:rPr>
        <w:t>l</w:t>
      </w:r>
      <w:r w:rsidRPr="00467010">
        <w:rPr>
          <w:rFonts w:cs="Arial"/>
        </w:rPr>
        <w:t>andlord data and has not been included.</w:t>
      </w:r>
    </w:p>
    <w:p w14:paraId="66E4847C" w14:textId="3CCA2A0D" w:rsidR="004A40ED" w:rsidRDefault="004A40ED" w:rsidP="00724246">
      <w:pPr>
        <w:rPr>
          <w:rFonts w:cs="Arial"/>
        </w:rPr>
      </w:pPr>
      <w:r>
        <w:rPr>
          <w:rFonts w:cs="Arial"/>
        </w:rPr>
        <w:t xml:space="preserve">n/a = not applicable. </w:t>
      </w:r>
    </w:p>
    <w:p w14:paraId="1D7EB6FE" w14:textId="77777777" w:rsidR="004D4328" w:rsidRDefault="004D4328" w:rsidP="004D4328">
      <w:pPr>
        <w:rPr>
          <w:b/>
          <w:bCs/>
        </w:rPr>
      </w:pPr>
      <w:r w:rsidRPr="00111560">
        <w:rPr>
          <w:b/>
          <w:bCs/>
        </w:rPr>
        <w:t>Table 2</w:t>
      </w:r>
      <w:r>
        <w:rPr>
          <w:b/>
          <w:bCs/>
        </w:rPr>
        <w:t>0:</w:t>
      </w:r>
      <w:r w:rsidRPr="00111560">
        <w:rPr>
          <w:b/>
          <w:bCs/>
        </w:rPr>
        <w:t xml:space="preserve"> </w:t>
      </w:r>
      <w:r w:rsidRPr="00997312">
        <w:rPr>
          <w:b/>
          <w:bCs/>
        </w:rPr>
        <w:t>2025</w:t>
      </w:r>
      <w:r>
        <w:rPr>
          <w:b/>
          <w:bCs/>
        </w:rPr>
        <w:t>–</w:t>
      </w:r>
      <w:r w:rsidRPr="00997312">
        <w:rPr>
          <w:b/>
          <w:bCs/>
        </w:rPr>
        <w:t>26 Electricity Greenhouse Gas Emissions</w:t>
      </w:r>
      <w:r>
        <w:rPr>
          <w:b/>
          <w:bCs/>
        </w:rPr>
        <w:t xml:space="preserve">. </w:t>
      </w:r>
    </w:p>
    <w:tbl>
      <w:tblPr>
        <w:tblStyle w:val="IHACPATable"/>
        <w:tblW w:w="0" w:type="auto"/>
        <w:tblLook w:val="04A0" w:firstRow="1" w:lastRow="0" w:firstColumn="1" w:lastColumn="0" w:noHBand="0" w:noVBand="1"/>
      </w:tblPr>
      <w:tblGrid>
        <w:gridCol w:w="4253"/>
        <w:gridCol w:w="1311"/>
        <w:gridCol w:w="1312"/>
        <w:gridCol w:w="1312"/>
        <w:gridCol w:w="1312"/>
      </w:tblGrid>
      <w:tr w:rsidR="00724246" w:rsidRPr="00260CB4" w14:paraId="7D8D185F" w14:textId="77777777" w:rsidTr="00ED27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539DA1D3" w14:textId="77777777" w:rsidR="00724246" w:rsidRPr="00A421AE" w:rsidRDefault="00724246" w:rsidP="00ED2732">
            <w:pPr>
              <w:spacing w:before="80" w:after="80"/>
              <w:rPr>
                <w:rFonts w:eastAsia="Fira Sans regular" w:cs="Arial"/>
                <w:b/>
                <w:bCs/>
                <w:color w:val="FFFFFF" w:themeColor="background2"/>
                <w:sz w:val="18"/>
                <w:szCs w:val="18"/>
              </w:rPr>
            </w:pPr>
            <w:r w:rsidRPr="00A421AE">
              <w:rPr>
                <w:rFonts w:eastAsia="Fira Sans regular" w:cs="Arial"/>
                <w:b/>
                <w:bCs/>
                <w:color w:val="FFFFFF" w:themeColor="background2"/>
                <w:sz w:val="18"/>
                <w:szCs w:val="18"/>
              </w:rPr>
              <w:t>Emission source</w:t>
            </w:r>
          </w:p>
        </w:tc>
        <w:tc>
          <w:tcPr>
            <w:tcW w:w="1311" w:type="dxa"/>
          </w:tcPr>
          <w:p w14:paraId="615609F2" w14:textId="77777777" w:rsidR="00724246" w:rsidRPr="00A421AE" w:rsidRDefault="00724246" w:rsidP="00ED2732">
            <w:pPr>
              <w:spacing w:before="80" w:after="80"/>
              <w:cnfStyle w:val="100000000000" w:firstRow="1" w:lastRow="0" w:firstColumn="0" w:lastColumn="0" w:oddVBand="0" w:evenVBand="0" w:oddHBand="0" w:evenHBand="0" w:firstRowFirstColumn="0" w:firstRowLastColumn="0" w:lastRowFirstColumn="0" w:lastRowLastColumn="0"/>
              <w:rPr>
                <w:rFonts w:eastAsia="Fira Sans regular" w:cs="Arial"/>
                <w:b/>
                <w:bCs/>
                <w:color w:val="FFFFFF" w:themeColor="background2"/>
                <w:szCs w:val="18"/>
              </w:rPr>
            </w:pPr>
            <w:r w:rsidRPr="00A421AE">
              <w:rPr>
                <w:rFonts w:eastAsia="Fira Sans regular" w:cs="Arial"/>
                <w:b/>
                <w:bCs/>
                <w:color w:val="FFFFFF" w:themeColor="background2"/>
                <w:szCs w:val="18"/>
              </w:rPr>
              <w:t xml:space="preserve">Scope 2 </w:t>
            </w:r>
            <w:r w:rsidRPr="00A421AE">
              <w:rPr>
                <w:rFonts w:eastAsia="Fira Sans regular" w:cs="Arial"/>
                <w:b/>
                <w:bCs/>
                <w:color w:val="FFFFFF" w:themeColor="background2"/>
                <w:szCs w:val="18"/>
              </w:rPr>
              <w:br/>
            </w:r>
            <w:r w:rsidRPr="00A421AE">
              <w:rPr>
                <w:rFonts w:eastAsia="Times New Roman" w:cs="Arial"/>
                <w:b/>
                <w:bCs/>
                <w:color w:val="FFFFFF" w:themeColor="background2"/>
                <w:szCs w:val="18"/>
                <w:lang w:eastAsia="en-AU"/>
              </w:rPr>
              <w:t>t</w:t>
            </w:r>
            <w:r w:rsidRPr="00A421AE">
              <w:rPr>
                <w:rFonts w:eastAsia="Fira Sans regular" w:cs="Arial"/>
                <w:b/>
                <w:bCs/>
                <w:color w:val="FFFFFF" w:themeColor="background2"/>
                <w:szCs w:val="18"/>
              </w:rPr>
              <w:t xml:space="preserve"> CO</w:t>
            </w:r>
            <w:r w:rsidRPr="00A421AE">
              <w:rPr>
                <w:rFonts w:eastAsia="Fira Sans regular" w:cs="Arial"/>
                <w:b/>
                <w:bCs/>
                <w:color w:val="FFFFFF" w:themeColor="background2"/>
                <w:szCs w:val="18"/>
                <w:vertAlign w:val="subscript"/>
              </w:rPr>
              <w:t>2</w:t>
            </w:r>
            <w:r w:rsidRPr="00A421AE">
              <w:rPr>
                <w:rFonts w:ascii="Cambria Math" w:eastAsia="Fira Sans regular" w:hAnsi="Cambria Math" w:cs="Cambria Math"/>
                <w:b/>
                <w:bCs/>
                <w:color w:val="FFFFFF" w:themeColor="background2"/>
                <w:szCs w:val="18"/>
              </w:rPr>
              <w:t>‑</w:t>
            </w:r>
            <w:r w:rsidRPr="00A421AE">
              <w:rPr>
                <w:rFonts w:eastAsia="Fira Sans regular" w:cs="Arial"/>
                <w:b/>
                <w:bCs/>
                <w:color w:val="FFFFFF" w:themeColor="background2"/>
                <w:szCs w:val="18"/>
              </w:rPr>
              <w:t>e</w:t>
            </w:r>
          </w:p>
        </w:tc>
        <w:tc>
          <w:tcPr>
            <w:tcW w:w="1312" w:type="dxa"/>
          </w:tcPr>
          <w:p w14:paraId="3CC87124" w14:textId="77777777" w:rsidR="00724246" w:rsidRPr="00A421AE" w:rsidRDefault="00724246" w:rsidP="00ED2732">
            <w:pPr>
              <w:spacing w:before="80" w:after="80"/>
              <w:cnfStyle w:val="100000000000" w:firstRow="1" w:lastRow="0" w:firstColumn="0" w:lastColumn="0" w:oddVBand="0" w:evenVBand="0" w:oddHBand="0" w:evenHBand="0" w:firstRowFirstColumn="0" w:firstRowLastColumn="0" w:lastRowFirstColumn="0" w:lastRowLastColumn="0"/>
              <w:rPr>
                <w:rFonts w:eastAsia="Fira Sans regular" w:cs="Arial"/>
                <w:b/>
                <w:bCs/>
                <w:color w:val="FFFFFF" w:themeColor="background2"/>
                <w:szCs w:val="18"/>
              </w:rPr>
            </w:pPr>
            <w:r w:rsidRPr="00A421AE">
              <w:rPr>
                <w:rFonts w:eastAsia="Fira Sans regular" w:cs="Arial"/>
                <w:b/>
                <w:bCs/>
                <w:color w:val="FFFFFF" w:themeColor="background2"/>
                <w:szCs w:val="18"/>
              </w:rPr>
              <w:t xml:space="preserve">Scope 3 </w:t>
            </w:r>
            <w:r w:rsidRPr="00A421AE">
              <w:rPr>
                <w:rFonts w:eastAsia="Fira Sans regular" w:cs="Arial"/>
                <w:b/>
                <w:bCs/>
                <w:color w:val="FFFFFF" w:themeColor="background2"/>
                <w:szCs w:val="18"/>
              </w:rPr>
              <w:br/>
            </w:r>
            <w:r w:rsidRPr="00A421AE">
              <w:rPr>
                <w:rFonts w:eastAsia="Times New Roman" w:cs="Arial"/>
                <w:b/>
                <w:bCs/>
                <w:color w:val="FFFFFF" w:themeColor="background2"/>
                <w:szCs w:val="18"/>
                <w:lang w:eastAsia="en-AU"/>
              </w:rPr>
              <w:t>t</w:t>
            </w:r>
            <w:r w:rsidRPr="00A421AE">
              <w:rPr>
                <w:rFonts w:eastAsia="Fira Sans regular" w:cs="Arial"/>
                <w:b/>
                <w:bCs/>
                <w:color w:val="FFFFFF" w:themeColor="background2"/>
                <w:szCs w:val="18"/>
              </w:rPr>
              <w:t xml:space="preserve"> CO</w:t>
            </w:r>
            <w:r w:rsidRPr="00A421AE">
              <w:rPr>
                <w:rFonts w:eastAsia="Fira Sans regular" w:cs="Arial"/>
                <w:b/>
                <w:bCs/>
                <w:color w:val="FFFFFF" w:themeColor="background2"/>
                <w:szCs w:val="18"/>
                <w:vertAlign w:val="subscript"/>
              </w:rPr>
              <w:t>2</w:t>
            </w:r>
            <w:r w:rsidRPr="00A421AE">
              <w:rPr>
                <w:rFonts w:ascii="Cambria Math" w:eastAsia="Fira Sans regular" w:hAnsi="Cambria Math" w:cs="Cambria Math"/>
                <w:b/>
                <w:bCs/>
                <w:color w:val="FFFFFF" w:themeColor="background2"/>
                <w:szCs w:val="18"/>
              </w:rPr>
              <w:t>‑</w:t>
            </w:r>
            <w:r w:rsidRPr="00A421AE">
              <w:rPr>
                <w:rFonts w:eastAsia="Fira Sans regular" w:cs="Arial"/>
                <w:b/>
                <w:bCs/>
                <w:color w:val="FFFFFF" w:themeColor="background2"/>
                <w:szCs w:val="18"/>
              </w:rPr>
              <w:t>e</w:t>
            </w:r>
          </w:p>
        </w:tc>
        <w:tc>
          <w:tcPr>
            <w:tcW w:w="1312" w:type="dxa"/>
          </w:tcPr>
          <w:p w14:paraId="70A93EF4" w14:textId="77777777" w:rsidR="00724246" w:rsidRPr="00A421AE" w:rsidRDefault="00724246" w:rsidP="00ED2732">
            <w:pPr>
              <w:spacing w:before="80" w:after="80"/>
              <w:cnfStyle w:val="100000000000" w:firstRow="1" w:lastRow="0" w:firstColumn="0" w:lastColumn="0" w:oddVBand="0" w:evenVBand="0" w:oddHBand="0" w:evenHBand="0" w:firstRowFirstColumn="0" w:firstRowLastColumn="0" w:lastRowFirstColumn="0" w:lastRowLastColumn="0"/>
              <w:rPr>
                <w:rFonts w:eastAsia="Fira Sans regular" w:cs="Arial"/>
                <w:b/>
                <w:bCs/>
                <w:color w:val="FFFFFF" w:themeColor="background2"/>
                <w:szCs w:val="18"/>
              </w:rPr>
            </w:pPr>
            <w:r w:rsidRPr="00A421AE">
              <w:rPr>
                <w:rFonts w:eastAsia="Fira Sans regular" w:cs="Arial"/>
                <w:b/>
                <w:bCs/>
                <w:color w:val="FFFFFF" w:themeColor="background2"/>
                <w:szCs w:val="18"/>
              </w:rPr>
              <w:t xml:space="preserve">Total </w:t>
            </w:r>
            <w:r w:rsidRPr="00A421AE">
              <w:rPr>
                <w:rFonts w:eastAsia="Fira Sans regular" w:cs="Arial"/>
                <w:b/>
                <w:bCs/>
                <w:color w:val="FFFFFF" w:themeColor="background2"/>
                <w:szCs w:val="18"/>
              </w:rPr>
              <w:br/>
            </w:r>
            <w:r w:rsidRPr="00A421AE">
              <w:rPr>
                <w:rFonts w:eastAsia="Times New Roman" w:cs="Arial"/>
                <w:b/>
                <w:bCs/>
                <w:color w:val="FFFFFF" w:themeColor="background2"/>
                <w:szCs w:val="18"/>
                <w:lang w:eastAsia="en-AU"/>
              </w:rPr>
              <w:t>t</w:t>
            </w:r>
            <w:r w:rsidRPr="00A421AE">
              <w:rPr>
                <w:rFonts w:eastAsia="Fira Sans regular" w:cs="Arial"/>
                <w:b/>
                <w:bCs/>
                <w:color w:val="FFFFFF" w:themeColor="background2"/>
                <w:szCs w:val="18"/>
              </w:rPr>
              <w:t xml:space="preserve"> CO</w:t>
            </w:r>
            <w:r w:rsidRPr="00A421AE">
              <w:rPr>
                <w:rFonts w:eastAsia="Fira Sans regular" w:cs="Arial"/>
                <w:b/>
                <w:bCs/>
                <w:color w:val="FFFFFF" w:themeColor="background2"/>
                <w:szCs w:val="18"/>
                <w:vertAlign w:val="subscript"/>
              </w:rPr>
              <w:t>2</w:t>
            </w:r>
            <w:r w:rsidRPr="00A421AE">
              <w:rPr>
                <w:rFonts w:ascii="Cambria Math" w:eastAsia="Fira Sans regular" w:hAnsi="Cambria Math" w:cs="Cambria Math"/>
                <w:b/>
                <w:bCs/>
                <w:color w:val="FFFFFF" w:themeColor="background2"/>
                <w:szCs w:val="18"/>
              </w:rPr>
              <w:t>‑</w:t>
            </w:r>
            <w:r w:rsidRPr="00A421AE">
              <w:rPr>
                <w:rFonts w:eastAsia="Fira Sans regular" w:cs="Arial"/>
                <w:b/>
                <w:bCs/>
                <w:color w:val="FFFFFF" w:themeColor="background2"/>
                <w:szCs w:val="18"/>
              </w:rPr>
              <w:t>e</w:t>
            </w:r>
          </w:p>
        </w:tc>
        <w:tc>
          <w:tcPr>
            <w:tcW w:w="1312" w:type="dxa"/>
          </w:tcPr>
          <w:p w14:paraId="27E0FE6B" w14:textId="77777777" w:rsidR="00724246" w:rsidRPr="00A421AE" w:rsidRDefault="00724246" w:rsidP="00ED2732">
            <w:pPr>
              <w:spacing w:before="80" w:after="80"/>
              <w:cnfStyle w:val="100000000000" w:firstRow="1" w:lastRow="0" w:firstColumn="0" w:lastColumn="0" w:oddVBand="0" w:evenVBand="0" w:oddHBand="0" w:evenHBand="0" w:firstRowFirstColumn="0" w:firstRowLastColumn="0" w:lastRowFirstColumn="0" w:lastRowLastColumn="0"/>
              <w:rPr>
                <w:rFonts w:eastAsia="Fira Sans regular" w:cs="Arial"/>
                <w:b/>
                <w:bCs/>
                <w:color w:val="FFFFFF" w:themeColor="background2"/>
                <w:szCs w:val="18"/>
              </w:rPr>
            </w:pPr>
            <w:r w:rsidRPr="00A421AE">
              <w:rPr>
                <w:rFonts w:eastAsia="Fira Sans regular" w:cs="Arial"/>
                <w:b/>
                <w:bCs/>
                <w:color w:val="FFFFFF" w:themeColor="background2"/>
                <w:szCs w:val="18"/>
              </w:rPr>
              <w:t>Electricity kWh</w:t>
            </w:r>
          </w:p>
        </w:tc>
      </w:tr>
      <w:tr w:rsidR="00724246" w:rsidRPr="00260CB4" w14:paraId="7E924058"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28ECFBFC" w14:textId="77777777" w:rsidR="00724246" w:rsidRPr="003B5A22" w:rsidRDefault="00724246" w:rsidP="00ED2732">
            <w:pPr>
              <w:spacing w:before="80" w:after="80"/>
              <w:rPr>
                <w:rFonts w:eastAsia="Fira Sans regular" w:cs="Arial"/>
                <w:color w:val="15272F"/>
                <w:sz w:val="18"/>
                <w:szCs w:val="18"/>
              </w:rPr>
            </w:pPr>
            <w:r>
              <w:rPr>
                <w:rFonts w:eastAsia="Fira Sans regular" w:cs="Arial"/>
                <w:color w:val="15272F"/>
                <w:sz w:val="18"/>
                <w:szCs w:val="18"/>
              </w:rPr>
              <w:t xml:space="preserve">Electricity (location based approach) </w:t>
            </w:r>
          </w:p>
        </w:tc>
        <w:tc>
          <w:tcPr>
            <w:tcW w:w="1311" w:type="dxa"/>
          </w:tcPr>
          <w:p w14:paraId="268BB59C"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32.23</w:t>
            </w:r>
          </w:p>
        </w:tc>
        <w:tc>
          <w:tcPr>
            <w:tcW w:w="1312" w:type="dxa"/>
          </w:tcPr>
          <w:p w14:paraId="58C2EAF3"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1.52</w:t>
            </w:r>
          </w:p>
        </w:tc>
        <w:tc>
          <w:tcPr>
            <w:tcW w:w="1312" w:type="dxa"/>
          </w:tcPr>
          <w:p w14:paraId="48BC5ED8"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33.75</w:t>
            </w:r>
          </w:p>
        </w:tc>
        <w:tc>
          <w:tcPr>
            <w:tcW w:w="1312" w:type="dxa"/>
          </w:tcPr>
          <w:p w14:paraId="7D8F53E4"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50,351.87</w:t>
            </w:r>
          </w:p>
        </w:tc>
      </w:tr>
      <w:tr w:rsidR="00724246" w:rsidRPr="00260CB4" w14:paraId="1D613481"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4BBB6D2C" w14:textId="77777777" w:rsidR="00724246" w:rsidRPr="003B5A22" w:rsidRDefault="00724246" w:rsidP="00ED2732">
            <w:pPr>
              <w:spacing w:before="80" w:after="80"/>
              <w:rPr>
                <w:rFonts w:eastAsia="Fira Sans regular" w:cs="Arial"/>
                <w:color w:val="15272F"/>
                <w:sz w:val="18"/>
                <w:szCs w:val="18"/>
              </w:rPr>
            </w:pPr>
            <w:r w:rsidRPr="003B5A22">
              <w:rPr>
                <w:rFonts w:eastAsia="Fira Sans regular" w:cs="Arial"/>
                <w:color w:val="15272F"/>
                <w:sz w:val="18"/>
                <w:szCs w:val="18"/>
              </w:rPr>
              <w:t>Market-based electricity emissions</w:t>
            </w:r>
          </w:p>
        </w:tc>
        <w:tc>
          <w:tcPr>
            <w:tcW w:w="1311" w:type="dxa"/>
          </w:tcPr>
          <w:p w14:paraId="70581EE7"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33.74</w:t>
            </w:r>
          </w:p>
        </w:tc>
        <w:tc>
          <w:tcPr>
            <w:tcW w:w="1312" w:type="dxa"/>
          </w:tcPr>
          <w:p w14:paraId="7FA66FA9"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4.59</w:t>
            </w:r>
          </w:p>
        </w:tc>
        <w:tc>
          <w:tcPr>
            <w:tcW w:w="1312" w:type="dxa"/>
          </w:tcPr>
          <w:p w14:paraId="2F16AE64"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38.33</w:t>
            </w:r>
          </w:p>
        </w:tc>
        <w:tc>
          <w:tcPr>
            <w:tcW w:w="1312" w:type="dxa"/>
          </w:tcPr>
          <w:p w14:paraId="142CFFE2"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41,646.04</w:t>
            </w:r>
          </w:p>
        </w:tc>
      </w:tr>
      <w:tr w:rsidR="00724246" w:rsidRPr="00260CB4" w14:paraId="4AD8AA9E"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shd w:val="clear" w:color="auto" w:fill="DFEBF1" w:themeFill="text2" w:themeFillTint="1A"/>
          </w:tcPr>
          <w:p w14:paraId="35280391" w14:textId="77777777" w:rsidR="00724246" w:rsidRPr="003B5A22" w:rsidRDefault="00724246" w:rsidP="00ED2732">
            <w:pPr>
              <w:spacing w:before="80" w:after="80"/>
              <w:rPr>
                <w:rFonts w:eastAsia="Fira Sans regular" w:cs="Arial"/>
                <w:b/>
                <w:bCs/>
                <w:color w:val="15272F"/>
                <w:sz w:val="18"/>
                <w:szCs w:val="18"/>
              </w:rPr>
            </w:pPr>
            <w:r w:rsidRPr="003B5A22">
              <w:rPr>
                <w:rFonts w:eastAsia="Fira Sans regular" w:cs="Arial"/>
                <w:b/>
                <w:bCs/>
                <w:color w:val="15272F"/>
                <w:sz w:val="18"/>
                <w:szCs w:val="18"/>
              </w:rPr>
              <w:t>Total renewable electricity</w:t>
            </w:r>
            <w:r>
              <w:rPr>
                <w:rFonts w:eastAsia="Fira Sans regular" w:cs="Arial"/>
                <w:b/>
                <w:bCs/>
                <w:color w:val="15272F"/>
                <w:sz w:val="18"/>
                <w:szCs w:val="18"/>
              </w:rPr>
              <w:t xml:space="preserve"> consumed</w:t>
            </w:r>
          </w:p>
        </w:tc>
        <w:tc>
          <w:tcPr>
            <w:tcW w:w="1311" w:type="dxa"/>
            <w:shd w:val="clear" w:color="auto" w:fill="DFEBF1" w:themeFill="text2" w:themeFillTint="1A"/>
          </w:tcPr>
          <w:p w14:paraId="5B1DAF2F" w14:textId="77777777" w:rsidR="00724246" w:rsidRPr="003B5A22" w:rsidRDefault="00724246" w:rsidP="00ED2732">
            <w:pPr>
              <w:tabs>
                <w:tab w:val="left" w:pos="420"/>
              </w:tabs>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b/>
                <w:bCs/>
                <w:color w:val="15272F"/>
                <w:szCs w:val="18"/>
              </w:rPr>
            </w:pPr>
            <w:r>
              <w:rPr>
                <w:rFonts w:eastAsia="Fira Sans regular" w:cs="Arial"/>
                <w:b/>
                <w:bCs/>
                <w:color w:val="15272F"/>
                <w:szCs w:val="18"/>
              </w:rPr>
              <w:t>n/a</w:t>
            </w:r>
          </w:p>
        </w:tc>
        <w:tc>
          <w:tcPr>
            <w:tcW w:w="1312" w:type="dxa"/>
            <w:shd w:val="clear" w:color="auto" w:fill="DFEBF1" w:themeFill="text2" w:themeFillTint="1A"/>
          </w:tcPr>
          <w:p w14:paraId="1CD6924A" w14:textId="77777777" w:rsidR="00724246" w:rsidRPr="003B5A22" w:rsidRDefault="00724246" w:rsidP="00ED2732">
            <w:pPr>
              <w:tabs>
                <w:tab w:val="left" w:pos="420"/>
              </w:tabs>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b/>
                <w:bCs/>
                <w:color w:val="15272F"/>
                <w:szCs w:val="18"/>
              </w:rPr>
            </w:pPr>
            <w:r>
              <w:rPr>
                <w:rFonts w:eastAsia="Fira Sans regular" w:cs="Arial"/>
                <w:b/>
                <w:bCs/>
                <w:color w:val="15272F"/>
                <w:szCs w:val="18"/>
              </w:rPr>
              <w:t>n/a</w:t>
            </w:r>
          </w:p>
        </w:tc>
        <w:tc>
          <w:tcPr>
            <w:tcW w:w="1312" w:type="dxa"/>
            <w:shd w:val="clear" w:color="auto" w:fill="DFEBF1" w:themeFill="text2" w:themeFillTint="1A"/>
          </w:tcPr>
          <w:p w14:paraId="6EB6F028" w14:textId="77777777" w:rsidR="00724246" w:rsidRPr="003B5A22" w:rsidRDefault="00724246" w:rsidP="00ED2732">
            <w:pPr>
              <w:tabs>
                <w:tab w:val="left" w:pos="420"/>
              </w:tabs>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b/>
                <w:bCs/>
                <w:color w:val="15272F"/>
                <w:szCs w:val="18"/>
              </w:rPr>
            </w:pPr>
            <w:r>
              <w:rPr>
                <w:rFonts w:eastAsia="Fira Sans regular" w:cs="Arial"/>
                <w:b/>
                <w:bCs/>
                <w:color w:val="15272F"/>
                <w:szCs w:val="18"/>
              </w:rPr>
              <w:t>n/a</w:t>
            </w:r>
          </w:p>
        </w:tc>
        <w:tc>
          <w:tcPr>
            <w:tcW w:w="1312" w:type="dxa"/>
            <w:shd w:val="clear" w:color="auto" w:fill="DFEBF1" w:themeFill="text2" w:themeFillTint="1A"/>
          </w:tcPr>
          <w:p w14:paraId="7B280F1C" w14:textId="5BDABE60"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b/>
                <w:bCs/>
                <w:color w:val="15272F"/>
                <w:szCs w:val="18"/>
              </w:rPr>
            </w:pPr>
            <w:r>
              <w:rPr>
                <w:rFonts w:eastAsia="Fira Sans regular" w:cs="Arial"/>
                <w:b/>
                <w:bCs/>
                <w:color w:val="15272F"/>
                <w:szCs w:val="18"/>
              </w:rPr>
              <w:t>8,705.84</w:t>
            </w:r>
            <w:r w:rsidRPr="003B5A22">
              <w:rPr>
                <w:rFonts w:eastAsia="Fira Sans regular" w:cs="Arial"/>
                <w:b/>
                <w:bCs/>
                <w:color w:val="15272F"/>
                <w:szCs w:val="18"/>
              </w:rPr>
              <w:t xml:space="preserve">        </w:t>
            </w:r>
          </w:p>
        </w:tc>
      </w:tr>
      <w:tr w:rsidR="00724246" w:rsidRPr="00260CB4" w14:paraId="4A92663B"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75165C91" w14:textId="77777777" w:rsidR="00724246" w:rsidRPr="003B5A22" w:rsidRDefault="00724246" w:rsidP="00ED2732">
            <w:pPr>
              <w:spacing w:before="80" w:after="80"/>
              <w:rPr>
                <w:rFonts w:eastAsia="Fira Sans regular" w:cs="Arial"/>
                <w:color w:val="15272F"/>
                <w:sz w:val="18"/>
                <w:szCs w:val="18"/>
              </w:rPr>
            </w:pPr>
            <w:r w:rsidRPr="003B5A22">
              <w:rPr>
                <w:rFonts w:eastAsia="Fira Sans regular" w:cs="Arial"/>
                <w:color w:val="15272F"/>
                <w:sz w:val="18"/>
                <w:szCs w:val="18"/>
              </w:rPr>
              <w:t xml:space="preserve">Renewable </w:t>
            </w:r>
            <w:r>
              <w:rPr>
                <w:rFonts w:eastAsia="Fira Sans regular" w:cs="Arial"/>
                <w:color w:val="15272F"/>
                <w:sz w:val="18"/>
                <w:szCs w:val="18"/>
              </w:rPr>
              <w:t>p</w:t>
            </w:r>
            <w:r w:rsidRPr="003B5A22">
              <w:rPr>
                <w:rFonts w:eastAsia="Fira Sans regular" w:cs="Arial"/>
                <w:color w:val="15272F"/>
                <w:sz w:val="18"/>
                <w:szCs w:val="18"/>
              </w:rPr>
              <w:t xml:space="preserve">ower </w:t>
            </w:r>
            <w:r>
              <w:rPr>
                <w:rFonts w:eastAsia="Fira Sans regular" w:cs="Arial"/>
                <w:color w:val="15272F"/>
                <w:sz w:val="18"/>
                <w:szCs w:val="18"/>
              </w:rPr>
              <w:t>p</w:t>
            </w:r>
            <w:r w:rsidRPr="003B5A22">
              <w:rPr>
                <w:rFonts w:eastAsia="Fira Sans regular" w:cs="Arial"/>
                <w:color w:val="15272F"/>
                <w:sz w:val="18"/>
                <w:szCs w:val="18"/>
              </w:rPr>
              <w:t>ercentage</w:t>
            </w:r>
            <w:r w:rsidRPr="00AB4027">
              <w:rPr>
                <w:rFonts w:eastAsia="Fira Sans regular" w:cs="Arial"/>
                <w:color w:val="15272F"/>
                <w:sz w:val="16"/>
                <w:szCs w:val="16"/>
                <w:vertAlign w:val="superscript"/>
              </w:rPr>
              <w:footnoteReference w:id="8"/>
            </w:r>
          </w:p>
        </w:tc>
        <w:tc>
          <w:tcPr>
            <w:tcW w:w="1311" w:type="dxa"/>
          </w:tcPr>
          <w:p w14:paraId="75EA1977"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30DFCE90"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1504262F"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5B399192"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8,705.84</w:t>
            </w:r>
          </w:p>
        </w:tc>
      </w:tr>
      <w:tr w:rsidR="00724246" w:rsidRPr="00260CB4" w14:paraId="1BEECA07"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6D68B741" w14:textId="15205A67" w:rsidR="00724246" w:rsidRPr="003B5A22" w:rsidRDefault="00724246" w:rsidP="00ED2732">
            <w:pPr>
              <w:spacing w:before="80" w:after="80"/>
              <w:rPr>
                <w:rFonts w:eastAsia="Fira Sans regular" w:cs="Arial"/>
                <w:color w:val="15272F"/>
                <w:sz w:val="18"/>
                <w:szCs w:val="18"/>
                <w:vertAlign w:val="superscript"/>
              </w:rPr>
            </w:pPr>
            <w:r w:rsidRPr="003B5A22">
              <w:rPr>
                <w:rFonts w:eastAsia="Fira Sans regular" w:cs="Arial"/>
                <w:color w:val="15272F"/>
                <w:sz w:val="18"/>
                <w:szCs w:val="18"/>
              </w:rPr>
              <w:t xml:space="preserve">Jurisdictional </w:t>
            </w:r>
            <w:r>
              <w:rPr>
                <w:rFonts w:eastAsia="Fira Sans regular" w:cs="Arial"/>
                <w:color w:val="15272F"/>
                <w:sz w:val="18"/>
                <w:szCs w:val="18"/>
              </w:rPr>
              <w:t>r</w:t>
            </w:r>
            <w:r w:rsidRPr="003B5A22">
              <w:rPr>
                <w:rFonts w:eastAsia="Fira Sans regular" w:cs="Arial"/>
                <w:color w:val="15272F"/>
                <w:sz w:val="18"/>
                <w:szCs w:val="18"/>
              </w:rPr>
              <w:t xml:space="preserve">enewable </w:t>
            </w:r>
            <w:r>
              <w:rPr>
                <w:rFonts w:eastAsia="Fira Sans regular" w:cs="Arial"/>
                <w:color w:val="15272F"/>
                <w:sz w:val="18"/>
                <w:szCs w:val="18"/>
              </w:rPr>
              <w:t>p</w:t>
            </w:r>
            <w:r w:rsidRPr="003B5A22">
              <w:rPr>
                <w:rFonts w:eastAsia="Fira Sans regular" w:cs="Arial"/>
                <w:color w:val="15272F"/>
                <w:sz w:val="18"/>
                <w:szCs w:val="18"/>
              </w:rPr>
              <w:t xml:space="preserve">ower </w:t>
            </w:r>
            <w:r>
              <w:rPr>
                <w:rFonts w:eastAsia="Fira Sans regular" w:cs="Arial"/>
                <w:color w:val="15272F"/>
                <w:sz w:val="18"/>
                <w:szCs w:val="18"/>
              </w:rPr>
              <w:t>p</w:t>
            </w:r>
            <w:r w:rsidRPr="003B5A22">
              <w:rPr>
                <w:rFonts w:eastAsia="Fira Sans regular" w:cs="Arial"/>
                <w:color w:val="15272F"/>
                <w:sz w:val="18"/>
                <w:szCs w:val="18"/>
              </w:rPr>
              <w:t>ercentage</w:t>
            </w:r>
            <w:r w:rsidRPr="00AB4027">
              <w:rPr>
                <w:rFonts w:eastAsia="Fira Sans regular" w:cs="Arial"/>
                <w:color w:val="15272F"/>
                <w:sz w:val="16"/>
                <w:szCs w:val="16"/>
                <w:vertAlign w:val="superscript"/>
              </w:rPr>
              <w:footnoteReference w:id="9"/>
            </w:r>
            <w:r w:rsidR="00AB4027" w:rsidRPr="00AB4027">
              <w:rPr>
                <w:rFonts w:eastAsia="Fira Sans regular" w:cs="Arial"/>
                <w:color w:val="15272F"/>
                <w:sz w:val="16"/>
                <w:szCs w:val="16"/>
              </w:rPr>
              <w:t>,</w:t>
            </w:r>
            <w:bookmarkStart w:id="1092" w:name="_Ref239064777"/>
            <w:r w:rsidR="00AB4027" w:rsidRPr="00AB4027">
              <w:rPr>
                <w:rStyle w:val="FootnoteReference"/>
                <w:rFonts w:eastAsia="Fira Sans regular" w:cs="Arial"/>
                <w:color w:val="15272F"/>
                <w:sz w:val="16"/>
                <w:szCs w:val="16"/>
              </w:rPr>
              <w:footnoteReference w:id="10"/>
            </w:r>
            <w:bookmarkEnd w:id="1092"/>
          </w:p>
        </w:tc>
        <w:tc>
          <w:tcPr>
            <w:tcW w:w="1311" w:type="dxa"/>
          </w:tcPr>
          <w:p w14:paraId="654B1FF0"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0E15269D"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5C770224"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5C9A0641"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w:t>
            </w:r>
          </w:p>
        </w:tc>
      </w:tr>
      <w:tr w:rsidR="00724246" w:rsidRPr="00260CB4" w14:paraId="3FC859FF"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32C91CED" w14:textId="4715FC7E" w:rsidR="00724246" w:rsidRPr="003B5A22" w:rsidRDefault="00724246" w:rsidP="00ED2732">
            <w:pPr>
              <w:spacing w:before="80" w:after="80"/>
              <w:rPr>
                <w:rFonts w:eastAsia="Fira Sans regular" w:cs="Arial"/>
                <w:color w:val="15272F"/>
                <w:sz w:val="18"/>
                <w:szCs w:val="18"/>
              </w:rPr>
            </w:pPr>
            <w:r w:rsidRPr="003B5A22">
              <w:rPr>
                <w:rFonts w:eastAsia="Fira Sans regular" w:cs="Arial"/>
                <w:color w:val="15272F"/>
                <w:sz w:val="18"/>
                <w:szCs w:val="18"/>
              </w:rPr>
              <w:t>GreenPower</w:t>
            </w:r>
            <w:r w:rsidR="00AB4027">
              <w:fldChar w:fldCharType="begin"/>
            </w:r>
            <w:r w:rsidR="00AB4027">
              <w:rPr>
                <w:rStyle w:val="FootnoteReference"/>
                <w:sz w:val="16"/>
                <w:szCs w:val="16"/>
              </w:rPr>
              <w:instrText xml:space="preserve"> NOTEREF _Ref239064777 \h </w:instrText>
            </w:r>
            <w:r w:rsidR="00AB4027">
              <w:fldChar w:fldCharType="separate"/>
            </w:r>
            <w:r w:rsidR="00AB4027">
              <w:rPr>
                <w:rStyle w:val="FootnoteReference"/>
                <w:sz w:val="16"/>
                <w:szCs w:val="16"/>
              </w:rPr>
              <w:t>9</w:t>
            </w:r>
            <w:r w:rsidR="00AB4027">
              <w:fldChar w:fldCharType="end"/>
            </w:r>
          </w:p>
        </w:tc>
        <w:tc>
          <w:tcPr>
            <w:tcW w:w="1311" w:type="dxa"/>
          </w:tcPr>
          <w:p w14:paraId="68677448"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63E4D33C"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5C887FE9"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7B9FE2AF" w14:textId="77777777" w:rsidR="00724246" w:rsidRPr="003B5A22"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w:t>
            </w:r>
          </w:p>
        </w:tc>
      </w:tr>
      <w:tr w:rsidR="00724246" w:rsidRPr="00260CB4" w14:paraId="2BA52334"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04316062" w14:textId="124E6229" w:rsidR="00724246" w:rsidRPr="003B5A22" w:rsidRDefault="00724246" w:rsidP="00ED2732">
            <w:pPr>
              <w:spacing w:before="80" w:after="80"/>
              <w:rPr>
                <w:rFonts w:eastAsia="Fira Sans regular" w:cs="Arial"/>
                <w:color w:val="15272F"/>
                <w:sz w:val="18"/>
                <w:szCs w:val="18"/>
              </w:rPr>
            </w:pPr>
            <w:r w:rsidRPr="003B5A22">
              <w:rPr>
                <w:rFonts w:eastAsia="Fira Sans regular" w:cs="Arial"/>
                <w:color w:val="15272F"/>
                <w:sz w:val="18"/>
                <w:szCs w:val="18"/>
              </w:rPr>
              <w:t>Large-scale generation certificates</w:t>
            </w:r>
            <w:r w:rsidR="00AB4027">
              <w:fldChar w:fldCharType="begin"/>
            </w:r>
            <w:r w:rsidR="00AB4027">
              <w:rPr>
                <w:rStyle w:val="FootnoteReference"/>
                <w:sz w:val="16"/>
                <w:szCs w:val="16"/>
              </w:rPr>
              <w:instrText xml:space="preserve"> NOTEREF _Ref239064777 \h </w:instrText>
            </w:r>
            <w:r w:rsidR="00AB4027">
              <w:fldChar w:fldCharType="separate"/>
            </w:r>
            <w:r w:rsidR="00AB4027">
              <w:rPr>
                <w:rStyle w:val="FootnoteReference"/>
                <w:sz w:val="16"/>
                <w:szCs w:val="16"/>
              </w:rPr>
              <w:t>9</w:t>
            </w:r>
            <w:r w:rsidR="00AB4027">
              <w:fldChar w:fldCharType="end"/>
            </w:r>
          </w:p>
        </w:tc>
        <w:tc>
          <w:tcPr>
            <w:tcW w:w="1311" w:type="dxa"/>
          </w:tcPr>
          <w:p w14:paraId="754B53C9"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65DA2B19"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7DB43944"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0605E815" w14:textId="77777777" w:rsidR="00724246" w:rsidRPr="003B5A2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w:t>
            </w:r>
          </w:p>
        </w:tc>
      </w:tr>
      <w:tr w:rsidR="00724246" w:rsidRPr="00260CB4" w14:paraId="4A718869"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794456DB" w14:textId="1D0203B8" w:rsidR="00724246" w:rsidRPr="003B5A22" w:rsidRDefault="00724246" w:rsidP="00ED2732">
            <w:pPr>
              <w:spacing w:before="80" w:after="80"/>
              <w:rPr>
                <w:rFonts w:eastAsia="Fira Sans regular" w:cs="Arial"/>
                <w:color w:val="15272F"/>
                <w:sz w:val="18"/>
                <w:szCs w:val="18"/>
              </w:rPr>
            </w:pPr>
            <w:r>
              <w:rPr>
                <w:rFonts w:eastAsia="Fira Sans regular" w:cs="Arial"/>
                <w:color w:val="15272F"/>
                <w:sz w:val="18"/>
                <w:szCs w:val="18"/>
              </w:rPr>
              <w:t>Behind the meter solar</w:t>
            </w:r>
            <w:r w:rsidR="00AB4027" w:rsidRPr="00AB4027">
              <w:rPr>
                <w:rStyle w:val="FootnoteReference"/>
                <w:sz w:val="16"/>
                <w:szCs w:val="16"/>
              </w:rPr>
              <w:fldChar w:fldCharType="begin"/>
            </w:r>
            <w:r w:rsidR="00AB4027" w:rsidRPr="00AB4027">
              <w:rPr>
                <w:rFonts w:eastAsia="Fira Sans regular" w:cs="Arial"/>
                <w:color w:val="15272F"/>
                <w:sz w:val="16"/>
                <w:szCs w:val="16"/>
              </w:rPr>
              <w:instrText xml:space="preserve"> NOTEREF _Ref239064571 \h </w:instrText>
            </w:r>
            <w:r w:rsidR="00AB4027" w:rsidRPr="00AB4027">
              <w:rPr>
                <w:rStyle w:val="FootnoteReference"/>
                <w:sz w:val="16"/>
                <w:szCs w:val="16"/>
              </w:rPr>
              <w:instrText xml:space="preserve"> \* MERGEFORMAT </w:instrText>
            </w:r>
            <w:r w:rsidR="00AB4027" w:rsidRPr="00AB4027">
              <w:rPr>
                <w:rStyle w:val="FootnoteReference"/>
                <w:sz w:val="16"/>
                <w:szCs w:val="16"/>
              </w:rPr>
            </w:r>
            <w:r w:rsidR="00AB4027" w:rsidRPr="00AB4027">
              <w:rPr>
                <w:rStyle w:val="FootnoteReference"/>
                <w:sz w:val="16"/>
                <w:szCs w:val="16"/>
              </w:rPr>
              <w:fldChar w:fldCharType="separate"/>
            </w:r>
            <w:r w:rsidR="00AB4027">
              <w:rPr>
                <w:rStyle w:val="FootnoteReference"/>
                <w:sz w:val="16"/>
                <w:szCs w:val="16"/>
              </w:rPr>
              <w:t>1</w:t>
            </w:r>
            <w:r w:rsidR="00AB4027" w:rsidRPr="00AB4027">
              <w:rPr>
                <w:rStyle w:val="FootnoteReference"/>
                <w:sz w:val="16"/>
                <w:szCs w:val="16"/>
              </w:rPr>
              <w:t>1</w:t>
            </w:r>
            <w:r w:rsidR="00AB4027" w:rsidRPr="00AB4027">
              <w:rPr>
                <w:rStyle w:val="FootnoteReference"/>
                <w:sz w:val="16"/>
                <w:szCs w:val="16"/>
              </w:rPr>
              <w:fldChar w:fldCharType="end"/>
            </w:r>
          </w:p>
        </w:tc>
        <w:tc>
          <w:tcPr>
            <w:tcW w:w="1311" w:type="dxa"/>
          </w:tcPr>
          <w:p w14:paraId="4DC50F03" w14:textId="77777777" w:rsidR="00724246"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1BDDBEE2" w14:textId="77777777" w:rsidR="00724246"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24F0A0F2" w14:textId="77777777" w:rsidR="00724246"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3E5B2A46" w14:textId="77777777" w:rsidR="00724246"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w:t>
            </w:r>
          </w:p>
        </w:tc>
      </w:tr>
      <w:tr w:rsidR="00724246" w:rsidRPr="00260CB4" w14:paraId="71B14A48"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shd w:val="clear" w:color="auto" w:fill="DFEBF1" w:themeFill="text2" w:themeFillTint="1A"/>
          </w:tcPr>
          <w:p w14:paraId="008AFAD7" w14:textId="77777777" w:rsidR="00724246" w:rsidRPr="00A12E03" w:rsidRDefault="00724246" w:rsidP="00ED2732">
            <w:pPr>
              <w:spacing w:before="80" w:after="80"/>
              <w:rPr>
                <w:rFonts w:eastAsia="Fira Sans regular" w:cs="Arial"/>
                <w:b/>
                <w:bCs/>
                <w:color w:val="15272F"/>
                <w:sz w:val="18"/>
                <w:szCs w:val="18"/>
              </w:rPr>
            </w:pPr>
            <w:r w:rsidRPr="00A12E03">
              <w:rPr>
                <w:rFonts w:eastAsia="Fira Sans regular" w:cs="Arial"/>
                <w:b/>
                <w:bCs/>
                <w:color w:val="15272F"/>
                <w:sz w:val="18"/>
                <w:szCs w:val="18"/>
              </w:rPr>
              <w:t xml:space="preserve">Total renewable electricity produced </w:t>
            </w:r>
          </w:p>
        </w:tc>
        <w:tc>
          <w:tcPr>
            <w:tcW w:w="1311" w:type="dxa"/>
            <w:shd w:val="clear" w:color="auto" w:fill="DFEBF1" w:themeFill="text2" w:themeFillTint="1A"/>
          </w:tcPr>
          <w:p w14:paraId="6EC5C3A6" w14:textId="77777777" w:rsidR="00724246" w:rsidRPr="00ED273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b/>
                <w:bCs/>
                <w:color w:val="15272F"/>
                <w:szCs w:val="18"/>
              </w:rPr>
            </w:pPr>
            <w:r w:rsidRPr="00ED2732">
              <w:rPr>
                <w:rFonts w:eastAsia="Fira Sans regular" w:cs="Arial"/>
                <w:b/>
                <w:bCs/>
                <w:color w:val="15272F"/>
                <w:szCs w:val="18"/>
              </w:rPr>
              <w:t>n/a</w:t>
            </w:r>
          </w:p>
        </w:tc>
        <w:tc>
          <w:tcPr>
            <w:tcW w:w="1312" w:type="dxa"/>
            <w:shd w:val="clear" w:color="auto" w:fill="DFEBF1" w:themeFill="text2" w:themeFillTint="1A"/>
          </w:tcPr>
          <w:p w14:paraId="33EFA454" w14:textId="77777777" w:rsidR="00724246" w:rsidRPr="00ED273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b/>
                <w:bCs/>
                <w:color w:val="15272F"/>
                <w:szCs w:val="18"/>
              </w:rPr>
            </w:pPr>
            <w:r w:rsidRPr="00ED2732">
              <w:rPr>
                <w:rFonts w:eastAsia="Fira Sans regular" w:cs="Arial"/>
                <w:b/>
                <w:bCs/>
                <w:color w:val="15272F"/>
                <w:szCs w:val="18"/>
              </w:rPr>
              <w:t>n/a</w:t>
            </w:r>
          </w:p>
        </w:tc>
        <w:tc>
          <w:tcPr>
            <w:tcW w:w="1312" w:type="dxa"/>
            <w:shd w:val="clear" w:color="auto" w:fill="DFEBF1" w:themeFill="text2" w:themeFillTint="1A"/>
          </w:tcPr>
          <w:p w14:paraId="0B7FF4A0" w14:textId="77777777" w:rsidR="00724246" w:rsidRPr="00ED273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b/>
                <w:bCs/>
                <w:color w:val="15272F"/>
                <w:szCs w:val="18"/>
              </w:rPr>
            </w:pPr>
            <w:r w:rsidRPr="00ED2732">
              <w:rPr>
                <w:rFonts w:eastAsia="Fira Sans regular" w:cs="Arial"/>
                <w:b/>
                <w:bCs/>
                <w:color w:val="15272F"/>
                <w:szCs w:val="18"/>
              </w:rPr>
              <w:t>n/a</w:t>
            </w:r>
          </w:p>
        </w:tc>
        <w:tc>
          <w:tcPr>
            <w:tcW w:w="1312" w:type="dxa"/>
            <w:shd w:val="clear" w:color="auto" w:fill="DFEBF1" w:themeFill="text2" w:themeFillTint="1A"/>
          </w:tcPr>
          <w:p w14:paraId="46D843E4" w14:textId="77777777" w:rsidR="00724246" w:rsidRPr="00ED2732"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b/>
                <w:bCs/>
                <w:color w:val="15272F"/>
                <w:szCs w:val="18"/>
              </w:rPr>
            </w:pPr>
            <w:r w:rsidRPr="00ED2732">
              <w:rPr>
                <w:rFonts w:eastAsia="Fira Sans regular" w:cs="Arial"/>
                <w:b/>
                <w:bCs/>
                <w:color w:val="15272F"/>
                <w:szCs w:val="18"/>
              </w:rPr>
              <w:t>-</w:t>
            </w:r>
          </w:p>
        </w:tc>
      </w:tr>
      <w:tr w:rsidR="00724246" w:rsidRPr="00260CB4" w14:paraId="46EA76D9" w14:textId="77777777" w:rsidTr="00ED27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shd w:val="clear" w:color="auto" w:fill="FFFFFF" w:themeFill="background2"/>
          </w:tcPr>
          <w:p w14:paraId="397B9ECC" w14:textId="3271E0CF" w:rsidR="00724246" w:rsidRPr="00A12E03" w:rsidRDefault="00724246" w:rsidP="00ED2732">
            <w:pPr>
              <w:spacing w:before="80" w:after="80"/>
              <w:rPr>
                <w:rFonts w:eastAsia="Fira Sans regular" w:cs="Arial"/>
                <w:color w:val="15272F"/>
                <w:sz w:val="18"/>
                <w:szCs w:val="18"/>
              </w:rPr>
            </w:pPr>
            <w:r w:rsidRPr="00A12E03">
              <w:rPr>
                <w:rFonts w:eastAsia="Fira Sans regular" w:cs="Arial"/>
                <w:color w:val="15272F"/>
                <w:sz w:val="18"/>
                <w:szCs w:val="18"/>
              </w:rPr>
              <w:t>Large-scale generation certificates</w:t>
            </w:r>
            <w:r w:rsidR="00581338">
              <w:fldChar w:fldCharType="begin"/>
            </w:r>
            <w:r w:rsidR="00581338">
              <w:rPr>
                <w:rStyle w:val="FootnoteReference"/>
                <w:sz w:val="16"/>
                <w:szCs w:val="16"/>
              </w:rPr>
              <w:instrText xml:space="preserve"> NOTEREF _Ref239064777 \h </w:instrText>
            </w:r>
            <w:r w:rsidR="00581338">
              <w:fldChar w:fldCharType="separate"/>
            </w:r>
            <w:r w:rsidR="00581338">
              <w:rPr>
                <w:rStyle w:val="FootnoteReference"/>
                <w:sz w:val="16"/>
                <w:szCs w:val="16"/>
              </w:rPr>
              <w:t>9</w:t>
            </w:r>
            <w:r w:rsidR="00581338">
              <w:fldChar w:fldCharType="end"/>
            </w:r>
            <w:r w:rsidRPr="00A12E03">
              <w:rPr>
                <w:rFonts w:eastAsia="Fira Sans regular" w:cs="Arial"/>
                <w:color w:val="15272F"/>
                <w:sz w:val="18"/>
                <w:szCs w:val="18"/>
              </w:rPr>
              <w:t xml:space="preserve"> </w:t>
            </w:r>
          </w:p>
        </w:tc>
        <w:tc>
          <w:tcPr>
            <w:tcW w:w="1311" w:type="dxa"/>
            <w:shd w:val="clear" w:color="auto" w:fill="FFFFFF" w:themeFill="background2"/>
          </w:tcPr>
          <w:p w14:paraId="5687CEA7" w14:textId="77777777" w:rsidR="00724246"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shd w:val="clear" w:color="auto" w:fill="FFFFFF" w:themeFill="background2"/>
          </w:tcPr>
          <w:p w14:paraId="330FAEA4" w14:textId="77777777" w:rsidR="00724246"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shd w:val="clear" w:color="auto" w:fill="FFFFFF" w:themeFill="background2"/>
          </w:tcPr>
          <w:p w14:paraId="7BAB9879" w14:textId="77777777" w:rsidR="00724246"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shd w:val="clear" w:color="auto" w:fill="FFFFFF" w:themeFill="background2"/>
          </w:tcPr>
          <w:p w14:paraId="0105646E" w14:textId="77777777" w:rsidR="00724246" w:rsidRDefault="00724246" w:rsidP="00ED2732">
            <w:pPr>
              <w:spacing w:before="80" w:after="80"/>
              <w:cnfStyle w:val="000000010000" w:firstRow="0" w:lastRow="0" w:firstColumn="0" w:lastColumn="0" w:oddVBand="0" w:evenVBand="0" w:oddHBand="0" w:evenHBand="1" w:firstRowFirstColumn="0" w:firstRowLastColumn="0" w:lastRowFirstColumn="0" w:lastRowLastColumn="0"/>
              <w:rPr>
                <w:rFonts w:eastAsia="Fira Sans regular" w:cs="Arial"/>
                <w:color w:val="15272F"/>
                <w:szCs w:val="18"/>
              </w:rPr>
            </w:pPr>
          </w:p>
        </w:tc>
      </w:tr>
      <w:tr w:rsidR="00724246" w:rsidRPr="00260CB4" w14:paraId="5D377BB0" w14:textId="77777777" w:rsidTr="00ED2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2BDE4717" w14:textId="4BB6DB39" w:rsidR="00724246" w:rsidRDefault="00724246" w:rsidP="00ED2732">
            <w:pPr>
              <w:spacing w:before="80" w:after="80"/>
              <w:rPr>
                <w:rFonts w:eastAsia="Fira Sans regular" w:cs="Arial"/>
                <w:color w:val="15272F"/>
                <w:sz w:val="18"/>
                <w:szCs w:val="18"/>
              </w:rPr>
            </w:pPr>
            <w:r>
              <w:rPr>
                <w:rFonts w:eastAsia="Fira Sans regular" w:cs="Arial"/>
                <w:color w:val="15272F"/>
                <w:sz w:val="18"/>
                <w:szCs w:val="18"/>
              </w:rPr>
              <w:t>Behind the meter solar</w:t>
            </w:r>
            <w:bookmarkStart w:id="1093" w:name="_Ref239064571"/>
            <w:r w:rsidR="00AB4027" w:rsidRPr="00AB4027">
              <w:rPr>
                <w:rStyle w:val="FootnoteReference"/>
                <w:rFonts w:eastAsia="Fira Sans regular" w:cs="Arial"/>
                <w:color w:val="15272F"/>
                <w:sz w:val="16"/>
                <w:szCs w:val="16"/>
              </w:rPr>
              <w:footnoteReference w:id="11"/>
            </w:r>
            <w:bookmarkEnd w:id="1093"/>
            <w:r w:rsidRPr="00AB4027">
              <w:rPr>
                <w:rFonts w:eastAsia="Fira Sans regular" w:cs="Arial"/>
                <w:color w:val="15272F"/>
                <w:sz w:val="16"/>
                <w:szCs w:val="16"/>
              </w:rPr>
              <w:t xml:space="preserve"> </w:t>
            </w:r>
          </w:p>
        </w:tc>
        <w:tc>
          <w:tcPr>
            <w:tcW w:w="1311" w:type="dxa"/>
          </w:tcPr>
          <w:p w14:paraId="0959FDA6" w14:textId="77777777" w:rsidR="00724246"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5C6476EF" w14:textId="77777777" w:rsidR="00724246"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1533A06B" w14:textId="77777777" w:rsidR="00724246"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n/a</w:t>
            </w:r>
          </w:p>
        </w:tc>
        <w:tc>
          <w:tcPr>
            <w:tcW w:w="1312" w:type="dxa"/>
          </w:tcPr>
          <w:p w14:paraId="789DEA6E" w14:textId="77777777" w:rsidR="00724246" w:rsidRDefault="00724246" w:rsidP="00ED2732">
            <w:pPr>
              <w:spacing w:before="80" w:after="80"/>
              <w:cnfStyle w:val="000000100000" w:firstRow="0" w:lastRow="0" w:firstColumn="0" w:lastColumn="0" w:oddVBand="0" w:evenVBand="0" w:oddHBand="1" w:evenHBand="0" w:firstRowFirstColumn="0" w:firstRowLastColumn="0" w:lastRowFirstColumn="0" w:lastRowLastColumn="0"/>
              <w:rPr>
                <w:rFonts w:eastAsia="Fira Sans regular" w:cs="Arial"/>
                <w:color w:val="15272F"/>
                <w:szCs w:val="18"/>
              </w:rPr>
            </w:pPr>
            <w:r>
              <w:rPr>
                <w:rFonts w:eastAsia="Fira Sans regular" w:cs="Arial"/>
                <w:color w:val="15272F"/>
                <w:szCs w:val="18"/>
              </w:rPr>
              <w:t>-</w:t>
            </w:r>
          </w:p>
        </w:tc>
      </w:tr>
    </w:tbl>
    <w:p w14:paraId="34910759" w14:textId="77777777" w:rsidR="00724246" w:rsidRDefault="00724246" w:rsidP="00724246">
      <w:pPr>
        <w:rPr>
          <w:b/>
          <w:bCs/>
        </w:rPr>
      </w:pPr>
    </w:p>
    <w:p w14:paraId="6783E8EE" w14:textId="77777777" w:rsidR="002A0F16" w:rsidRDefault="002A0F16" w:rsidP="002A0F16">
      <w:pPr>
        <w:spacing w:before="240"/>
        <w:rPr>
          <w:rFonts w:cs="Arial"/>
          <w:color w:val="auto"/>
        </w:rPr>
      </w:pPr>
      <w:r w:rsidRPr="00856101">
        <w:rPr>
          <w:rFonts w:cs="Arial"/>
          <w:bCs/>
          <w:color w:val="auto"/>
        </w:rPr>
        <w:t>Note:</w:t>
      </w:r>
      <w:r>
        <w:rPr>
          <w:rFonts w:cs="Arial"/>
          <w:b/>
          <w:color w:val="auto"/>
        </w:rPr>
        <w:t xml:space="preserve"> </w:t>
      </w:r>
      <w:r w:rsidRPr="0000772F">
        <w:rPr>
          <w:rFonts w:cs="Arial"/>
          <w:b/>
          <w:color w:val="auto"/>
        </w:rPr>
        <w:t>Table 20</w:t>
      </w:r>
      <w:r w:rsidRPr="002C01EE">
        <w:rPr>
          <w:rFonts w:cs="Arial"/>
          <w:color w:val="auto"/>
        </w:rPr>
        <w:t xml:space="preserve"> presents emissions related to electricity usage using both the location-based and the market-based accounting methods. CO</w:t>
      </w:r>
      <w:r w:rsidRPr="002C01EE">
        <w:rPr>
          <w:rFonts w:cs="Arial"/>
          <w:color w:val="auto"/>
          <w:vertAlign w:val="subscript"/>
        </w:rPr>
        <w:t>2</w:t>
      </w:r>
      <w:r w:rsidRPr="002C01EE">
        <w:rPr>
          <w:rFonts w:cs="Arial"/>
          <w:color w:val="auto"/>
        </w:rPr>
        <w:t xml:space="preserve">-e = Carbon Dioxide Equivalent. Electricity usage is measured in kilowatt hours (kWh). </w:t>
      </w:r>
    </w:p>
    <w:p w14:paraId="6727FF82" w14:textId="77777777" w:rsidR="00724246" w:rsidRDefault="00724246" w:rsidP="00724246">
      <w:r>
        <w:t xml:space="preserve">Notes on Scopes: </w:t>
      </w:r>
    </w:p>
    <w:p w14:paraId="04821238" w14:textId="77777777" w:rsidR="00724246" w:rsidRDefault="00724246" w:rsidP="00724246">
      <w:pPr>
        <w:pStyle w:val="ListParagraph"/>
        <w:numPr>
          <w:ilvl w:val="0"/>
          <w:numId w:val="47"/>
        </w:numPr>
      </w:pPr>
      <w:r>
        <w:t xml:space="preserve">Scope 1 emissions are emissions from direct consumption of fuels or refrigerants (for example, running a fleet of vehicles). IHACPA had no scope 1 emissions. </w:t>
      </w:r>
    </w:p>
    <w:p w14:paraId="0D01A8B7" w14:textId="77777777" w:rsidR="00724246" w:rsidRDefault="00724246" w:rsidP="00724246">
      <w:pPr>
        <w:pStyle w:val="ListParagraph"/>
        <w:numPr>
          <w:ilvl w:val="0"/>
          <w:numId w:val="46"/>
        </w:numPr>
      </w:pPr>
      <w:r>
        <w:t xml:space="preserve">Scope 2 emissions are indirect emissions from the generation of purchased energy, from a utility provider and relate to electricity usage at IHACPA’s office space. Electricity transmission and distribution losses are included in scope 3. </w:t>
      </w:r>
    </w:p>
    <w:p w14:paraId="13B23B11" w14:textId="77777777" w:rsidR="00724246" w:rsidRPr="00ED2732" w:rsidRDefault="00724246" w:rsidP="00724246">
      <w:pPr>
        <w:pStyle w:val="ListParagraph"/>
        <w:numPr>
          <w:ilvl w:val="0"/>
          <w:numId w:val="46"/>
        </w:numPr>
      </w:pPr>
      <w:r>
        <w:t xml:space="preserve">Scope 3 emissions are all indirect emissions not included in scope 2 that occur in the value chain including both upstream and downstream emissions. IHACPA’s scope 3 emissions </w:t>
      </w:r>
      <w:r>
        <w:lastRenderedPageBreak/>
        <w:t xml:space="preserve">primarily represent domestic flight emissions relating to the IHACPA CEO and Pricing Authority. Domestic flight emissions relating to staff seconded to IHACPA from the Department of Health, Disability and Ageing are included in the department’s emissions disclosure.   </w:t>
      </w:r>
    </w:p>
    <w:p w14:paraId="39CE23A7" w14:textId="77777777" w:rsidR="00724246" w:rsidRDefault="00724246" w:rsidP="00724246">
      <w:pPr>
        <w:pStyle w:val="Heading1"/>
      </w:pPr>
      <w:bookmarkStart w:id="1094" w:name="_Toc233022354"/>
      <w:bookmarkStart w:id="1095" w:name="_Toc233023115"/>
      <w:bookmarkStart w:id="1096" w:name="_Toc233023443"/>
      <w:bookmarkStart w:id="1097" w:name="_Toc233028766"/>
      <w:bookmarkStart w:id="1098" w:name="_Toc233028943"/>
      <w:bookmarkStart w:id="1099" w:name="_Toc235787522"/>
      <w:bookmarkStart w:id="1100" w:name="_Toc235791660"/>
    </w:p>
    <w:p w14:paraId="472C43E4" w14:textId="77777777" w:rsidR="00724246" w:rsidRDefault="00724246" w:rsidP="00724246"/>
    <w:p w14:paraId="0013776E" w14:textId="77777777" w:rsidR="00724246" w:rsidRDefault="00724246" w:rsidP="00724246"/>
    <w:p w14:paraId="7F9BCA74" w14:textId="77777777" w:rsidR="00724246" w:rsidRDefault="00724246" w:rsidP="00724246"/>
    <w:p w14:paraId="63718A2C" w14:textId="77777777" w:rsidR="00724246" w:rsidRDefault="00724246" w:rsidP="00724246"/>
    <w:p w14:paraId="322C2A43" w14:textId="77777777" w:rsidR="00724246" w:rsidRDefault="00724246" w:rsidP="00724246"/>
    <w:p w14:paraId="2EB79B34" w14:textId="77777777" w:rsidR="00724246" w:rsidRDefault="00724246" w:rsidP="00724246"/>
    <w:p w14:paraId="5EEC28E5" w14:textId="77777777" w:rsidR="00724246" w:rsidRDefault="00724246" w:rsidP="00724246"/>
    <w:p w14:paraId="352FA3F3" w14:textId="77777777" w:rsidR="00724246" w:rsidRDefault="00724246" w:rsidP="00724246"/>
    <w:p w14:paraId="54CA76B8" w14:textId="77777777" w:rsidR="00724246" w:rsidRDefault="00724246" w:rsidP="00724246"/>
    <w:p w14:paraId="1034DEC4" w14:textId="77777777" w:rsidR="00724246" w:rsidRDefault="00724246" w:rsidP="00724246"/>
    <w:p w14:paraId="1B4A3F79" w14:textId="77777777" w:rsidR="00724246" w:rsidRDefault="00724246" w:rsidP="00724246"/>
    <w:p w14:paraId="488682F1" w14:textId="77777777" w:rsidR="00724246" w:rsidRDefault="00724246" w:rsidP="00724246"/>
    <w:p w14:paraId="1474DEAD" w14:textId="77777777" w:rsidR="002A0F16" w:rsidRDefault="002A0F16" w:rsidP="00724246"/>
    <w:p w14:paraId="2EA64306" w14:textId="77777777" w:rsidR="002A0F16" w:rsidRDefault="002A0F16" w:rsidP="00724246"/>
    <w:p w14:paraId="00D77BF7" w14:textId="77777777" w:rsidR="00724246" w:rsidRDefault="00724246" w:rsidP="00724246"/>
    <w:p w14:paraId="628342F5" w14:textId="77777777" w:rsidR="00724246" w:rsidRDefault="00724246" w:rsidP="00724246"/>
    <w:p w14:paraId="5A4844BF" w14:textId="77777777" w:rsidR="00724246" w:rsidRDefault="00724246" w:rsidP="00724246"/>
    <w:p w14:paraId="1BAEA8FE" w14:textId="77777777" w:rsidR="00724246" w:rsidRDefault="00724246" w:rsidP="00724246"/>
    <w:p w14:paraId="0E14DB23" w14:textId="77777777" w:rsidR="00724246" w:rsidRPr="00724246" w:rsidRDefault="00724246" w:rsidP="00724246"/>
    <w:p w14:paraId="34B0227E" w14:textId="5673F6C1" w:rsidR="00724246" w:rsidRDefault="00724246" w:rsidP="00724246">
      <w:pPr>
        <w:pStyle w:val="Heading1"/>
      </w:pPr>
      <w:bookmarkStart w:id="1101" w:name="_Toc237872763"/>
      <w:r>
        <w:lastRenderedPageBreak/>
        <w:t>Appendix E – Glossary</w:t>
      </w:r>
      <w:bookmarkEnd w:id="1094"/>
      <w:bookmarkEnd w:id="1095"/>
      <w:bookmarkEnd w:id="1096"/>
      <w:bookmarkEnd w:id="1097"/>
      <w:bookmarkEnd w:id="1098"/>
      <w:bookmarkEnd w:id="1099"/>
      <w:bookmarkEnd w:id="1100"/>
      <w:bookmarkEnd w:id="1101"/>
      <w:r>
        <w:t xml:space="preserve"> </w:t>
      </w:r>
    </w:p>
    <w:p w14:paraId="64280068" w14:textId="77777777" w:rsidR="00724246" w:rsidRPr="005D0C4C" w:rsidRDefault="00724246" w:rsidP="00724246">
      <w:pPr>
        <w:pStyle w:val="Heading2"/>
      </w:pPr>
      <w:bookmarkStart w:id="1102" w:name="_Toc233021862"/>
      <w:bookmarkStart w:id="1103" w:name="_Toc233022355"/>
      <w:bookmarkStart w:id="1104" w:name="_Toc233023116"/>
      <w:bookmarkStart w:id="1105" w:name="_Toc233023444"/>
      <w:bookmarkStart w:id="1106" w:name="_Toc233023591"/>
      <w:bookmarkStart w:id="1107" w:name="_Toc233028767"/>
      <w:bookmarkStart w:id="1108" w:name="_Toc233028944"/>
      <w:bookmarkStart w:id="1109" w:name="_Toc235786192"/>
      <w:bookmarkStart w:id="1110" w:name="_Toc235787523"/>
      <w:bookmarkStart w:id="1111" w:name="_Toc235791661"/>
      <w:bookmarkStart w:id="1112" w:name="_Toc237872764"/>
      <w:r w:rsidRPr="005D0C4C">
        <w:t>Activity</w:t>
      </w:r>
      <w:r>
        <w:t>-</w:t>
      </w:r>
      <w:r w:rsidRPr="005D0C4C">
        <w:t>based funding</w:t>
      </w:r>
      <w:bookmarkEnd w:id="1102"/>
      <w:bookmarkEnd w:id="1103"/>
      <w:bookmarkEnd w:id="1104"/>
      <w:bookmarkEnd w:id="1105"/>
      <w:bookmarkEnd w:id="1106"/>
      <w:bookmarkEnd w:id="1107"/>
      <w:bookmarkEnd w:id="1108"/>
      <w:bookmarkEnd w:id="1109"/>
      <w:bookmarkEnd w:id="1110"/>
      <w:bookmarkEnd w:id="1111"/>
      <w:bookmarkEnd w:id="1112"/>
      <w:r w:rsidRPr="005D0C4C">
        <w:t xml:space="preserve"> </w:t>
      </w:r>
    </w:p>
    <w:p w14:paraId="6DA47E4E" w14:textId="77777777" w:rsidR="00724246" w:rsidRPr="005B4F29" w:rsidRDefault="00724246" w:rsidP="00724246">
      <w:r w:rsidRPr="005B4F29">
        <w:t>A system for funding public hospital services based on the actual number of services provided to patients and the efficient cost of delivering those services. Activity</w:t>
      </w:r>
      <w:r>
        <w:t>-</w:t>
      </w:r>
      <w:r w:rsidRPr="005B4F29">
        <w:t xml:space="preserve">based funding (ABF) uses national classifications, cost weights and the </w:t>
      </w:r>
      <w:r>
        <w:t>national efficient price</w:t>
      </w:r>
      <w:r w:rsidRPr="005B4F29">
        <w:t xml:space="preserve"> </w:t>
      </w:r>
      <w:r>
        <w:t xml:space="preserve">(NEP) </w:t>
      </w:r>
      <w:r w:rsidRPr="005B4F29">
        <w:t xml:space="preserve">to determine the amount of funding for each activity or service. </w:t>
      </w:r>
    </w:p>
    <w:p w14:paraId="5A8E5F16" w14:textId="77777777" w:rsidR="00724246" w:rsidRPr="00286E58" w:rsidRDefault="00724246" w:rsidP="00724246">
      <w:pPr>
        <w:pStyle w:val="Heading2"/>
        <w:rPr>
          <w:i/>
          <w:iCs/>
        </w:rPr>
      </w:pPr>
      <w:bookmarkStart w:id="1113" w:name="_Toc233021863"/>
      <w:bookmarkStart w:id="1114" w:name="_Toc233022356"/>
      <w:bookmarkStart w:id="1115" w:name="_Toc233023117"/>
      <w:bookmarkStart w:id="1116" w:name="_Toc233023445"/>
      <w:bookmarkStart w:id="1117" w:name="_Toc233023592"/>
      <w:bookmarkStart w:id="1118" w:name="_Toc233028768"/>
      <w:bookmarkStart w:id="1119" w:name="_Toc233028945"/>
      <w:bookmarkStart w:id="1120" w:name="_Toc235786193"/>
      <w:bookmarkStart w:id="1121" w:name="_Toc235787524"/>
      <w:bookmarkStart w:id="1122" w:name="_Toc235791662"/>
      <w:bookmarkStart w:id="1123" w:name="_Toc237872765"/>
      <w:r w:rsidRPr="00286E58">
        <w:rPr>
          <w:i/>
          <w:iCs/>
        </w:rPr>
        <w:t>Aged Care Act 1997</w:t>
      </w:r>
      <w:bookmarkEnd w:id="1113"/>
      <w:bookmarkEnd w:id="1114"/>
      <w:bookmarkEnd w:id="1115"/>
      <w:bookmarkEnd w:id="1116"/>
      <w:bookmarkEnd w:id="1117"/>
      <w:bookmarkEnd w:id="1118"/>
      <w:bookmarkEnd w:id="1119"/>
      <w:bookmarkEnd w:id="1120"/>
      <w:bookmarkEnd w:id="1121"/>
      <w:bookmarkEnd w:id="1122"/>
      <w:bookmarkEnd w:id="1123"/>
    </w:p>
    <w:p w14:paraId="22E2A670" w14:textId="77777777" w:rsidR="00724246" w:rsidRPr="005B4F29" w:rsidRDefault="00724246" w:rsidP="00724246">
      <w:pPr>
        <w:rPr>
          <w:rStyle w:val="ui-provider"/>
          <w:rFonts w:cs="Arial"/>
        </w:rPr>
      </w:pPr>
      <w:r w:rsidRPr="005B4F29">
        <w:rPr>
          <w:rStyle w:val="ui-provider"/>
          <w:rFonts w:cs="Arial"/>
        </w:rPr>
        <w:t xml:space="preserve">On 12 August 2022, the </w:t>
      </w:r>
      <w:r w:rsidRPr="005B4F29">
        <w:rPr>
          <w:rStyle w:val="ui-provider"/>
          <w:rFonts w:cs="Arial"/>
          <w:i/>
          <w:iCs/>
        </w:rPr>
        <w:t>Aged Care and Other Legislation Amendment (Royal Commission Response) Act 2022</w:t>
      </w:r>
      <w:r w:rsidRPr="005B4F29">
        <w:rPr>
          <w:rStyle w:val="ui-provider"/>
          <w:rFonts w:cs="Arial"/>
        </w:rPr>
        <w:t xml:space="preserve"> and the </w:t>
      </w:r>
      <w:r w:rsidRPr="006D3334">
        <w:rPr>
          <w:rStyle w:val="ui-provider"/>
          <w:rFonts w:cs="Arial"/>
        </w:rPr>
        <w:t>Aged Care Legislation Amendment (Independent Health and Aged Care Pricing Authority) Instrument 2022</w:t>
      </w:r>
      <w:r w:rsidRPr="00AA2177">
        <w:rPr>
          <w:rStyle w:val="ui-provider"/>
          <w:rFonts w:cs="Arial"/>
        </w:rPr>
        <w:t xml:space="preserve"> </w:t>
      </w:r>
      <w:r w:rsidRPr="005B4F29">
        <w:rPr>
          <w:rStyle w:val="ui-provider"/>
          <w:rFonts w:cs="Arial"/>
        </w:rPr>
        <w:t xml:space="preserve">amended the </w:t>
      </w:r>
      <w:r w:rsidRPr="005B4F29">
        <w:rPr>
          <w:rStyle w:val="ui-provider"/>
          <w:rFonts w:cs="Arial"/>
          <w:i/>
          <w:iCs/>
        </w:rPr>
        <w:t>National Health Reform Act 2011</w:t>
      </w:r>
      <w:r w:rsidRPr="005B4F29">
        <w:rPr>
          <w:rStyle w:val="ui-provider"/>
          <w:rFonts w:cs="Arial"/>
        </w:rPr>
        <w:t xml:space="preserve"> and the</w:t>
      </w:r>
      <w:r w:rsidRPr="005B4F29">
        <w:rPr>
          <w:rStyle w:val="ui-provider"/>
          <w:rFonts w:cs="Arial"/>
          <w:i/>
          <w:iCs/>
        </w:rPr>
        <w:t xml:space="preserve"> Aged Care Act 1997</w:t>
      </w:r>
      <w:r>
        <w:rPr>
          <w:rStyle w:val="ui-provider"/>
          <w:rFonts w:cs="Arial"/>
          <w:i/>
          <w:iCs/>
        </w:rPr>
        <w:t>,</w:t>
      </w:r>
      <w:r w:rsidRPr="005B4F29">
        <w:rPr>
          <w:rStyle w:val="ui-provider"/>
          <w:rFonts w:cs="Arial"/>
        </w:rPr>
        <w:t xml:space="preserve"> and in so doing expanded IHACPA’s remit. The changes also transferred the functions of the former Office of the Aged Care Pricing Commissioner to IHACPA.</w:t>
      </w:r>
    </w:p>
    <w:p w14:paraId="6C17C930" w14:textId="77777777" w:rsidR="00724246" w:rsidRPr="00D724D3" w:rsidRDefault="00724246" w:rsidP="00724246">
      <w:pPr>
        <w:pStyle w:val="Heading2"/>
        <w:rPr>
          <w:rStyle w:val="ui-provider"/>
          <w:i/>
          <w:iCs/>
        </w:rPr>
      </w:pPr>
      <w:bookmarkStart w:id="1124" w:name="_Toc233021864"/>
      <w:bookmarkStart w:id="1125" w:name="_Toc233022357"/>
      <w:bookmarkStart w:id="1126" w:name="_Toc233023118"/>
      <w:bookmarkStart w:id="1127" w:name="_Toc233023446"/>
      <w:bookmarkStart w:id="1128" w:name="_Toc233023593"/>
      <w:bookmarkStart w:id="1129" w:name="_Toc233028769"/>
      <w:bookmarkStart w:id="1130" w:name="_Toc233028946"/>
      <w:bookmarkStart w:id="1131" w:name="_Toc235786194"/>
      <w:bookmarkStart w:id="1132" w:name="_Toc235787525"/>
      <w:bookmarkStart w:id="1133" w:name="_Toc235791663"/>
      <w:bookmarkStart w:id="1134" w:name="_Toc237872766"/>
      <w:r w:rsidRPr="00D724D3">
        <w:rPr>
          <w:rStyle w:val="ui-provider"/>
          <w:i/>
          <w:iCs/>
        </w:rPr>
        <w:t>Aged Care Act 2024</w:t>
      </w:r>
      <w:bookmarkEnd w:id="1124"/>
      <w:bookmarkEnd w:id="1125"/>
      <w:bookmarkEnd w:id="1126"/>
      <w:bookmarkEnd w:id="1127"/>
      <w:bookmarkEnd w:id="1128"/>
      <w:bookmarkEnd w:id="1129"/>
      <w:bookmarkEnd w:id="1130"/>
      <w:bookmarkEnd w:id="1131"/>
      <w:bookmarkEnd w:id="1132"/>
      <w:bookmarkEnd w:id="1133"/>
      <w:bookmarkEnd w:id="1134"/>
    </w:p>
    <w:p w14:paraId="678E209C" w14:textId="77777777" w:rsidR="00724246" w:rsidRPr="005D0C4C" w:rsidRDefault="00724246" w:rsidP="00724246">
      <w:pPr>
        <w:rPr>
          <w:color w:val="auto"/>
        </w:rPr>
      </w:pPr>
      <w:r w:rsidRPr="005B4F29">
        <w:t>The Australian Parliament passed the </w:t>
      </w:r>
      <w:hyperlink r:id="rId70" w:history="1">
        <w:r w:rsidRPr="00286E58">
          <w:rPr>
            <w:rStyle w:val="Hyperlink"/>
            <w:i/>
            <w:iCs/>
          </w:rPr>
          <w:t>Aged Care Act 2024</w:t>
        </w:r>
        <w:r w:rsidRPr="00286E58">
          <w:rPr>
            <w:rStyle w:val="Hyperlink"/>
          </w:rPr>
          <w:t> </w:t>
        </w:r>
      </w:hyperlink>
      <w:r w:rsidRPr="005B4F29">
        <w:t xml:space="preserve">as the new law for government-funded aged care on 25 November 2024. The </w:t>
      </w:r>
      <w:r w:rsidRPr="005B4F29">
        <w:rPr>
          <w:i/>
          <w:iCs/>
        </w:rPr>
        <w:t>Aged Care Act 2024</w:t>
      </w:r>
      <w:r w:rsidRPr="005B4F29">
        <w:t xml:space="preserve"> commenced on 1 November 2025 and replaces the </w:t>
      </w:r>
      <w:r w:rsidRPr="005B4F29">
        <w:rPr>
          <w:i/>
          <w:iCs/>
        </w:rPr>
        <w:t>Aged Care Act 1997</w:t>
      </w:r>
      <w:r w:rsidRPr="005B4F29">
        <w:t xml:space="preserve">, </w:t>
      </w:r>
      <w:r w:rsidRPr="005B4F29">
        <w:rPr>
          <w:i/>
          <w:iCs/>
        </w:rPr>
        <w:t>Aged Care (Transitional Provisions) Act 1997</w:t>
      </w:r>
      <w:r w:rsidRPr="005B4F29">
        <w:t xml:space="preserve">, and </w:t>
      </w:r>
      <w:r w:rsidRPr="005B4F29">
        <w:rPr>
          <w:i/>
          <w:iCs/>
        </w:rPr>
        <w:t>Aged Care Quality and Safety Commission Act 2018</w:t>
      </w:r>
      <w:r w:rsidRPr="005D0C4C">
        <w:rPr>
          <w:color w:val="auto"/>
        </w:rPr>
        <w:t>.</w:t>
      </w:r>
    </w:p>
    <w:p w14:paraId="5285E959" w14:textId="77777777" w:rsidR="00724246" w:rsidRPr="005D0C4C" w:rsidRDefault="00724246" w:rsidP="00724246">
      <w:pPr>
        <w:pStyle w:val="Heading2"/>
      </w:pPr>
      <w:bookmarkStart w:id="1135" w:name="_Toc233021865"/>
      <w:bookmarkStart w:id="1136" w:name="_Toc233022358"/>
      <w:bookmarkStart w:id="1137" w:name="_Toc233023119"/>
      <w:bookmarkStart w:id="1138" w:name="_Toc233023447"/>
      <w:bookmarkStart w:id="1139" w:name="_Toc233023594"/>
      <w:bookmarkStart w:id="1140" w:name="_Toc233028770"/>
      <w:bookmarkStart w:id="1141" w:name="_Toc233028947"/>
      <w:bookmarkStart w:id="1142" w:name="_Toc235786195"/>
      <w:bookmarkStart w:id="1143" w:name="_Toc235787526"/>
      <w:bookmarkStart w:id="1144" w:name="_Toc235791664"/>
      <w:bookmarkStart w:id="1145" w:name="_Toc237872767"/>
      <w:r w:rsidRPr="005D0C4C">
        <w:t xml:space="preserve">Block </w:t>
      </w:r>
      <w:r w:rsidRPr="00D724D3">
        <w:t>funding</w:t>
      </w:r>
      <w:bookmarkEnd w:id="1135"/>
      <w:bookmarkEnd w:id="1136"/>
      <w:bookmarkEnd w:id="1137"/>
      <w:bookmarkEnd w:id="1138"/>
      <w:bookmarkEnd w:id="1139"/>
      <w:bookmarkEnd w:id="1140"/>
      <w:bookmarkEnd w:id="1141"/>
      <w:bookmarkEnd w:id="1142"/>
      <w:bookmarkEnd w:id="1143"/>
      <w:bookmarkEnd w:id="1144"/>
      <w:bookmarkEnd w:id="1145"/>
      <w:r w:rsidRPr="005D0C4C">
        <w:t xml:space="preserve"> </w:t>
      </w:r>
    </w:p>
    <w:p w14:paraId="7655CBA7" w14:textId="77777777" w:rsidR="00724246" w:rsidRPr="005B4F29" w:rsidRDefault="00724246" w:rsidP="00724246">
      <w:pPr>
        <w:rPr>
          <w:rFonts w:cs="Arial"/>
        </w:rPr>
      </w:pPr>
      <w:r w:rsidRPr="005B4F29">
        <w:rPr>
          <w:rFonts w:cs="Arial"/>
        </w:rPr>
        <w:t xml:space="preserve">A system of funding public hospital functions and services as a fixed amount based on population and previous funding. </w:t>
      </w:r>
    </w:p>
    <w:p w14:paraId="5472BB14" w14:textId="77777777" w:rsidR="00724246" w:rsidRPr="005D0C4C" w:rsidRDefault="00724246" w:rsidP="00724246">
      <w:pPr>
        <w:pStyle w:val="Heading2"/>
      </w:pPr>
      <w:bookmarkStart w:id="1146" w:name="_Toc233021866"/>
      <w:bookmarkStart w:id="1147" w:name="_Toc233022359"/>
      <w:bookmarkStart w:id="1148" w:name="_Toc233023120"/>
      <w:bookmarkStart w:id="1149" w:name="_Toc233023448"/>
      <w:bookmarkStart w:id="1150" w:name="_Toc233023595"/>
      <w:bookmarkStart w:id="1151" w:name="_Toc233028771"/>
      <w:bookmarkStart w:id="1152" w:name="_Toc233028948"/>
      <w:bookmarkStart w:id="1153" w:name="_Toc235786196"/>
      <w:bookmarkStart w:id="1154" w:name="_Toc235787527"/>
      <w:bookmarkStart w:id="1155" w:name="_Toc235791665"/>
      <w:bookmarkStart w:id="1156" w:name="_Toc237872768"/>
      <w:r w:rsidRPr="005D0C4C">
        <w:t>Corporate plan</w:t>
      </w:r>
      <w:bookmarkEnd w:id="1146"/>
      <w:bookmarkEnd w:id="1147"/>
      <w:bookmarkEnd w:id="1148"/>
      <w:bookmarkEnd w:id="1149"/>
      <w:bookmarkEnd w:id="1150"/>
      <w:bookmarkEnd w:id="1151"/>
      <w:bookmarkEnd w:id="1152"/>
      <w:bookmarkEnd w:id="1153"/>
      <w:bookmarkEnd w:id="1154"/>
      <w:bookmarkEnd w:id="1155"/>
      <w:bookmarkEnd w:id="1156"/>
      <w:r w:rsidRPr="005D0C4C">
        <w:t xml:space="preserve"> </w:t>
      </w:r>
    </w:p>
    <w:p w14:paraId="507FE061" w14:textId="77777777" w:rsidR="00724246" w:rsidRPr="005B4F29" w:rsidRDefault="00724246" w:rsidP="00724246">
      <w:pPr>
        <w:rPr>
          <w:rFonts w:cs="Arial"/>
        </w:rPr>
      </w:pPr>
      <w:r w:rsidRPr="005B4F29">
        <w:rPr>
          <w:rFonts w:cs="Arial"/>
        </w:rPr>
        <w:t>The primary strategic planning document of a Commonwealth Government entity. It sets out the objectives, capabilities and intended results over a 4</w:t>
      </w:r>
      <w:r w:rsidRPr="005B4F29">
        <w:rPr>
          <w:rFonts w:ascii="Cambria Math" w:hAnsi="Cambria Math" w:cs="Cambria Math"/>
        </w:rPr>
        <w:t>‑</w:t>
      </w:r>
      <w:r w:rsidRPr="005B4F29">
        <w:rPr>
          <w:rFonts w:cs="Arial"/>
        </w:rPr>
        <w:t xml:space="preserve">year period, in accordance with the entity’s stated purposes. The corporate plan should provide a clear line of sight </w:t>
      </w:r>
      <w:r>
        <w:rPr>
          <w:rFonts w:cs="Arial"/>
        </w:rPr>
        <w:t>of</w:t>
      </w:r>
      <w:r w:rsidRPr="005B4F29">
        <w:rPr>
          <w:rFonts w:cs="Arial"/>
        </w:rPr>
        <w:t xml:space="preserve"> the relevant annual performance statement, </w:t>
      </w:r>
      <w:r w:rsidRPr="005B4F29" w:rsidDel="00962D83">
        <w:rPr>
          <w:rFonts w:cs="Arial"/>
        </w:rPr>
        <w:t xml:space="preserve">portfolio budget statement </w:t>
      </w:r>
      <w:r w:rsidRPr="005B4F29">
        <w:rPr>
          <w:rFonts w:cs="Arial"/>
        </w:rPr>
        <w:t xml:space="preserve">and annual report. </w:t>
      </w:r>
    </w:p>
    <w:p w14:paraId="54CFDB94" w14:textId="77777777" w:rsidR="00724246" w:rsidRPr="003B6FD2" w:rsidRDefault="00724246" w:rsidP="00724246">
      <w:pPr>
        <w:pStyle w:val="Heading2"/>
      </w:pPr>
      <w:bookmarkStart w:id="1157" w:name="_Toc233021867"/>
      <w:bookmarkStart w:id="1158" w:name="_Toc233022360"/>
      <w:bookmarkStart w:id="1159" w:name="_Toc233023121"/>
      <w:bookmarkStart w:id="1160" w:name="_Toc233023449"/>
      <w:bookmarkStart w:id="1161" w:name="_Toc233023596"/>
      <w:bookmarkStart w:id="1162" w:name="_Toc233028772"/>
      <w:bookmarkStart w:id="1163" w:name="_Toc233028949"/>
      <w:bookmarkStart w:id="1164" w:name="_Toc235786197"/>
      <w:bookmarkStart w:id="1165" w:name="_Toc235787528"/>
      <w:bookmarkStart w:id="1166" w:name="_Toc235791666"/>
      <w:bookmarkStart w:id="1167" w:name="_Toc237872769"/>
      <w:r w:rsidRPr="005D0C4C">
        <w:t>National Agreement on Closing the Gap</w:t>
      </w:r>
      <w:bookmarkEnd w:id="1157"/>
      <w:bookmarkEnd w:id="1158"/>
      <w:bookmarkEnd w:id="1159"/>
      <w:bookmarkEnd w:id="1160"/>
      <w:bookmarkEnd w:id="1161"/>
      <w:bookmarkEnd w:id="1162"/>
      <w:bookmarkEnd w:id="1163"/>
      <w:bookmarkEnd w:id="1164"/>
      <w:bookmarkEnd w:id="1165"/>
      <w:bookmarkEnd w:id="1166"/>
      <w:bookmarkEnd w:id="1167"/>
      <w:r w:rsidRPr="005D0C4C">
        <w:t xml:space="preserve"> </w:t>
      </w:r>
    </w:p>
    <w:p w14:paraId="45279DA6" w14:textId="77777777" w:rsidR="00724246" w:rsidRPr="005D0C4C" w:rsidRDefault="00724246" w:rsidP="00724246">
      <w:pPr>
        <w:rPr>
          <w:rFonts w:cs="Arial"/>
          <w:color w:val="auto"/>
        </w:rPr>
      </w:pPr>
      <w:r w:rsidRPr="005B4F29">
        <w:rPr>
          <w:rFonts w:cs="Arial"/>
        </w:rPr>
        <w:t>The</w:t>
      </w:r>
      <w:r w:rsidRPr="005D0C4C">
        <w:rPr>
          <w:rFonts w:cs="Arial"/>
          <w:color w:val="auto"/>
        </w:rPr>
        <w:t xml:space="preserve"> </w:t>
      </w:r>
      <w:hyperlink r:id="rId71" w:history="1">
        <w:r w:rsidRPr="00286E58">
          <w:rPr>
            <w:rStyle w:val="Hyperlink"/>
            <w:rFonts w:cs="Arial"/>
          </w:rPr>
          <w:t>National Agreement on Closing the Gap</w:t>
        </w:r>
      </w:hyperlink>
      <w:r w:rsidRPr="005D0C4C">
        <w:rPr>
          <w:rFonts w:cs="Arial"/>
          <w:color w:val="auto"/>
        </w:rPr>
        <w:t xml:space="preserve"> </w:t>
      </w:r>
      <w:r w:rsidRPr="005B4F29">
        <w:rPr>
          <w:rFonts w:cs="Arial"/>
        </w:rPr>
        <w:t xml:space="preserve">is a partnership between the Australian governments and Aboriginal and Torres Strait Islander organisations to address inequality and improve life outcomes for Indigenous Australians. The agreement commenced on 30 July 2020, replacing the earlier National Indigenous Reform Agreement and introducing a more inclusive and collaborative approach. </w:t>
      </w:r>
    </w:p>
    <w:p w14:paraId="1BD7BDD4" w14:textId="77777777" w:rsidR="00724246" w:rsidRPr="005D0C4C" w:rsidRDefault="00724246" w:rsidP="00724246">
      <w:pPr>
        <w:pStyle w:val="Heading2"/>
      </w:pPr>
      <w:bookmarkStart w:id="1168" w:name="_Toc233021868"/>
      <w:bookmarkStart w:id="1169" w:name="_Toc233022361"/>
      <w:bookmarkStart w:id="1170" w:name="_Toc233023122"/>
      <w:bookmarkStart w:id="1171" w:name="_Toc233023450"/>
      <w:bookmarkStart w:id="1172" w:name="_Toc233023597"/>
      <w:bookmarkStart w:id="1173" w:name="_Toc233028773"/>
      <w:bookmarkStart w:id="1174" w:name="_Toc233028950"/>
      <w:bookmarkStart w:id="1175" w:name="_Toc235786198"/>
      <w:bookmarkStart w:id="1176" w:name="_Toc235787529"/>
      <w:bookmarkStart w:id="1177" w:name="_Toc235791667"/>
      <w:bookmarkStart w:id="1178" w:name="_Toc237872770"/>
      <w:r w:rsidRPr="005D0C4C">
        <w:lastRenderedPageBreak/>
        <w:t xml:space="preserve">National </w:t>
      </w:r>
      <w:r>
        <w:t>e</w:t>
      </w:r>
      <w:r w:rsidRPr="005D0C4C">
        <w:t xml:space="preserve">fficient </w:t>
      </w:r>
      <w:r>
        <w:t>c</w:t>
      </w:r>
      <w:r w:rsidRPr="005D0C4C">
        <w:t>ost</w:t>
      </w:r>
      <w:bookmarkEnd w:id="1168"/>
      <w:bookmarkEnd w:id="1169"/>
      <w:bookmarkEnd w:id="1170"/>
      <w:bookmarkEnd w:id="1171"/>
      <w:bookmarkEnd w:id="1172"/>
      <w:bookmarkEnd w:id="1173"/>
      <w:bookmarkEnd w:id="1174"/>
      <w:bookmarkEnd w:id="1175"/>
      <w:bookmarkEnd w:id="1176"/>
      <w:bookmarkEnd w:id="1177"/>
      <w:bookmarkEnd w:id="1178"/>
      <w:r w:rsidRPr="005D0C4C">
        <w:t xml:space="preserve"> </w:t>
      </w:r>
    </w:p>
    <w:p w14:paraId="3E9A1D4C" w14:textId="77777777" w:rsidR="00724246" w:rsidRPr="005B4F29" w:rsidRDefault="00724246" w:rsidP="00724246">
      <w:pPr>
        <w:rPr>
          <w:rFonts w:cs="Arial"/>
        </w:rPr>
      </w:pPr>
      <w:r w:rsidRPr="005B4F29">
        <w:rPr>
          <w:rFonts w:cs="Arial"/>
        </w:rPr>
        <w:t xml:space="preserve">IHACPA determines a national efficient cost (NEC) for services that are not suitable for ABF, such as small rural hospitals. The NEC determines the </w:t>
      </w:r>
      <w:r>
        <w:rPr>
          <w:rFonts w:cs="Arial"/>
        </w:rPr>
        <w:t>government’s</w:t>
      </w:r>
      <w:r w:rsidRPr="005B4F29">
        <w:rPr>
          <w:rFonts w:cs="Arial"/>
        </w:rPr>
        <w:t xml:space="preserve"> contribution to block-funded hospitals. </w:t>
      </w:r>
    </w:p>
    <w:p w14:paraId="3962B7B0" w14:textId="77777777" w:rsidR="00724246" w:rsidRPr="005D0C4C" w:rsidRDefault="00724246" w:rsidP="00724246">
      <w:pPr>
        <w:pStyle w:val="Heading2"/>
      </w:pPr>
      <w:bookmarkStart w:id="1179" w:name="_Toc233021869"/>
      <w:bookmarkStart w:id="1180" w:name="_Toc233022362"/>
      <w:bookmarkStart w:id="1181" w:name="_Toc233023123"/>
      <w:bookmarkStart w:id="1182" w:name="_Toc233023451"/>
      <w:bookmarkStart w:id="1183" w:name="_Toc233023598"/>
      <w:bookmarkStart w:id="1184" w:name="_Toc233028774"/>
      <w:bookmarkStart w:id="1185" w:name="_Toc233028951"/>
      <w:bookmarkStart w:id="1186" w:name="_Toc235786199"/>
      <w:bookmarkStart w:id="1187" w:name="_Toc235787530"/>
      <w:bookmarkStart w:id="1188" w:name="_Toc235791668"/>
      <w:bookmarkStart w:id="1189" w:name="_Toc237872771"/>
      <w:r w:rsidRPr="005D0C4C">
        <w:t xml:space="preserve">National </w:t>
      </w:r>
      <w:r>
        <w:t>e</w:t>
      </w:r>
      <w:r w:rsidRPr="005D0C4C">
        <w:t xml:space="preserve">fficient </w:t>
      </w:r>
      <w:r>
        <w:t>p</w:t>
      </w:r>
      <w:r w:rsidRPr="005D0C4C">
        <w:t>rice</w:t>
      </w:r>
      <w:bookmarkEnd w:id="1179"/>
      <w:bookmarkEnd w:id="1180"/>
      <w:bookmarkEnd w:id="1181"/>
      <w:bookmarkEnd w:id="1182"/>
      <w:bookmarkEnd w:id="1183"/>
      <w:bookmarkEnd w:id="1184"/>
      <w:bookmarkEnd w:id="1185"/>
      <w:bookmarkEnd w:id="1186"/>
      <w:bookmarkEnd w:id="1187"/>
      <w:bookmarkEnd w:id="1188"/>
      <w:bookmarkEnd w:id="1189"/>
      <w:r w:rsidRPr="005D0C4C">
        <w:t xml:space="preserve"> </w:t>
      </w:r>
    </w:p>
    <w:p w14:paraId="1B2DB4EE" w14:textId="77777777" w:rsidR="00724246" w:rsidRPr="005B4F29" w:rsidRDefault="00724246" w:rsidP="00724246">
      <w:pPr>
        <w:rPr>
          <w:rFonts w:cs="Arial"/>
        </w:rPr>
      </w:pPr>
      <w:r w:rsidRPr="005B4F29">
        <w:rPr>
          <w:rFonts w:cs="Arial"/>
        </w:rPr>
        <w:t xml:space="preserve">A base price calculated by IHACPA as a benchmark to guide governments about the level of funding that would meet the average cost of providing acute care (admitted, emergency and outpatient) services in public hospitals across Australia. The NEP is based on the projected average cost of a national weighted activity unit after the deduction of specified Commonwealth </w:t>
      </w:r>
      <w:r>
        <w:rPr>
          <w:rFonts w:cs="Arial"/>
        </w:rPr>
        <w:br/>
      </w:r>
      <w:r w:rsidRPr="005B4F29">
        <w:rPr>
          <w:rFonts w:cs="Arial"/>
        </w:rPr>
        <w:t>Government</w:t>
      </w:r>
      <w:r>
        <w:rPr>
          <w:rFonts w:cs="Arial"/>
        </w:rPr>
        <w:t xml:space="preserve"> </w:t>
      </w:r>
      <w:r w:rsidRPr="005B4F29">
        <w:rPr>
          <w:rFonts w:cs="Arial"/>
        </w:rPr>
        <w:t xml:space="preserve">funded programs. </w:t>
      </w:r>
    </w:p>
    <w:p w14:paraId="4382C7B5" w14:textId="77777777" w:rsidR="00724246" w:rsidRPr="00D724D3" w:rsidRDefault="00724246" w:rsidP="00724246">
      <w:pPr>
        <w:pStyle w:val="Heading2"/>
        <w:rPr>
          <w:i/>
          <w:iCs/>
        </w:rPr>
      </w:pPr>
      <w:bookmarkStart w:id="1190" w:name="_Toc233021870"/>
      <w:bookmarkStart w:id="1191" w:name="_Toc233022363"/>
      <w:bookmarkStart w:id="1192" w:name="_Toc233023124"/>
      <w:bookmarkStart w:id="1193" w:name="_Toc233023452"/>
      <w:bookmarkStart w:id="1194" w:name="_Toc233023599"/>
      <w:bookmarkStart w:id="1195" w:name="_Toc233028775"/>
      <w:bookmarkStart w:id="1196" w:name="_Toc233028952"/>
      <w:bookmarkStart w:id="1197" w:name="_Toc235786200"/>
      <w:bookmarkStart w:id="1198" w:name="_Toc235787531"/>
      <w:bookmarkStart w:id="1199" w:name="_Toc235791669"/>
      <w:bookmarkStart w:id="1200" w:name="_Toc237872772"/>
      <w:r w:rsidRPr="00D724D3">
        <w:rPr>
          <w:i/>
          <w:iCs/>
        </w:rPr>
        <w:t>National Health Reform Act 2011</w:t>
      </w:r>
      <w:bookmarkEnd w:id="1190"/>
      <w:bookmarkEnd w:id="1191"/>
      <w:bookmarkEnd w:id="1192"/>
      <w:bookmarkEnd w:id="1193"/>
      <w:bookmarkEnd w:id="1194"/>
      <w:bookmarkEnd w:id="1195"/>
      <w:bookmarkEnd w:id="1196"/>
      <w:bookmarkEnd w:id="1197"/>
      <w:bookmarkEnd w:id="1198"/>
      <w:bookmarkEnd w:id="1199"/>
      <w:bookmarkEnd w:id="1200"/>
      <w:r w:rsidRPr="00D724D3">
        <w:rPr>
          <w:i/>
          <w:iCs/>
        </w:rPr>
        <w:t xml:space="preserve"> </w:t>
      </w:r>
    </w:p>
    <w:p w14:paraId="0B343BE8" w14:textId="77777777" w:rsidR="00724246" w:rsidRPr="005D0C4C" w:rsidRDefault="00724246" w:rsidP="00724246">
      <w:pPr>
        <w:rPr>
          <w:rFonts w:cs="Arial"/>
          <w:color w:val="auto"/>
        </w:rPr>
      </w:pPr>
      <w:r w:rsidRPr="005B4F29">
        <w:rPr>
          <w:rFonts w:cs="Arial"/>
        </w:rPr>
        <w:t xml:space="preserve">IHACPA was established under the </w:t>
      </w:r>
      <w:hyperlink r:id="rId72" w:history="1">
        <w:r w:rsidRPr="00286E58">
          <w:rPr>
            <w:rStyle w:val="Hyperlink"/>
            <w:rFonts w:cs="Arial"/>
            <w:i/>
            <w:iCs/>
          </w:rPr>
          <w:t>National Health Reform Act 2011</w:t>
        </w:r>
      </w:hyperlink>
      <w:r w:rsidRPr="005D0C4C">
        <w:rPr>
          <w:rFonts w:cs="Arial"/>
          <w:color w:val="auto"/>
        </w:rPr>
        <w:t xml:space="preserve">. </w:t>
      </w:r>
      <w:r w:rsidRPr="005B4F29">
        <w:rPr>
          <w:rFonts w:cs="Arial"/>
        </w:rPr>
        <w:t>The </w:t>
      </w:r>
      <w:r w:rsidRPr="005B4F29">
        <w:rPr>
          <w:rFonts w:cs="Arial"/>
          <w:i/>
          <w:iCs/>
        </w:rPr>
        <w:t>National Health Reform Act 2011</w:t>
      </w:r>
      <w:r w:rsidRPr="005B4F29">
        <w:rPr>
          <w:rFonts w:cs="Arial"/>
        </w:rPr>
        <w:t xml:space="preserve"> gave effect to the National Health Reform Agreement signed by the Australian Government and all states and territories in August 2011. </w:t>
      </w:r>
    </w:p>
    <w:p w14:paraId="6DEADBE4" w14:textId="77777777" w:rsidR="00724246" w:rsidRPr="005D0C4C" w:rsidRDefault="00724246" w:rsidP="00724246">
      <w:pPr>
        <w:pStyle w:val="Heading2"/>
      </w:pPr>
      <w:bookmarkStart w:id="1201" w:name="_Toc233021871"/>
      <w:bookmarkStart w:id="1202" w:name="_Toc233022364"/>
      <w:bookmarkStart w:id="1203" w:name="_Toc233023125"/>
      <w:bookmarkStart w:id="1204" w:name="_Toc233023453"/>
      <w:bookmarkStart w:id="1205" w:name="_Toc233023600"/>
      <w:bookmarkStart w:id="1206" w:name="_Toc233028776"/>
      <w:bookmarkStart w:id="1207" w:name="_Toc233028953"/>
      <w:bookmarkStart w:id="1208" w:name="_Toc235786201"/>
      <w:bookmarkStart w:id="1209" w:name="_Toc235787532"/>
      <w:bookmarkStart w:id="1210" w:name="_Toc235791670"/>
      <w:bookmarkStart w:id="1211" w:name="_Toc237872773"/>
      <w:r w:rsidRPr="005D0C4C">
        <w:t>National Health Reform Agreement</w:t>
      </w:r>
      <w:bookmarkEnd w:id="1201"/>
      <w:bookmarkEnd w:id="1202"/>
      <w:bookmarkEnd w:id="1203"/>
      <w:bookmarkEnd w:id="1204"/>
      <w:bookmarkEnd w:id="1205"/>
      <w:bookmarkEnd w:id="1206"/>
      <w:bookmarkEnd w:id="1207"/>
      <w:bookmarkEnd w:id="1208"/>
      <w:bookmarkEnd w:id="1209"/>
      <w:bookmarkEnd w:id="1210"/>
      <w:bookmarkEnd w:id="1211"/>
      <w:r w:rsidRPr="005D0C4C">
        <w:t xml:space="preserve"> </w:t>
      </w:r>
    </w:p>
    <w:p w14:paraId="6602A4E6" w14:textId="77777777" w:rsidR="00724246" w:rsidRPr="005B4F29" w:rsidRDefault="00724246" w:rsidP="00724246">
      <w:pPr>
        <w:rPr>
          <w:rFonts w:cs="Arial"/>
        </w:rPr>
      </w:pPr>
      <w:r w:rsidRPr="005B4F29">
        <w:rPr>
          <w:rFonts w:cs="Arial"/>
        </w:rPr>
        <w:t xml:space="preserve">The </w:t>
      </w:r>
      <w:hyperlink r:id="rId73" w:history="1">
        <w:r w:rsidRPr="00286E58">
          <w:rPr>
            <w:rStyle w:val="Hyperlink"/>
            <w:rFonts w:cs="Arial"/>
          </w:rPr>
          <w:t>National Health Reform Agreement</w:t>
        </w:r>
      </w:hyperlink>
      <w:r w:rsidRPr="005D0C4C">
        <w:rPr>
          <w:rFonts w:cs="Arial"/>
          <w:color w:val="auto"/>
        </w:rPr>
        <w:t xml:space="preserve"> </w:t>
      </w:r>
      <w:r>
        <w:rPr>
          <w:rFonts w:cs="Arial"/>
          <w:color w:val="auto"/>
        </w:rPr>
        <w:t xml:space="preserve">(NHRA) </w:t>
      </w:r>
      <w:r w:rsidRPr="005B4F29">
        <w:rPr>
          <w:rFonts w:cs="Arial"/>
        </w:rPr>
        <w:t xml:space="preserve">outlines the funding, governance and performance arrangements for the delivery of public hospital services in Australia. The agreement was entered into by the Australian Government and all states and territories in August 2011. </w:t>
      </w:r>
    </w:p>
    <w:p w14:paraId="0E7CFB20" w14:textId="77777777" w:rsidR="00724246" w:rsidRPr="005D0C4C" w:rsidRDefault="00724246" w:rsidP="00724246">
      <w:pPr>
        <w:rPr>
          <w:rFonts w:cs="Arial"/>
          <w:color w:val="auto"/>
        </w:rPr>
      </w:pPr>
      <w:r w:rsidRPr="0036135C">
        <w:rPr>
          <w:rFonts w:cs="Arial"/>
          <w:color w:val="auto"/>
        </w:rPr>
        <w:t xml:space="preserve">The </w:t>
      </w:r>
      <w:hyperlink r:id="rId74" w:history="1">
        <w:r w:rsidRPr="0049158C">
          <w:rPr>
            <w:rStyle w:val="Hyperlink"/>
            <w:rFonts w:cs="Arial"/>
          </w:rPr>
          <w:t>Addendum to the National Health Reform Agreement 2020–25</w:t>
        </w:r>
      </w:hyperlink>
      <w:r w:rsidRPr="0036135C">
        <w:rPr>
          <w:rFonts w:cs="Arial"/>
          <w:color w:val="auto"/>
        </w:rPr>
        <w:t xml:space="preserve"> was extended for 12 months to expire on 30 June 2026, to enable the continued negotiation of </w:t>
      </w:r>
      <w:r>
        <w:rPr>
          <w:rFonts w:cs="Arial"/>
          <w:color w:val="auto"/>
        </w:rPr>
        <w:t>a new</w:t>
      </w:r>
      <w:r w:rsidRPr="0036135C">
        <w:rPr>
          <w:rFonts w:cs="Arial"/>
          <w:color w:val="auto"/>
        </w:rPr>
        <w:t xml:space="preserve"> addendum from 1 July 2026 </w:t>
      </w:r>
      <w:r>
        <w:rPr>
          <w:rFonts w:cs="Arial"/>
          <w:color w:val="auto"/>
        </w:rPr>
        <w:t>to 30 June 2031</w:t>
      </w:r>
      <w:r w:rsidRPr="0036135C">
        <w:rPr>
          <w:rFonts w:cs="Arial"/>
          <w:color w:val="auto"/>
        </w:rPr>
        <w:t>.</w:t>
      </w:r>
    </w:p>
    <w:p w14:paraId="6BBABFDB" w14:textId="77777777" w:rsidR="00724246" w:rsidRPr="005B4F29" w:rsidRDefault="00724246" w:rsidP="00724246">
      <w:pPr>
        <w:rPr>
          <w:rFonts w:cs="Arial"/>
        </w:rPr>
      </w:pPr>
      <w:r w:rsidRPr="005B4F29">
        <w:rPr>
          <w:rFonts w:cs="Arial"/>
        </w:rPr>
        <w:t xml:space="preserve">On 27 February 2026, the Commonwealth and all state and territory governments signed the </w:t>
      </w:r>
      <w:hyperlink r:id="rId75" w:history="1">
        <w:r w:rsidRPr="001D3B1F">
          <w:rPr>
            <w:rStyle w:val="Hyperlink"/>
            <w:rFonts w:cs="Arial"/>
          </w:rPr>
          <w:t>Addendum to the National Health Reform Agreement 2026–31</w:t>
        </w:r>
      </w:hyperlink>
      <w:r w:rsidRPr="005B4F29">
        <w:rPr>
          <w:rFonts w:cs="Arial"/>
        </w:rPr>
        <w:t xml:space="preserve">, that covers the period of 1 July 2026 to 30 June 2031. </w:t>
      </w:r>
    </w:p>
    <w:p w14:paraId="765F2E77" w14:textId="77777777" w:rsidR="00724246" w:rsidRPr="003B6FD2" w:rsidRDefault="00724246" w:rsidP="00724246">
      <w:pPr>
        <w:pStyle w:val="Heading2"/>
      </w:pPr>
      <w:bookmarkStart w:id="1212" w:name="_Toc233021872"/>
      <w:bookmarkStart w:id="1213" w:name="_Toc233022365"/>
      <w:bookmarkStart w:id="1214" w:name="_Toc233023126"/>
      <w:bookmarkStart w:id="1215" w:name="_Toc233023454"/>
      <w:bookmarkStart w:id="1216" w:name="_Toc233023601"/>
      <w:bookmarkStart w:id="1217" w:name="_Toc233028777"/>
      <w:bookmarkStart w:id="1218" w:name="_Toc233028954"/>
      <w:bookmarkStart w:id="1219" w:name="_Toc235786202"/>
      <w:bookmarkStart w:id="1220" w:name="_Toc235787533"/>
      <w:bookmarkStart w:id="1221" w:name="_Toc235791671"/>
      <w:bookmarkStart w:id="1222" w:name="_Toc237872774"/>
      <w:r w:rsidRPr="005D0C4C">
        <w:t>National Hospital Cost Data Collection</w:t>
      </w:r>
      <w:bookmarkEnd w:id="1212"/>
      <w:bookmarkEnd w:id="1213"/>
      <w:bookmarkEnd w:id="1214"/>
      <w:bookmarkEnd w:id="1215"/>
      <w:bookmarkEnd w:id="1216"/>
      <w:bookmarkEnd w:id="1217"/>
      <w:bookmarkEnd w:id="1218"/>
      <w:bookmarkEnd w:id="1219"/>
      <w:bookmarkEnd w:id="1220"/>
      <w:bookmarkEnd w:id="1221"/>
      <w:bookmarkEnd w:id="1222"/>
      <w:r w:rsidRPr="005D0C4C">
        <w:t xml:space="preserve"> </w:t>
      </w:r>
    </w:p>
    <w:p w14:paraId="3C867973" w14:textId="77777777" w:rsidR="00724246" w:rsidRPr="00341145" w:rsidRDefault="00724246" w:rsidP="00724246">
      <w:pPr>
        <w:rPr>
          <w:rFonts w:cs="Arial"/>
        </w:rPr>
      </w:pPr>
      <w:r w:rsidRPr="00341145">
        <w:rPr>
          <w:rFonts w:cs="Arial"/>
        </w:rPr>
        <w:t xml:space="preserve">The National Hospital Cost Data Collection (NHCDC) is the collection of patient level activity across Australian hospitals, and is the primary data collection used to develop the national efficient price determination for the funding of public hospital services. The process is performed with the states and territories and private hospitals, who submit cost data to the NHCDC on an annual basis. </w:t>
      </w:r>
    </w:p>
    <w:p w14:paraId="0DEE121D" w14:textId="77777777" w:rsidR="00724246" w:rsidRPr="00D724D3" w:rsidRDefault="00724246" w:rsidP="00724246">
      <w:pPr>
        <w:pStyle w:val="Heading2"/>
        <w:rPr>
          <w:i/>
          <w:iCs/>
        </w:rPr>
      </w:pPr>
      <w:bookmarkStart w:id="1223" w:name="_Toc233021873"/>
      <w:bookmarkStart w:id="1224" w:name="_Toc233022366"/>
      <w:bookmarkStart w:id="1225" w:name="_Toc233023127"/>
      <w:bookmarkStart w:id="1226" w:name="_Toc233023455"/>
      <w:bookmarkStart w:id="1227" w:name="_Toc233023602"/>
      <w:bookmarkStart w:id="1228" w:name="_Toc233028778"/>
      <w:bookmarkStart w:id="1229" w:name="_Toc233028955"/>
      <w:bookmarkStart w:id="1230" w:name="_Toc235786203"/>
      <w:bookmarkStart w:id="1231" w:name="_Toc235787534"/>
      <w:bookmarkStart w:id="1232" w:name="_Toc235791672"/>
      <w:bookmarkStart w:id="1233" w:name="_Toc237872775"/>
      <w:r w:rsidRPr="00D724D3">
        <w:rPr>
          <w:i/>
          <w:iCs/>
        </w:rPr>
        <w:t xml:space="preserve">Public Governance, Performance and </w:t>
      </w:r>
      <w:r>
        <w:rPr>
          <w:i/>
          <w:iCs/>
        </w:rPr>
        <w:br/>
      </w:r>
      <w:r w:rsidRPr="00D724D3">
        <w:rPr>
          <w:i/>
          <w:iCs/>
        </w:rPr>
        <w:t>Accountability Act 2013</w:t>
      </w:r>
      <w:bookmarkEnd w:id="1223"/>
      <w:bookmarkEnd w:id="1224"/>
      <w:bookmarkEnd w:id="1225"/>
      <w:bookmarkEnd w:id="1226"/>
      <w:bookmarkEnd w:id="1227"/>
      <w:bookmarkEnd w:id="1228"/>
      <w:bookmarkEnd w:id="1229"/>
      <w:bookmarkEnd w:id="1230"/>
      <w:bookmarkEnd w:id="1231"/>
      <w:bookmarkEnd w:id="1232"/>
      <w:bookmarkEnd w:id="1233"/>
      <w:r w:rsidRPr="00D724D3">
        <w:rPr>
          <w:i/>
          <w:iCs/>
        </w:rPr>
        <w:t xml:space="preserve"> </w:t>
      </w:r>
    </w:p>
    <w:p w14:paraId="01399424" w14:textId="77777777" w:rsidR="00724246" w:rsidRPr="00341145" w:rsidRDefault="00724246" w:rsidP="00724246">
      <w:pPr>
        <w:rPr>
          <w:rFonts w:cs="Arial"/>
        </w:rPr>
      </w:pPr>
      <w:r w:rsidRPr="00341145">
        <w:rPr>
          <w:rFonts w:cs="Arial"/>
        </w:rPr>
        <w:t xml:space="preserve">The </w:t>
      </w:r>
      <w:r w:rsidRPr="00341145">
        <w:rPr>
          <w:rFonts w:cs="Arial"/>
          <w:i/>
          <w:iCs/>
        </w:rPr>
        <w:t>Public Governance, Performance and Accountability Act 2013</w:t>
      </w:r>
      <w:r w:rsidRPr="00341145">
        <w:rPr>
          <w:rFonts w:cs="Arial"/>
        </w:rPr>
        <w:t xml:space="preserve"> (PGPA Act) establishes a coherent system of governance and accountability for public resources, with an emphasis on </w:t>
      </w:r>
      <w:r w:rsidRPr="00341145">
        <w:rPr>
          <w:rFonts w:cs="Arial"/>
        </w:rPr>
        <w:lastRenderedPageBreak/>
        <w:t xml:space="preserve">planning, performance and reporting. The PGPA Act applies to all Commonwealth Government entities and companies. </w:t>
      </w:r>
    </w:p>
    <w:p w14:paraId="18F4E5FF" w14:textId="77777777" w:rsidR="00724246" w:rsidRPr="005D0C4C" w:rsidRDefault="00724246" w:rsidP="00724246">
      <w:pPr>
        <w:pStyle w:val="Heading2"/>
      </w:pPr>
      <w:bookmarkStart w:id="1234" w:name="_Toc233021874"/>
      <w:bookmarkStart w:id="1235" w:name="_Toc233022367"/>
      <w:bookmarkStart w:id="1236" w:name="_Toc233023128"/>
      <w:bookmarkStart w:id="1237" w:name="_Toc233023456"/>
      <w:bookmarkStart w:id="1238" w:name="_Toc233023603"/>
      <w:bookmarkStart w:id="1239" w:name="_Toc233028779"/>
      <w:bookmarkStart w:id="1240" w:name="_Toc233028956"/>
      <w:bookmarkStart w:id="1241" w:name="_Toc235786204"/>
      <w:bookmarkStart w:id="1242" w:name="_Toc235787535"/>
      <w:bookmarkStart w:id="1243" w:name="_Toc235791673"/>
      <w:bookmarkStart w:id="1244" w:name="_Toc237872776"/>
      <w:r w:rsidRPr="005D0C4C">
        <w:t>Refundable Accommodation Deposit</w:t>
      </w:r>
      <w:bookmarkEnd w:id="1234"/>
      <w:bookmarkEnd w:id="1235"/>
      <w:bookmarkEnd w:id="1236"/>
      <w:bookmarkEnd w:id="1237"/>
      <w:bookmarkEnd w:id="1238"/>
      <w:bookmarkEnd w:id="1239"/>
      <w:bookmarkEnd w:id="1240"/>
      <w:bookmarkEnd w:id="1241"/>
      <w:bookmarkEnd w:id="1242"/>
      <w:bookmarkEnd w:id="1243"/>
      <w:bookmarkEnd w:id="1244"/>
    </w:p>
    <w:p w14:paraId="062834F8" w14:textId="77777777" w:rsidR="00724246" w:rsidRPr="00341145" w:rsidRDefault="00724246" w:rsidP="00724246">
      <w:pPr>
        <w:rPr>
          <w:rFonts w:cs="Arial"/>
        </w:rPr>
      </w:pPr>
      <w:r w:rsidRPr="00341145">
        <w:rPr>
          <w:rFonts w:cs="Arial"/>
        </w:rPr>
        <w:t xml:space="preserve">A Refundable Accommodation Deposit (RAD) is a lump-sum payment made by a resident for a room (or part of a room) in an approved residential care home. The price is for residents who are not eligible for </w:t>
      </w:r>
      <w:r>
        <w:rPr>
          <w:rFonts w:cs="Arial"/>
        </w:rPr>
        <w:t>government</w:t>
      </w:r>
      <w:r w:rsidRPr="00341145">
        <w:rPr>
          <w:rFonts w:cs="Arial"/>
        </w:rPr>
        <w:t xml:space="preserve"> assistance. Each approved residential care home sets their own price for different kinds of rooms. RADs provide a significant source of funding for capital investment and act as an interest-free loan to providers. It is refundable when the resident leaves care, minus any agreed deductions and/or applicable retention amounts. </w:t>
      </w:r>
    </w:p>
    <w:p w14:paraId="4F84B817" w14:textId="77777777" w:rsidR="00724246" w:rsidRPr="005D0C4C" w:rsidRDefault="00724246" w:rsidP="00724246">
      <w:pPr>
        <w:pStyle w:val="Heading2"/>
      </w:pPr>
      <w:bookmarkStart w:id="1245" w:name="_Toc233021875"/>
      <w:bookmarkStart w:id="1246" w:name="_Toc233022368"/>
      <w:bookmarkStart w:id="1247" w:name="_Toc233023129"/>
      <w:bookmarkStart w:id="1248" w:name="_Toc233023457"/>
      <w:bookmarkStart w:id="1249" w:name="_Toc233023604"/>
      <w:bookmarkStart w:id="1250" w:name="_Toc233028780"/>
      <w:bookmarkStart w:id="1251" w:name="_Toc233028957"/>
      <w:bookmarkStart w:id="1252" w:name="_Toc235786205"/>
      <w:bookmarkStart w:id="1253" w:name="_Toc235787536"/>
      <w:bookmarkStart w:id="1254" w:name="_Toc235791674"/>
      <w:bookmarkStart w:id="1255" w:name="_Toc237872777"/>
      <w:r w:rsidRPr="005D0C4C">
        <w:t>Three</w:t>
      </w:r>
      <w:r>
        <w:t xml:space="preserve"> year data plan</w:t>
      </w:r>
      <w:bookmarkEnd w:id="1245"/>
      <w:bookmarkEnd w:id="1246"/>
      <w:bookmarkEnd w:id="1247"/>
      <w:bookmarkEnd w:id="1248"/>
      <w:bookmarkEnd w:id="1249"/>
      <w:bookmarkEnd w:id="1250"/>
      <w:bookmarkEnd w:id="1251"/>
      <w:bookmarkEnd w:id="1252"/>
      <w:bookmarkEnd w:id="1253"/>
      <w:bookmarkEnd w:id="1254"/>
      <w:bookmarkEnd w:id="1255"/>
      <w:r w:rsidRPr="005D0C4C">
        <w:t xml:space="preserve"> </w:t>
      </w:r>
    </w:p>
    <w:p w14:paraId="31973012" w14:textId="77777777" w:rsidR="00724246" w:rsidRPr="00341145" w:rsidRDefault="00724246" w:rsidP="00724246">
      <w:pPr>
        <w:rPr>
          <w:rFonts w:cs="Arial"/>
        </w:rPr>
      </w:pPr>
      <w:r w:rsidRPr="00341145">
        <w:rPr>
          <w:rFonts w:cs="Arial"/>
        </w:rPr>
        <w:t xml:space="preserve">Under the NHRA, IHACPA is required to prepare a </w:t>
      </w:r>
      <w:r>
        <w:rPr>
          <w:rFonts w:cs="Arial"/>
        </w:rPr>
        <w:t>three year data plan</w:t>
      </w:r>
      <w:r w:rsidRPr="00341145">
        <w:rPr>
          <w:rFonts w:cs="Arial"/>
        </w:rPr>
        <w:t xml:space="preserve"> each year to show what data it will need in the future. This plan is shared with the Australian Government and state and territory governments. It sets out what data IHACPA needs for public hospital funding over the next 3 years, how and when the data will be collected, and what types of data and classifications support our advice on pricing and costs.</w:t>
      </w:r>
    </w:p>
    <w:p w14:paraId="101BFF4E" w14:textId="77777777" w:rsidR="00724246" w:rsidRPr="005D0C4C" w:rsidRDefault="00724246" w:rsidP="00724246">
      <w:pPr>
        <w:pStyle w:val="Heading2"/>
      </w:pPr>
      <w:bookmarkStart w:id="1256" w:name="_Toc233021876"/>
      <w:bookmarkStart w:id="1257" w:name="_Toc233022369"/>
      <w:bookmarkStart w:id="1258" w:name="_Toc233023130"/>
      <w:bookmarkStart w:id="1259" w:name="_Toc233023458"/>
      <w:bookmarkStart w:id="1260" w:name="_Toc233023605"/>
      <w:bookmarkStart w:id="1261" w:name="_Toc233028781"/>
      <w:bookmarkStart w:id="1262" w:name="_Toc233028958"/>
      <w:bookmarkStart w:id="1263" w:name="_Toc235786206"/>
      <w:bookmarkStart w:id="1264" w:name="_Toc235787537"/>
      <w:bookmarkStart w:id="1265" w:name="_Toc235791675"/>
      <w:bookmarkStart w:id="1266" w:name="_Toc237872778"/>
      <w:r w:rsidRPr="005D0C4C">
        <w:t xml:space="preserve">Work </w:t>
      </w:r>
      <w:r>
        <w:t>p</w:t>
      </w:r>
      <w:r w:rsidRPr="005D0C4C">
        <w:t>rogram</w:t>
      </w:r>
      <w:bookmarkEnd w:id="1256"/>
      <w:bookmarkEnd w:id="1257"/>
      <w:bookmarkEnd w:id="1258"/>
      <w:bookmarkEnd w:id="1259"/>
      <w:bookmarkEnd w:id="1260"/>
      <w:bookmarkEnd w:id="1261"/>
      <w:bookmarkEnd w:id="1262"/>
      <w:bookmarkEnd w:id="1263"/>
      <w:bookmarkEnd w:id="1264"/>
      <w:bookmarkEnd w:id="1265"/>
      <w:bookmarkEnd w:id="1266"/>
      <w:r w:rsidRPr="005D0C4C">
        <w:t xml:space="preserve"> </w:t>
      </w:r>
    </w:p>
    <w:p w14:paraId="1D1E01DE" w14:textId="77777777" w:rsidR="00724246" w:rsidRDefault="00724246" w:rsidP="00724246">
      <w:pPr>
        <w:rPr>
          <w:rFonts w:cs="Arial"/>
        </w:rPr>
      </w:pPr>
      <w:r w:rsidRPr="00341145">
        <w:rPr>
          <w:rFonts w:cs="Arial"/>
        </w:rPr>
        <w:t xml:space="preserve">Each year, IHACPA consults on and publishes a work program for the year ahead. As prescribed in section 225 of the </w:t>
      </w:r>
      <w:r w:rsidRPr="00341145">
        <w:rPr>
          <w:rFonts w:cs="Arial"/>
          <w:i/>
          <w:iCs/>
        </w:rPr>
        <w:t>National Health Reform Act 2011</w:t>
      </w:r>
      <w:r w:rsidRPr="00341145">
        <w:rPr>
          <w:rFonts w:cs="Arial"/>
        </w:rPr>
        <w:t xml:space="preserve">, the </w:t>
      </w:r>
      <w:r>
        <w:rPr>
          <w:rFonts w:cs="Arial"/>
        </w:rPr>
        <w:t xml:space="preserve">work program sets out IHACPA’s program of work for the coming year and invites </w:t>
      </w:r>
      <w:r w:rsidRPr="00341145">
        <w:rPr>
          <w:rFonts w:cs="Arial"/>
        </w:rPr>
        <w:t>interested persons</w:t>
      </w:r>
      <w:r>
        <w:rPr>
          <w:rFonts w:cs="Arial"/>
        </w:rPr>
        <w:t>,</w:t>
      </w:r>
      <w:r w:rsidRPr="00341145">
        <w:rPr>
          <w:rFonts w:cs="Arial"/>
        </w:rPr>
        <w:t xml:space="preserve"> including states and territories</w:t>
      </w:r>
      <w:r>
        <w:rPr>
          <w:rFonts w:cs="Arial"/>
        </w:rPr>
        <w:t>,</w:t>
      </w:r>
      <w:r w:rsidRPr="00341145">
        <w:rPr>
          <w:rFonts w:cs="Arial"/>
        </w:rPr>
        <w:t xml:space="preserve"> to make submissions to the Pricing Authority </w:t>
      </w:r>
      <w:r>
        <w:rPr>
          <w:rFonts w:cs="Arial"/>
        </w:rPr>
        <w:t>within 30 days of publication. W</w:t>
      </w:r>
      <w:r w:rsidRPr="00341145">
        <w:rPr>
          <w:rFonts w:cs="Arial"/>
        </w:rPr>
        <w:t xml:space="preserve">ork programs are available at ihacpa.gov.au/publications. </w:t>
      </w:r>
    </w:p>
    <w:p w14:paraId="5B3BBF35" w14:textId="77777777" w:rsidR="00E50A80" w:rsidRDefault="00E50A80" w:rsidP="00724246">
      <w:pPr>
        <w:rPr>
          <w:rFonts w:cs="Arial"/>
        </w:rPr>
      </w:pPr>
    </w:p>
    <w:p w14:paraId="46F9BCE6" w14:textId="77777777" w:rsidR="00E50A80" w:rsidRDefault="00E50A80" w:rsidP="00724246">
      <w:pPr>
        <w:rPr>
          <w:rFonts w:cs="Arial"/>
        </w:rPr>
      </w:pPr>
    </w:p>
    <w:p w14:paraId="5FB4578B" w14:textId="77777777" w:rsidR="00E50A80" w:rsidRDefault="00E50A80" w:rsidP="00724246">
      <w:pPr>
        <w:rPr>
          <w:rFonts w:cs="Arial"/>
        </w:rPr>
      </w:pPr>
    </w:p>
    <w:p w14:paraId="28E32F92" w14:textId="77777777" w:rsidR="00E50A80" w:rsidRDefault="00E50A80" w:rsidP="00724246">
      <w:pPr>
        <w:rPr>
          <w:rFonts w:cs="Arial"/>
        </w:rPr>
      </w:pPr>
    </w:p>
    <w:p w14:paraId="7FFFEA7F" w14:textId="77777777" w:rsidR="00E50A80" w:rsidRDefault="00E50A80" w:rsidP="00724246">
      <w:pPr>
        <w:rPr>
          <w:rFonts w:cs="Arial"/>
        </w:rPr>
      </w:pPr>
    </w:p>
    <w:p w14:paraId="3E46EA36" w14:textId="77777777" w:rsidR="00E50A80" w:rsidRDefault="00E50A80" w:rsidP="00724246">
      <w:pPr>
        <w:rPr>
          <w:rFonts w:cs="Arial"/>
        </w:rPr>
      </w:pPr>
    </w:p>
    <w:p w14:paraId="657F2F33" w14:textId="77777777" w:rsidR="00E50A80" w:rsidRDefault="00E50A80" w:rsidP="00724246">
      <w:pPr>
        <w:rPr>
          <w:rFonts w:cs="Arial"/>
        </w:rPr>
      </w:pPr>
    </w:p>
    <w:p w14:paraId="2422F112" w14:textId="77777777" w:rsidR="00E50A80" w:rsidRDefault="00E50A80" w:rsidP="00724246">
      <w:pPr>
        <w:rPr>
          <w:rFonts w:cs="Arial"/>
        </w:rPr>
      </w:pPr>
    </w:p>
    <w:p w14:paraId="382A9851" w14:textId="77777777" w:rsidR="00E50A80" w:rsidRDefault="00E50A80" w:rsidP="00724246">
      <w:pPr>
        <w:rPr>
          <w:rFonts w:cs="Arial"/>
        </w:rPr>
      </w:pPr>
    </w:p>
    <w:p w14:paraId="1C3A0530" w14:textId="77777777" w:rsidR="00E50A80" w:rsidRDefault="00E50A80" w:rsidP="00724246">
      <w:pPr>
        <w:rPr>
          <w:rFonts w:cs="Arial"/>
        </w:rPr>
      </w:pPr>
    </w:p>
    <w:p w14:paraId="22550317" w14:textId="77777777" w:rsidR="00E50A80" w:rsidRDefault="00E50A80" w:rsidP="00724246">
      <w:pPr>
        <w:rPr>
          <w:rFonts w:cs="Arial"/>
        </w:rPr>
      </w:pPr>
    </w:p>
    <w:p w14:paraId="4FCB4C02" w14:textId="77777777" w:rsidR="00E50A80" w:rsidRDefault="00E50A80" w:rsidP="00724246">
      <w:pPr>
        <w:rPr>
          <w:rFonts w:cs="Arial"/>
        </w:rPr>
      </w:pPr>
    </w:p>
    <w:p w14:paraId="4E50C1C2" w14:textId="77777777" w:rsidR="00E50A80" w:rsidRDefault="00E50A80" w:rsidP="00E50A80">
      <w:pPr>
        <w:pStyle w:val="Heading1"/>
      </w:pPr>
      <w:bookmarkStart w:id="1267" w:name="_Toc235787538"/>
      <w:bookmarkStart w:id="1268" w:name="_Toc235791676"/>
      <w:bookmarkStart w:id="1269" w:name="_Toc237872779"/>
      <w:r>
        <w:lastRenderedPageBreak/>
        <w:t>Appendix F – Compliance index</w:t>
      </w:r>
      <w:bookmarkEnd w:id="1267"/>
      <w:bookmarkEnd w:id="1268"/>
      <w:bookmarkEnd w:id="1269"/>
      <w:r>
        <w:t xml:space="preserve"> </w:t>
      </w:r>
    </w:p>
    <w:p w14:paraId="0B260E0A" w14:textId="77777777" w:rsidR="00E50A80" w:rsidRDefault="00E50A80" w:rsidP="00E50A80">
      <w:bookmarkStart w:id="1270" w:name="_Toc228267112"/>
      <w:bookmarkStart w:id="1271" w:name="_Toc228267566"/>
      <w:r>
        <w:t>IHACPA</w:t>
      </w:r>
      <w:r w:rsidRPr="00B85FFF">
        <w:t>, as a corporate Commonwealth entity, has prepared this annual report under section 17BE(u) of the Public Governance, Performance and Accountability Rule 2014 (</w:t>
      </w:r>
      <w:r>
        <w:t>PGPA</w:t>
      </w:r>
      <w:r w:rsidRPr="00B85FFF">
        <w:t xml:space="preserve"> Rule), and section 46 of the PGPA Act</w:t>
      </w:r>
      <w:bookmarkEnd w:id="1270"/>
      <w:bookmarkEnd w:id="1271"/>
      <w:r>
        <w:t xml:space="preserve">. </w:t>
      </w:r>
    </w:p>
    <w:tbl>
      <w:tblPr>
        <w:tblStyle w:val="IHACPATable"/>
        <w:tblW w:w="9781" w:type="dxa"/>
        <w:tblLayout w:type="fixed"/>
        <w:tblLook w:val="0000" w:firstRow="0" w:lastRow="0" w:firstColumn="0" w:lastColumn="0" w:noHBand="0" w:noVBand="0"/>
      </w:tblPr>
      <w:tblGrid>
        <w:gridCol w:w="1276"/>
        <w:gridCol w:w="1843"/>
        <w:gridCol w:w="850"/>
        <w:gridCol w:w="4400"/>
        <w:gridCol w:w="1412"/>
      </w:tblGrid>
      <w:tr w:rsidR="00E50A80" w:rsidRPr="00E214FE" w14:paraId="574C0AE3" w14:textId="77777777" w:rsidTr="00ED2732">
        <w:trPr>
          <w:cnfStyle w:val="000000100000" w:firstRow="0" w:lastRow="0" w:firstColumn="0" w:lastColumn="0" w:oddVBand="0" w:evenVBand="0" w:oddHBand="1" w:evenHBand="0" w:firstRowFirstColumn="0" w:firstRowLastColumn="0" w:lastRowFirstColumn="0" w:lastRowLastColumn="0"/>
          <w:trHeight w:val="57"/>
        </w:trPr>
        <w:tc>
          <w:tcPr>
            <w:tcW w:w="1276" w:type="dxa"/>
            <w:shd w:val="clear" w:color="auto" w:fill="15272F" w:themeFill="text1"/>
            <w:vAlign w:val="center"/>
          </w:tcPr>
          <w:p w14:paraId="4DF551F3" w14:textId="77777777" w:rsidR="00E50A80" w:rsidRPr="007A2210" w:rsidRDefault="00E50A80" w:rsidP="00ED2732">
            <w:pPr>
              <w:pStyle w:val="TableFigureHeading0"/>
              <w:spacing w:before="120" w:after="60"/>
              <w:ind w:left="84"/>
              <w:rPr>
                <w:color w:val="auto"/>
                <w:sz w:val="16"/>
                <w:szCs w:val="16"/>
              </w:rPr>
            </w:pPr>
            <w:bookmarkStart w:id="1272" w:name="_Toc148025842"/>
            <w:r w:rsidRPr="007A2210">
              <w:rPr>
                <w:rStyle w:val="WhiteColours"/>
                <w:color w:val="auto"/>
                <w:sz w:val="16"/>
                <w:szCs w:val="16"/>
                <w:lang w:val="en-AU"/>
              </w:rPr>
              <w:t xml:space="preserve">PGPA Rule </w:t>
            </w:r>
            <w:r>
              <w:rPr>
                <w:rStyle w:val="WhiteColours"/>
                <w:color w:val="auto"/>
                <w:sz w:val="16"/>
                <w:szCs w:val="16"/>
                <w:lang w:val="en-AU"/>
              </w:rPr>
              <w:t>r</w:t>
            </w:r>
            <w:r w:rsidRPr="007A2210">
              <w:rPr>
                <w:rStyle w:val="WhiteColours"/>
                <w:color w:val="auto"/>
                <w:sz w:val="16"/>
                <w:szCs w:val="16"/>
                <w:lang w:val="en-AU"/>
              </w:rPr>
              <w:t>eference</w:t>
            </w:r>
            <w:bookmarkEnd w:id="1272"/>
          </w:p>
        </w:tc>
        <w:tc>
          <w:tcPr>
            <w:tcW w:w="1843" w:type="dxa"/>
            <w:shd w:val="clear" w:color="auto" w:fill="15272F" w:themeFill="text1"/>
            <w:vAlign w:val="center"/>
          </w:tcPr>
          <w:p w14:paraId="5755B995" w14:textId="77777777" w:rsidR="00E50A80" w:rsidRPr="007A2210" w:rsidRDefault="00E50A80" w:rsidP="00ED2732">
            <w:pPr>
              <w:pStyle w:val="Tableheadingleft"/>
              <w:spacing w:after="60"/>
              <w:ind w:left="141"/>
              <w:rPr>
                <w:rStyle w:val="WhiteColours"/>
                <w:rFonts w:ascii="Arial" w:hAnsi="Arial" w:cs="Arial"/>
                <w:color w:val="auto"/>
                <w:sz w:val="16"/>
                <w:szCs w:val="16"/>
                <w:lang w:val="en-AU"/>
              </w:rPr>
            </w:pPr>
            <w:r w:rsidRPr="007A2210">
              <w:rPr>
                <w:rStyle w:val="WhiteColours"/>
                <w:rFonts w:ascii="Arial" w:hAnsi="Arial" w:cs="Arial"/>
                <w:color w:val="auto"/>
                <w:sz w:val="16"/>
                <w:szCs w:val="16"/>
                <w:lang w:val="en-AU"/>
              </w:rPr>
              <w:t>Part of report</w:t>
            </w:r>
          </w:p>
        </w:tc>
        <w:tc>
          <w:tcPr>
            <w:tcW w:w="850" w:type="dxa"/>
            <w:shd w:val="clear" w:color="auto" w:fill="15272F" w:themeFill="text1"/>
            <w:vAlign w:val="center"/>
          </w:tcPr>
          <w:p w14:paraId="0EBD6EF6" w14:textId="77777777" w:rsidR="00E50A80" w:rsidRPr="007A2210" w:rsidRDefault="00E50A80" w:rsidP="00ED2732">
            <w:pPr>
              <w:pStyle w:val="Tableheadingleft"/>
              <w:spacing w:after="60"/>
              <w:ind w:left="137"/>
              <w:rPr>
                <w:rStyle w:val="WhiteColours"/>
                <w:rFonts w:ascii="Arial" w:hAnsi="Arial" w:cs="Arial"/>
                <w:color w:val="auto"/>
                <w:sz w:val="16"/>
                <w:szCs w:val="16"/>
                <w:lang w:val="en-AU"/>
              </w:rPr>
            </w:pPr>
            <w:r w:rsidRPr="007A2210">
              <w:rPr>
                <w:rStyle w:val="WhiteColours"/>
                <w:rFonts w:ascii="Arial" w:hAnsi="Arial" w:cs="Arial"/>
                <w:color w:val="auto"/>
                <w:sz w:val="16"/>
                <w:szCs w:val="16"/>
                <w:lang w:val="en-AU"/>
              </w:rPr>
              <w:t>Page</w:t>
            </w:r>
          </w:p>
        </w:tc>
        <w:tc>
          <w:tcPr>
            <w:tcW w:w="4400" w:type="dxa"/>
            <w:shd w:val="clear" w:color="auto" w:fill="15272F" w:themeFill="text1"/>
            <w:vAlign w:val="center"/>
          </w:tcPr>
          <w:p w14:paraId="14568114" w14:textId="77777777" w:rsidR="00E50A80" w:rsidRPr="007A2210" w:rsidRDefault="00E50A80" w:rsidP="00ED2732">
            <w:pPr>
              <w:pStyle w:val="Tableheadingleft"/>
              <w:spacing w:after="60"/>
              <w:ind w:left="84"/>
              <w:rPr>
                <w:rStyle w:val="WhiteColours"/>
                <w:rFonts w:ascii="Arial" w:hAnsi="Arial" w:cs="Arial"/>
                <w:color w:val="auto"/>
                <w:sz w:val="16"/>
                <w:szCs w:val="16"/>
                <w:lang w:val="en-AU"/>
              </w:rPr>
            </w:pPr>
            <w:r w:rsidRPr="007A2210">
              <w:rPr>
                <w:rStyle w:val="WhiteColours"/>
                <w:rFonts w:ascii="Arial" w:hAnsi="Arial" w:cs="Arial"/>
                <w:color w:val="auto"/>
                <w:sz w:val="16"/>
                <w:szCs w:val="16"/>
                <w:lang w:val="en-AU"/>
              </w:rPr>
              <w:t>Description</w:t>
            </w:r>
          </w:p>
        </w:tc>
        <w:tc>
          <w:tcPr>
            <w:tcW w:w="1412" w:type="dxa"/>
            <w:shd w:val="clear" w:color="auto" w:fill="15272F" w:themeFill="text1"/>
            <w:vAlign w:val="center"/>
          </w:tcPr>
          <w:p w14:paraId="55A28819" w14:textId="77777777" w:rsidR="00E50A80" w:rsidRPr="007A2210" w:rsidRDefault="00E50A80" w:rsidP="00ED2732">
            <w:pPr>
              <w:pStyle w:val="Tableheadingleft"/>
              <w:spacing w:after="60"/>
              <w:ind w:left="85"/>
              <w:rPr>
                <w:rStyle w:val="WhiteColours"/>
                <w:rFonts w:ascii="Arial" w:hAnsi="Arial" w:cs="Arial"/>
                <w:color w:val="auto"/>
                <w:sz w:val="16"/>
                <w:szCs w:val="16"/>
                <w:lang w:val="en-AU"/>
              </w:rPr>
            </w:pPr>
            <w:r w:rsidRPr="007A2210">
              <w:rPr>
                <w:rStyle w:val="WhiteColours"/>
                <w:rFonts w:ascii="Arial" w:hAnsi="Arial" w:cs="Arial"/>
                <w:color w:val="auto"/>
                <w:sz w:val="16"/>
                <w:szCs w:val="16"/>
                <w:lang w:val="en-AU"/>
              </w:rPr>
              <w:t>Requirement</w:t>
            </w:r>
          </w:p>
        </w:tc>
      </w:tr>
      <w:tr w:rsidR="00E50A80" w:rsidRPr="00E214FE" w14:paraId="748B4B2D"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shd w:val="clear" w:color="auto" w:fill="DFEBF1" w:themeFill="text1" w:themeFillTint="1A"/>
            <w:vAlign w:val="center"/>
          </w:tcPr>
          <w:p w14:paraId="1B4A7E35" w14:textId="77777777" w:rsidR="00E50A80" w:rsidRPr="003B1FBF" w:rsidRDefault="00E50A80" w:rsidP="00ED2732">
            <w:pPr>
              <w:pStyle w:val="Financialbodyleft"/>
              <w:spacing w:before="60" w:after="60"/>
              <w:rPr>
                <w:rFonts w:ascii="Arial" w:hAnsi="Arial" w:cs="Arial"/>
                <w:sz w:val="16"/>
                <w:szCs w:val="16"/>
                <w:lang w:val="en-AU"/>
              </w:rPr>
            </w:pPr>
            <w:r w:rsidRPr="003B1FBF">
              <w:rPr>
                <w:rStyle w:val="Bold"/>
                <w:rFonts w:ascii="Arial" w:hAnsi="Arial" w:cs="Arial"/>
                <w:color w:val="15272F" w:themeColor="text1"/>
                <w:sz w:val="16"/>
                <w:szCs w:val="16"/>
                <w:lang w:val="en-AU"/>
              </w:rPr>
              <w:t>17BE</w:t>
            </w:r>
          </w:p>
        </w:tc>
        <w:tc>
          <w:tcPr>
            <w:tcW w:w="8505" w:type="dxa"/>
            <w:gridSpan w:val="4"/>
            <w:shd w:val="clear" w:color="auto" w:fill="DFEBF1" w:themeFill="text1" w:themeFillTint="1A"/>
            <w:vAlign w:val="center"/>
          </w:tcPr>
          <w:p w14:paraId="13D885A2" w14:textId="77777777" w:rsidR="00E50A80" w:rsidRPr="003B1FBF" w:rsidRDefault="00E50A80" w:rsidP="00ED2732">
            <w:pPr>
              <w:pStyle w:val="Financialbodyleft"/>
              <w:spacing w:before="60" w:after="60"/>
              <w:ind w:left="85"/>
              <w:rPr>
                <w:rFonts w:ascii="Arial" w:hAnsi="Arial" w:cs="Arial"/>
                <w:sz w:val="16"/>
                <w:szCs w:val="16"/>
                <w:lang w:val="en-AU"/>
              </w:rPr>
            </w:pPr>
            <w:r w:rsidRPr="003B1FBF">
              <w:rPr>
                <w:rFonts w:ascii="Arial" w:hAnsi="Arial" w:cs="Arial"/>
                <w:b/>
                <w:bCs/>
                <w:sz w:val="16"/>
                <w:szCs w:val="16"/>
                <w:lang w:val="en-AU"/>
              </w:rPr>
              <w:t>Contents of annual report</w:t>
            </w:r>
          </w:p>
        </w:tc>
      </w:tr>
      <w:tr w:rsidR="00E50A80" w:rsidRPr="00E214FE" w14:paraId="571F0302"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1ECFE773" w14:textId="77777777" w:rsidR="00E50A80" w:rsidRPr="00196BB6" w:rsidRDefault="00E50A80" w:rsidP="00ED2732">
            <w:pPr>
              <w:pStyle w:val="Financialbodyleft"/>
              <w:spacing w:before="20" w:after="60"/>
              <w:rPr>
                <w:rFonts w:ascii="Arial" w:hAnsi="Arial" w:cs="Arial"/>
                <w:color w:val="auto"/>
                <w:sz w:val="16"/>
                <w:szCs w:val="16"/>
                <w:lang w:val="en-AU"/>
              </w:rPr>
            </w:pPr>
            <w:r w:rsidRPr="00196BB6">
              <w:rPr>
                <w:rFonts w:ascii="Arial" w:hAnsi="Arial" w:cs="Arial"/>
                <w:color w:val="auto"/>
                <w:sz w:val="16"/>
                <w:szCs w:val="16"/>
                <w:lang w:val="en-AU"/>
              </w:rPr>
              <w:t>17BE(a)</w:t>
            </w:r>
          </w:p>
        </w:tc>
        <w:tc>
          <w:tcPr>
            <w:tcW w:w="1843" w:type="dxa"/>
            <w:vAlign w:val="center"/>
          </w:tcPr>
          <w:p w14:paraId="28EEE20C" w14:textId="77777777" w:rsidR="00E50A80" w:rsidRPr="00196BB6" w:rsidRDefault="00E50A80" w:rsidP="00ED2732">
            <w:pPr>
              <w:pStyle w:val="Financialbodyleft"/>
              <w:spacing w:before="20" w:after="60"/>
              <w:ind w:left="141"/>
              <w:rPr>
                <w:rStyle w:val="Arialbody"/>
                <w:color w:val="auto"/>
                <w:sz w:val="16"/>
                <w:szCs w:val="16"/>
                <w:lang w:val="en-AU"/>
              </w:rPr>
            </w:pPr>
            <w:r w:rsidRPr="00196BB6">
              <w:rPr>
                <w:rFonts w:ascii="Arial" w:hAnsi="Arial" w:cs="Arial"/>
                <w:color w:val="auto"/>
                <w:sz w:val="16"/>
                <w:szCs w:val="16"/>
                <w:lang w:val="en-AU"/>
              </w:rPr>
              <w:t>Introduction</w:t>
            </w:r>
          </w:p>
        </w:tc>
        <w:tc>
          <w:tcPr>
            <w:tcW w:w="850" w:type="dxa"/>
            <w:vAlign w:val="center"/>
          </w:tcPr>
          <w:p w14:paraId="6F62B3D5" w14:textId="11466923" w:rsidR="00E50A80" w:rsidRPr="00196BB6" w:rsidRDefault="00E50A80" w:rsidP="00ED2732">
            <w:pPr>
              <w:pStyle w:val="Financialbodyleft"/>
              <w:spacing w:before="20" w:after="60"/>
              <w:ind w:left="137"/>
              <w:rPr>
                <w:rStyle w:val="Arialbody"/>
                <w:color w:val="auto"/>
                <w:sz w:val="16"/>
                <w:szCs w:val="16"/>
                <w:lang w:val="en-AU"/>
              </w:rPr>
            </w:pPr>
            <w:r>
              <w:rPr>
                <w:rStyle w:val="Arialbody"/>
                <w:color w:val="auto"/>
                <w:sz w:val="16"/>
                <w:szCs w:val="16"/>
                <w:lang w:val="en-AU"/>
              </w:rPr>
              <w:t>1</w:t>
            </w:r>
            <w:r w:rsidR="00C53857">
              <w:rPr>
                <w:rStyle w:val="Arialbody"/>
                <w:color w:val="auto"/>
                <w:sz w:val="16"/>
                <w:szCs w:val="16"/>
                <w:lang w:val="en-AU"/>
              </w:rPr>
              <w:t>5</w:t>
            </w:r>
          </w:p>
        </w:tc>
        <w:tc>
          <w:tcPr>
            <w:tcW w:w="4400" w:type="dxa"/>
            <w:vAlign w:val="center"/>
          </w:tcPr>
          <w:p w14:paraId="3899EB8A" w14:textId="77777777" w:rsidR="00E50A80" w:rsidRPr="00196BB6" w:rsidRDefault="00E50A80" w:rsidP="00ED2732">
            <w:pPr>
              <w:pStyle w:val="Financialbodyleft"/>
              <w:spacing w:before="20" w:after="60"/>
              <w:ind w:left="84"/>
              <w:rPr>
                <w:rStyle w:val="Arialbody"/>
                <w:color w:val="auto"/>
                <w:sz w:val="16"/>
                <w:szCs w:val="16"/>
                <w:lang w:val="en-AU"/>
              </w:rPr>
            </w:pPr>
            <w:r w:rsidRPr="00196BB6">
              <w:rPr>
                <w:rFonts w:ascii="Arial" w:hAnsi="Arial" w:cs="Arial"/>
                <w:color w:val="auto"/>
                <w:sz w:val="16"/>
                <w:szCs w:val="16"/>
                <w:lang w:val="en-AU"/>
              </w:rPr>
              <w:t>Details of the legislation establishing the body.</w:t>
            </w:r>
          </w:p>
        </w:tc>
        <w:tc>
          <w:tcPr>
            <w:tcW w:w="1412" w:type="dxa"/>
            <w:vAlign w:val="center"/>
          </w:tcPr>
          <w:p w14:paraId="03EDDC09" w14:textId="77777777" w:rsidR="00E50A80" w:rsidRPr="00196BB6" w:rsidRDefault="00E50A80" w:rsidP="00ED2732">
            <w:pPr>
              <w:pStyle w:val="Financialbodyleft"/>
              <w:spacing w:before="20" w:after="60"/>
              <w:ind w:left="85"/>
              <w:rPr>
                <w:rStyle w:val="Arialbody"/>
                <w:color w:val="auto"/>
                <w:sz w:val="16"/>
                <w:szCs w:val="16"/>
                <w:lang w:val="en-AU"/>
              </w:rPr>
            </w:pPr>
            <w:r w:rsidRPr="00196BB6">
              <w:rPr>
                <w:rFonts w:ascii="Arial" w:hAnsi="Arial" w:cs="Arial"/>
                <w:color w:val="auto"/>
                <w:sz w:val="16"/>
                <w:szCs w:val="16"/>
                <w:lang w:val="en-AU"/>
              </w:rPr>
              <w:t>Mandatory</w:t>
            </w:r>
          </w:p>
        </w:tc>
      </w:tr>
      <w:tr w:rsidR="00E50A80" w:rsidRPr="00E214FE" w14:paraId="1393A1D3"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5BC35757" w14:textId="77777777" w:rsidR="00E50A80" w:rsidRPr="00196BB6" w:rsidRDefault="00E50A80" w:rsidP="00ED2732">
            <w:pPr>
              <w:pStyle w:val="Financialbodyleft"/>
              <w:spacing w:before="20" w:after="60"/>
              <w:rPr>
                <w:rFonts w:ascii="Arial" w:hAnsi="Arial" w:cs="Arial"/>
                <w:color w:val="auto"/>
                <w:sz w:val="16"/>
                <w:szCs w:val="16"/>
                <w:lang w:val="en-AU"/>
              </w:rPr>
            </w:pPr>
            <w:r w:rsidRPr="00196BB6">
              <w:rPr>
                <w:rFonts w:ascii="Arial" w:hAnsi="Arial" w:cs="Arial"/>
                <w:color w:val="auto"/>
                <w:sz w:val="16"/>
                <w:szCs w:val="16"/>
                <w:lang w:val="en-AU"/>
              </w:rPr>
              <w:t>17BE(b)(i)</w:t>
            </w:r>
          </w:p>
        </w:tc>
        <w:tc>
          <w:tcPr>
            <w:tcW w:w="1843" w:type="dxa"/>
            <w:vAlign w:val="center"/>
          </w:tcPr>
          <w:p w14:paraId="6FFA88DB" w14:textId="77777777" w:rsidR="00E50A80" w:rsidRPr="00196BB6" w:rsidRDefault="00E50A80" w:rsidP="00ED2732">
            <w:pPr>
              <w:pStyle w:val="Financialbodyleft"/>
              <w:spacing w:before="20" w:after="60"/>
              <w:ind w:left="141"/>
              <w:rPr>
                <w:rStyle w:val="Arialbody"/>
                <w:color w:val="auto"/>
                <w:sz w:val="16"/>
                <w:szCs w:val="16"/>
                <w:lang w:val="en-AU"/>
              </w:rPr>
            </w:pPr>
            <w:r w:rsidRPr="00196BB6">
              <w:rPr>
                <w:rFonts w:ascii="Arial" w:hAnsi="Arial" w:cs="Arial"/>
                <w:color w:val="auto"/>
                <w:sz w:val="16"/>
                <w:szCs w:val="16"/>
                <w:lang w:val="en-AU"/>
              </w:rPr>
              <w:t>What we do</w:t>
            </w:r>
          </w:p>
        </w:tc>
        <w:tc>
          <w:tcPr>
            <w:tcW w:w="850" w:type="dxa"/>
            <w:vAlign w:val="center"/>
          </w:tcPr>
          <w:p w14:paraId="79613B1B" w14:textId="791B68D7" w:rsidR="00E50A80" w:rsidRPr="00196BB6" w:rsidRDefault="003A56B0" w:rsidP="00ED2732">
            <w:pPr>
              <w:pStyle w:val="Financialbodyleft"/>
              <w:spacing w:before="20" w:after="60"/>
              <w:ind w:left="137"/>
              <w:rPr>
                <w:rStyle w:val="Arialbody"/>
                <w:color w:val="auto"/>
                <w:sz w:val="16"/>
                <w:szCs w:val="16"/>
                <w:lang w:val="en-AU"/>
              </w:rPr>
            </w:pPr>
            <w:r>
              <w:rPr>
                <w:rStyle w:val="Arialbody"/>
                <w:color w:val="auto"/>
                <w:sz w:val="16"/>
                <w:szCs w:val="16"/>
                <w:lang w:val="en-AU"/>
              </w:rPr>
              <w:t>18-20</w:t>
            </w:r>
          </w:p>
        </w:tc>
        <w:tc>
          <w:tcPr>
            <w:tcW w:w="4400" w:type="dxa"/>
            <w:vAlign w:val="center"/>
          </w:tcPr>
          <w:p w14:paraId="22257D43" w14:textId="77777777" w:rsidR="00E50A80" w:rsidRPr="00196BB6" w:rsidRDefault="00E50A80" w:rsidP="00ED2732">
            <w:pPr>
              <w:pStyle w:val="Financialbodyleft"/>
              <w:spacing w:before="20" w:after="60"/>
              <w:ind w:left="84"/>
              <w:rPr>
                <w:rStyle w:val="Arialbody"/>
                <w:color w:val="auto"/>
                <w:sz w:val="16"/>
                <w:szCs w:val="16"/>
                <w:lang w:val="en-AU"/>
              </w:rPr>
            </w:pPr>
            <w:r w:rsidRPr="00196BB6">
              <w:rPr>
                <w:rFonts w:ascii="Arial" w:hAnsi="Arial" w:cs="Arial"/>
                <w:color w:val="auto"/>
                <w:sz w:val="16"/>
                <w:szCs w:val="16"/>
                <w:lang w:val="en-AU"/>
              </w:rPr>
              <w:t>A summary of the objects and functions of the entity as set out in legislation.</w:t>
            </w:r>
          </w:p>
        </w:tc>
        <w:tc>
          <w:tcPr>
            <w:tcW w:w="1412" w:type="dxa"/>
            <w:vAlign w:val="center"/>
          </w:tcPr>
          <w:p w14:paraId="13432FF6" w14:textId="77777777" w:rsidR="00E50A80" w:rsidRPr="00196BB6" w:rsidRDefault="00E50A80" w:rsidP="00ED2732">
            <w:pPr>
              <w:pStyle w:val="Financialbodyleft"/>
              <w:spacing w:before="20" w:after="60"/>
              <w:ind w:left="85"/>
              <w:rPr>
                <w:rStyle w:val="Arialbody"/>
                <w:color w:val="auto"/>
                <w:sz w:val="16"/>
                <w:szCs w:val="16"/>
                <w:lang w:val="en-AU"/>
              </w:rPr>
            </w:pPr>
            <w:r w:rsidRPr="00196BB6">
              <w:rPr>
                <w:rFonts w:ascii="Arial" w:hAnsi="Arial" w:cs="Arial"/>
                <w:color w:val="auto"/>
                <w:sz w:val="16"/>
                <w:szCs w:val="16"/>
                <w:lang w:val="en-AU"/>
              </w:rPr>
              <w:t>Mandatory</w:t>
            </w:r>
          </w:p>
        </w:tc>
      </w:tr>
      <w:tr w:rsidR="00E50A80" w:rsidRPr="00E214FE" w14:paraId="4E65443E"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21B3CAA2" w14:textId="77777777" w:rsidR="00E50A80" w:rsidRPr="00196BB6" w:rsidRDefault="00E50A80" w:rsidP="00ED2732">
            <w:pPr>
              <w:pStyle w:val="Financialbodyleft"/>
              <w:spacing w:before="20" w:after="60"/>
              <w:rPr>
                <w:rFonts w:ascii="Arial" w:hAnsi="Arial" w:cs="Arial"/>
                <w:color w:val="auto"/>
                <w:sz w:val="16"/>
                <w:szCs w:val="16"/>
                <w:lang w:val="en-AU"/>
              </w:rPr>
            </w:pPr>
            <w:r w:rsidRPr="00196BB6">
              <w:rPr>
                <w:rFonts w:ascii="Arial" w:hAnsi="Arial" w:cs="Arial"/>
                <w:color w:val="auto"/>
                <w:sz w:val="16"/>
                <w:szCs w:val="16"/>
                <w:lang w:val="en-AU"/>
              </w:rPr>
              <w:t>17BE(b)(ii)</w:t>
            </w:r>
          </w:p>
        </w:tc>
        <w:tc>
          <w:tcPr>
            <w:tcW w:w="1843" w:type="dxa"/>
            <w:vAlign w:val="center"/>
          </w:tcPr>
          <w:p w14:paraId="09717E6C" w14:textId="77777777" w:rsidR="00E50A80" w:rsidRPr="00196BB6" w:rsidRDefault="00E50A80" w:rsidP="00ED2732">
            <w:pPr>
              <w:pStyle w:val="Financialbodyleft"/>
              <w:spacing w:before="20" w:after="60"/>
              <w:ind w:left="141"/>
              <w:rPr>
                <w:rStyle w:val="Arialbody"/>
                <w:color w:val="auto"/>
                <w:sz w:val="16"/>
                <w:szCs w:val="16"/>
                <w:lang w:val="en-AU"/>
              </w:rPr>
            </w:pPr>
            <w:r w:rsidRPr="00196BB6">
              <w:rPr>
                <w:rFonts w:ascii="Arial" w:hAnsi="Arial" w:cs="Arial"/>
                <w:color w:val="auto"/>
                <w:sz w:val="16"/>
                <w:szCs w:val="16"/>
                <w:lang w:val="en-AU"/>
              </w:rPr>
              <w:t>What we do</w:t>
            </w:r>
          </w:p>
        </w:tc>
        <w:tc>
          <w:tcPr>
            <w:tcW w:w="850" w:type="dxa"/>
            <w:vAlign w:val="center"/>
          </w:tcPr>
          <w:p w14:paraId="620BB958" w14:textId="1519A53B" w:rsidR="00E50A80" w:rsidRPr="00196BB6" w:rsidRDefault="00383FC7" w:rsidP="00ED2732">
            <w:pPr>
              <w:pStyle w:val="Financialbodyleft"/>
              <w:spacing w:before="20" w:after="60"/>
              <w:ind w:left="137"/>
              <w:rPr>
                <w:rStyle w:val="Arialbody"/>
                <w:color w:val="auto"/>
                <w:sz w:val="16"/>
                <w:szCs w:val="16"/>
                <w:lang w:val="en-AU"/>
              </w:rPr>
            </w:pPr>
            <w:r>
              <w:rPr>
                <w:rStyle w:val="Arialbody"/>
                <w:color w:val="auto"/>
                <w:sz w:val="16"/>
                <w:szCs w:val="16"/>
                <w:lang w:val="en-AU"/>
              </w:rPr>
              <w:t>15-20</w:t>
            </w:r>
          </w:p>
        </w:tc>
        <w:tc>
          <w:tcPr>
            <w:tcW w:w="4400" w:type="dxa"/>
            <w:vAlign w:val="center"/>
          </w:tcPr>
          <w:p w14:paraId="76D24313" w14:textId="77777777" w:rsidR="00E50A80" w:rsidRPr="00196BB6" w:rsidRDefault="00E50A80" w:rsidP="00ED2732">
            <w:pPr>
              <w:pStyle w:val="Financialbodyleft"/>
              <w:spacing w:before="20" w:after="60"/>
              <w:ind w:left="84"/>
              <w:rPr>
                <w:rStyle w:val="Arialbody"/>
                <w:color w:val="auto"/>
                <w:sz w:val="16"/>
                <w:szCs w:val="16"/>
                <w:lang w:val="en-AU"/>
              </w:rPr>
            </w:pPr>
            <w:r w:rsidRPr="00196BB6">
              <w:rPr>
                <w:rFonts w:ascii="Arial" w:hAnsi="Arial" w:cs="Arial"/>
                <w:color w:val="auto"/>
                <w:sz w:val="16"/>
                <w:szCs w:val="16"/>
                <w:lang w:val="en-AU"/>
              </w:rPr>
              <w:t>The purposes of the entity as included in the entity’s corporate plan for the reporting period.</w:t>
            </w:r>
          </w:p>
        </w:tc>
        <w:tc>
          <w:tcPr>
            <w:tcW w:w="1412" w:type="dxa"/>
            <w:vAlign w:val="center"/>
          </w:tcPr>
          <w:p w14:paraId="7B64357F" w14:textId="77777777" w:rsidR="00E50A80" w:rsidRPr="00196BB6" w:rsidRDefault="00E50A80" w:rsidP="00ED2732">
            <w:pPr>
              <w:pStyle w:val="Financialbodyleft"/>
              <w:spacing w:before="20" w:after="60"/>
              <w:ind w:left="85"/>
              <w:rPr>
                <w:rStyle w:val="Arialbody"/>
                <w:color w:val="auto"/>
                <w:sz w:val="16"/>
                <w:szCs w:val="16"/>
                <w:lang w:val="en-AU"/>
              </w:rPr>
            </w:pPr>
            <w:r w:rsidRPr="00196BB6">
              <w:rPr>
                <w:rFonts w:ascii="Arial" w:hAnsi="Arial" w:cs="Arial"/>
                <w:color w:val="auto"/>
                <w:sz w:val="16"/>
                <w:szCs w:val="16"/>
                <w:lang w:val="en-AU"/>
              </w:rPr>
              <w:t>Mandatory</w:t>
            </w:r>
          </w:p>
        </w:tc>
      </w:tr>
      <w:tr w:rsidR="00E50A80" w:rsidRPr="00E214FE" w14:paraId="24641A26"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1DF7E926" w14:textId="77777777" w:rsidR="00E50A80" w:rsidRPr="00196BB6" w:rsidRDefault="00E50A80" w:rsidP="00ED2732">
            <w:pPr>
              <w:pStyle w:val="Financialbodyleft"/>
              <w:spacing w:before="20" w:after="60"/>
              <w:rPr>
                <w:rFonts w:ascii="Arial" w:hAnsi="Arial" w:cs="Arial"/>
                <w:color w:val="auto"/>
                <w:sz w:val="16"/>
                <w:szCs w:val="16"/>
                <w:lang w:val="en-AU"/>
              </w:rPr>
            </w:pPr>
            <w:r w:rsidRPr="00196BB6">
              <w:rPr>
                <w:rFonts w:ascii="Arial" w:hAnsi="Arial" w:cs="Arial"/>
                <w:color w:val="auto"/>
                <w:sz w:val="16"/>
                <w:szCs w:val="16"/>
                <w:lang w:val="en-AU"/>
              </w:rPr>
              <w:t>17BE(c)</w:t>
            </w:r>
          </w:p>
        </w:tc>
        <w:tc>
          <w:tcPr>
            <w:tcW w:w="1843" w:type="dxa"/>
            <w:vAlign w:val="center"/>
          </w:tcPr>
          <w:p w14:paraId="4AB81C7D" w14:textId="77777777" w:rsidR="00E50A80" w:rsidRPr="00196BB6" w:rsidRDefault="00E50A80" w:rsidP="00ED2732">
            <w:pPr>
              <w:pStyle w:val="Financialbodyleft"/>
              <w:spacing w:before="20" w:after="60"/>
              <w:ind w:left="141"/>
              <w:rPr>
                <w:rFonts w:ascii="Arial" w:hAnsi="Arial" w:cs="Arial"/>
                <w:color w:val="auto"/>
                <w:sz w:val="16"/>
                <w:szCs w:val="16"/>
                <w:lang w:val="en-AU"/>
              </w:rPr>
            </w:pPr>
            <w:r w:rsidRPr="00196BB6">
              <w:rPr>
                <w:rFonts w:ascii="Arial" w:hAnsi="Arial" w:cs="Arial"/>
                <w:color w:val="auto"/>
                <w:sz w:val="16"/>
                <w:szCs w:val="16"/>
                <w:lang w:val="en-AU"/>
              </w:rPr>
              <w:t>Responsible minister</w:t>
            </w:r>
          </w:p>
        </w:tc>
        <w:tc>
          <w:tcPr>
            <w:tcW w:w="850" w:type="dxa"/>
            <w:vAlign w:val="center"/>
          </w:tcPr>
          <w:p w14:paraId="1429BE68" w14:textId="409F48EA" w:rsidR="00E50A80" w:rsidRPr="00196BB6" w:rsidRDefault="00E50A80" w:rsidP="00ED2732">
            <w:pPr>
              <w:pStyle w:val="Financialbodyleft"/>
              <w:spacing w:before="20" w:after="60"/>
              <w:ind w:left="137"/>
              <w:rPr>
                <w:rStyle w:val="Hyperlink"/>
                <w:rFonts w:ascii="Arial" w:hAnsi="Arial" w:cs="Arial"/>
                <w:color w:val="auto"/>
                <w:sz w:val="16"/>
                <w:szCs w:val="16"/>
                <w:u w:val="none"/>
                <w:lang w:val="en-AU"/>
              </w:rPr>
            </w:pPr>
            <w:r>
              <w:rPr>
                <w:rStyle w:val="Hyperlink"/>
                <w:rFonts w:ascii="Arial" w:hAnsi="Arial" w:cs="Arial"/>
                <w:color w:val="auto"/>
                <w:sz w:val="16"/>
                <w:szCs w:val="16"/>
                <w:u w:val="none"/>
                <w:lang w:val="en-AU"/>
              </w:rPr>
              <w:t>1</w:t>
            </w:r>
            <w:r w:rsidR="00083312">
              <w:rPr>
                <w:rStyle w:val="Hyperlink"/>
                <w:rFonts w:ascii="Arial" w:hAnsi="Arial" w:cs="Arial"/>
                <w:color w:val="auto"/>
                <w:sz w:val="16"/>
                <w:szCs w:val="16"/>
                <w:u w:val="none"/>
                <w:lang w:val="en-AU"/>
              </w:rPr>
              <w:t>9</w:t>
            </w:r>
          </w:p>
        </w:tc>
        <w:tc>
          <w:tcPr>
            <w:tcW w:w="4400" w:type="dxa"/>
            <w:vAlign w:val="center"/>
          </w:tcPr>
          <w:p w14:paraId="207A4AD7" w14:textId="77777777" w:rsidR="00E50A80" w:rsidRPr="00196BB6" w:rsidRDefault="00E50A80" w:rsidP="00ED2732">
            <w:pPr>
              <w:pStyle w:val="Financialbodyleft"/>
              <w:spacing w:before="20" w:after="60"/>
              <w:ind w:left="84"/>
              <w:rPr>
                <w:rFonts w:ascii="Arial" w:hAnsi="Arial" w:cs="Arial"/>
                <w:color w:val="auto"/>
                <w:sz w:val="16"/>
                <w:szCs w:val="16"/>
                <w:lang w:val="en-AU"/>
              </w:rPr>
            </w:pPr>
            <w:r w:rsidRPr="00196BB6">
              <w:rPr>
                <w:rFonts w:ascii="Arial" w:hAnsi="Arial" w:cs="Arial"/>
                <w:color w:val="auto"/>
                <w:sz w:val="16"/>
                <w:szCs w:val="16"/>
                <w:lang w:val="en-AU"/>
              </w:rPr>
              <w:t xml:space="preserve">The names of the persons holding the position of responsible </w:t>
            </w:r>
            <w:r>
              <w:rPr>
                <w:rFonts w:ascii="Arial" w:hAnsi="Arial" w:cs="Arial"/>
                <w:color w:val="auto"/>
                <w:sz w:val="16"/>
                <w:szCs w:val="16"/>
                <w:lang w:val="en-AU"/>
              </w:rPr>
              <w:t>m</w:t>
            </w:r>
            <w:r w:rsidRPr="00196BB6">
              <w:rPr>
                <w:rFonts w:ascii="Arial" w:hAnsi="Arial" w:cs="Arial"/>
                <w:color w:val="auto"/>
                <w:sz w:val="16"/>
                <w:szCs w:val="16"/>
                <w:lang w:val="en-AU"/>
              </w:rPr>
              <w:t>inister or responsible ministers during the reporting period, and the titles of those responsible ministers.</w:t>
            </w:r>
          </w:p>
        </w:tc>
        <w:tc>
          <w:tcPr>
            <w:tcW w:w="1412" w:type="dxa"/>
            <w:vAlign w:val="center"/>
          </w:tcPr>
          <w:p w14:paraId="0E95D048" w14:textId="77777777" w:rsidR="00E50A80" w:rsidRPr="00196BB6" w:rsidRDefault="00E50A80" w:rsidP="00ED2732">
            <w:pPr>
              <w:pStyle w:val="Financialbodyleft"/>
              <w:spacing w:before="20" w:after="60"/>
              <w:ind w:left="85"/>
              <w:rPr>
                <w:rFonts w:ascii="Arial" w:hAnsi="Arial" w:cs="Arial"/>
                <w:color w:val="auto"/>
                <w:sz w:val="16"/>
                <w:szCs w:val="16"/>
                <w:lang w:val="en-AU"/>
              </w:rPr>
            </w:pPr>
            <w:r w:rsidRPr="00196BB6">
              <w:rPr>
                <w:rFonts w:ascii="Arial" w:hAnsi="Arial" w:cs="Arial"/>
                <w:color w:val="auto"/>
                <w:sz w:val="16"/>
                <w:szCs w:val="16"/>
                <w:lang w:val="en-AU"/>
              </w:rPr>
              <w:t>Mandatory</w:t>
            </w:r>
          </w:p>
        </w:tc>
      </w:tr>
      <w:tr w:rsidR="00E50A80" w:rsidRPr="00E214FE" w14:paraId="7C5F56DB"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2F4BDBED" w14:textId="77777777" w:rsidR="00E50A80" w:rsidRPr="00196BB6" w:rsidRDefault="00E50A80" w:rsidP="00ED2732">
            <w:pPr>
              <w:pStyle w:val="Financialbodyleft"/>
              <w:spacing w:before="20" w:after="60"/>
              <w:rPr>
                <w:rFonts w:ascii="Arial" w:hAnsi="Arial" w:cs="Arial"/>
                <w:color w:val="auto"/>
                <w:sz w:val="16"/>
                <w:szCs w:val="16"/>
                <w:lang w:val="en-AU"/>
              </w:rPr>
            </w:pPr>
            <w:r w:rsidRPr="00196BB6">
              <w:rPr>
                <w:rFonts w:ascii="Arial" w:hAnsi="Arial" w:cs="Arial"/>
                <w:color w:val="auto"/>
                <w:sz w:val="16"/>
                <w:szCs w:val="16"/>
                <w:lang w:val="en-AU"/>
              </w:rPr>
              <w:t>17BE(d)</w:t>
            </w:r>
          </w:p>
        </w:tc>
        <w:tc>
          <w:tcPr>
            <w:tcW w:w="1843" w:type="dxa"/>
            <w:vAlign w:val="center"/>
          </w:tcPr>
          <w:p w14:paraId="0C40EED0" w14:textId="77777777" w:rsidR="00E50A80" w:rsidRPr="00196BB6" w:rsidRDefault="00E50A80" w:rsidP="00ED2732">
            <w:pPr>
              <w:pStyle w:val="Financialbodyleft"/>
              <w:spacing w:before="20" w:after="60"/>
              <w:ind w:left="141"/>
              <w:rPr>
                <w:rFonts w:ascii="Arial" w:hAnsi="Arial" w:cs="Arial"/>
                <w:color w:val="auto"/>
                <w:sz w:val="16"/>
                <w:szCs w:val="16"/>
                <w:lang w:val="en-AU"/>
              </w:rPr>
            </w:pPr>
            <w:r w:rsidRPr="00196BB6">
              <w:rPr>
                <w:rFonts w:ascii="Arial" w:hAnsi="Arial" w:cs="Arial"/>
                <w:color w:val="auto"/>
                <w:sz w:val="16"/>
                <w:szCs w:val="16"/>
                <w:lang w:val="en-AU"/>
              </w:rPr>
              <w:t xml:space="preserve">Ministerial directions and government policy orders </w:t>
            </w:r>
          </w:p>
        </w:tc>
        <w:tc>
          <w:tcPr>
            <w:tcW w:w="850" w:type="dxa"/>
            <w:vAlign w:val="center"/>
          </w:tcPr>
          <w:p w14:paraId="321661A1" w14:textId="2D913128" w:rsidR="00E50A80" w:rsidRPr="00196BB6" w:rsidRDefault="003A2601" w:rsidP="00ED2732">
            <w:pPr>
              <w:pStyle w:val="Financialbodyleft"/>
              <w:spacing w:before="20" w:after="60"/>
              <w:ind w:left="137"/>
              <w:rPr>
                <w:rStyle w:val="Hyperlink"/>
                <w:rFonts w:ascii="Arial" w:hAnsi="Arial" w:cs="Arial"/>
                <w:color w:val="auto"/>
                <w:sz w:val="16"/>
                <w:szCs w:val="16"/>
                <w:u w:val="none"/>
                <w:lang w:val="en-AU"/>
              </w:rPr>
            </w:pPr>
            <w:r>
              <w:rPr>
                <w:rStyle w:val="Hyperlink"/>
                <w:rFonts w:ascii="Arial" w:hAnsi="Arial" w:cs="Arial"/>
                <w:color w:val="auto"/>
                <w:sz w:val="16"/>
                <w:szCs w:val="16"/>
                <w:u w:val="none"/>
                <w:lang w:val="en-AU"/>
              </w:rPr>
              <w:t>20</w:t>
            </w:r>
          </w:p>
        </w:tc>
        <w:tc>
          <w:tcPr>
            <w:tcW w:w="4400" w:type="dxa"/>
            <w:vAlign w:val="center"/>
          </w:tcPr>
          <w:p w14:paraId="1FAC1C95" w14:textId="77777777" w:rsidR="00E50A80" w:rsidRPr="00196BB6" w:rsidRDefault="00E50A80" w:rsidP="00ED2732">
            <w:pPr>
              <w:pStyle w:val="Financialbodyleft"/>
              <w:spacing w:before="20" w:after="60"/>
              <w:ind w:left="84"/>
              <w:rPr>
                <w:rFonts w:ascii="Arial" w:hAnsi="Arial" w:cs="Arial"/>
                <w:color w:val="auto"/>
                <w:sz w:val="16"/>
                <w:szCs w:val="16"/>
                <w:lang w:val="en-AU"/>
              </w:rPr>
            </w:pPr>
            <w:r w:rsidRPr="00196BB6">
              <w:rPr>
                <w:rFonts w:ascii="Arial" w:hAnsi="Arial" w:cs="Arial"/>
                <w:color w:val="auto"/>
                <w:sz w:val="16"/>
                <w:szCs w:val="16"/>
                <w:lang w:val="en-AU"/>
              </w:rPr>
              <w:t xml:space="preserve">Directions given to the entity by the </w:t>
            </w:r>
            <w:r>
              <w:rPr>
                <w:rFonts w:ascii="Arial" w:hAnsi="Arial" w:cs="Arial"/>
                <w:color w:val="auto"/>
                <w:sz w:val="16"/>
                <w:szCs w:val="16"/>
                <w:lang w:val="en-AU"/>
              </w:rPr>
              <w:t>m</w:t>
            </w:r>
            <w:r w:rsidRPr="00196BB6">
              <w:rPr>
                <w:rFonts w:ascii="Arial" w:hAnsi="Arial" w:cs="Arial"/>
                <w:color w:val="auto"/>
                <w:sz w:val="16"/>
                <w:szCs w:val="16"/>
                <w:lang w:val="en-AU"/>
              </w:rPr>
              <w:t>inister under an Act or instrument during the reporting period.</w:t>
            </w:r>
          </w:p>
        </w:tc>
        <w:tc>
          <w:tcPr>
            <w:tcW w:w="1412" w:type="dxa"/>
            <w:vAlign w:val="center"/>
          </w:tcPr>
          <w:p w14:paraId="28D1315C" w14:textId="77777777" w:rsidR="00E50A80" w:rsidRPr="00196BB6" w:rsidRDefault="00E50A80" w:rsidP="00ED2732">
            <w:pPr>
              <w:pStyle w:val="Financialbodyleft"/>
              <w:spacing w:before="20" w:after="60"/>
              <w:ind w:left="85"/>
              <w:rPr>
                <w:rFonts w:ascii="Arial" w:hAnsi="Arial" w:cs="Arial"/>
                <w:color w:val="auto"/>
                <w:sz w:val="16"/>
                <w:szCs w:val="16"/>
                <w:lang w:val="en-AU"/>
              </w:rPr>
            </w:pPr>
            <w:r w:rsidRPr="00196BB6">
              <w:rPr>
                <w:rFonts w:ascii="Arial" w:hAnsi="Arial" w:cs="Arial"/>
                <w:color w:val="auto"/>
                <w:sz w:val="16"/>
                <w:szCs w:val="16"/>
                <w:lang w:val="en-AU"/>
              </w:rPr>
              <w:t>If applicable, mandatory</w:t>
            </w:r>
          </w:p>
        </w:tc>
      </w:tr>
      <w:tr w:rsidR="00E50A80" w:rsidRPr="00E214FE" w14:paraId="0EE38BE5"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709417DA" w14:textId="77777777" w:rsidR="00E50A80" w:rsidRPr="00196BB6" w:rsidRDefault="00E50A80" w:rsidP="00ED2732">
            <w:pPr>
              <w:pStyle w:val="Financialbodyleft"/>
              <w:spacing w:before="20" w:after="60"/>
              <w:rPr>
                <w:rFonts w:ascii="Arial" w:hAnsi="Arial" w:cs="Arial"/>
                <w:color w:val="auto"/>
                <w:sz w:val="16"/>
                <w:szCs w:val="16"/>
                <w:lang w:val="en-AU"/>
              </w:rPr>
            </w:pPr>
            <w:r w:rsidRPr="00196BB6">
              <w:rPr>
                <w:rFonts w:ascii="Arial" w:hAnsi="Arial" w:cs="Arial"/>
                <w:color w:val="auto"/>
                <w:sz w:val="16"/>
                <w:szCs w:val="16"/>
                <w:lang w:val="en-AU"/>
              </w:rPr>
              <w:t>17BE(e)</w:t>
            </w:r>
          </w:p>
        </w:tc>
        <w:tc>
          <w:tcPr>
            <w:tcW w:w="1843" w:type="dxa"/>
            <w:vAlign w:val="center"/>
          </w:tcPr>
          <w:p w14:paraId="7C63EF9E" w14:textId="77777777" w:rsidR="00E50A80" w:rsidRPr="00196BB6" w:rsidRDefault="00E50A80" w:rsidP="00ED2732">
            <w:pPr>
              <w:pStyle w:val="Financialbodyleft"/>
              <w:spacing w:before="20" w:after="60"/>
              <w:ind w:left="141"/>
              <w:rPr>
                <w:rFonts w:ascii="Arial" w:hAnsi="Arial" w:cs="Arial"/>
                <w:color w:val="auto"/>
                <w:sz w:val="16"/>
                <w:szCs w:val="16"/>
                <w:lang w:val="en-AU"/>
              </w:rPr>
            </w:pPr>
            <w:r w:rsidRPr="00196BB6">
              <w:rPr>
                <w:rFonts w:ascii="Arial" w:hAnsi="Arial" w:cs="Arial"/>
                <w:color w:val="auto"/>
                <w:sz w:val="16"/>
                <w:szCs w:val="16"/>
                <w:lang w:val="en-AU"/>
              </w:rPr>
              <w:t xml:space="preserve">Not applicable  </w:t>
            </w:r>
          </w:p>
        </w:tc>
        <w:tc>
          <w:tcPr>
            <w:tcW w:w="850" w:type="dxa"/>
            <w:vAlign w:val="center"/>
          </w:tcPr>
          <w:p w14:paraId="20EC701E" w14:textId="77777777" w:rsidR="00E50A80" w:rsidRPr="00196BB6" w:rsidRDefault="00E50A80" w:rsidP="00ED2732">
            <w:pPr>
              <w:pStyle w:val="Financialbodyleft"/>
              <w:spacing w:before="20" w:after="60"/>
              <w:ind w:left="137"/>
              <w:rPr>
                <w:rStyle w:val="Hyperlink"/>
                <w:rFonts w:ascii="Arial" w:hAnsi="Arial" w:cs="Arial"/>
                <w:color w:val="auto"/>
                <w:sz w:val="16"/>
                <w:szCs w:val="16"/>
                <w:u w:val="none"/>
                <w:lang w:val="en-AU"/>
              </w:rPr>
            </w:pPr>
            <w:r w:rsidRPr="00196BB6">
              <w:rPr>
                <w:rStyle w:val="Hyperlink"/>
                <w:rFonts w:ascii="Arial" w:hAnsi="Arial" w:cs="Arial"/>
                <w:color w:val="auto"/>
                <w:sz w:val="16"/>
                <w:szCs w:val="16"/>
                <w:u w:val="none"/>
                <w:lang w:val="en-AU"/>
              </w:rPr>
              <w:t>-</w:t>
            </w:r>
          </w:p>
        </w:tc>
        <w:tc>
          <w:tcPr>
            <w:tcW w:w="4400" w:type="dxa"/>
            <w:vAlign w:val="center"/>
          </w:tcPr>
          <w:p w14:paraId="29960225" w14:textId="77777777" w:rsidR="00E50A80" w:rsidRPr="00196BB6" w:rsidRDefault="00E50A80" w:rsidP="00ED2732">
            <w:pPr>
              <w:pStyle w:val="Financialbodyleft"/>
              <w:spacing w:before="20" w:after="60"/>
              <w:ind w:left="84"/>
              <w:rPr>
                <w:rFonts w:ascii="Arial" w:hAnsi="Arial" w:cs="Arial"/>
                <w:color w:val="auto"/>
                <w:sz w:val="16"/>
                <w:szCs w:val="16"/>
                <w:lang w:val="en-AU"/>
              </w:rPr>
            </w:pPr>
            <w:r w:rsidRPr="00196BB6">
              <w:rPr>
                <w:rFonts w:ascii="Arial" w:hAnsi="Arial" w:cs="Arial"/>
                <w:color w:val="auto"/>
                <w:sz w:val="16"/>
                <w:szCs w:val="16"/>
                <w:lang w:val="en-AU"/>
              </w:rPr>
              <w:t>Any government policy order that applied in relation to the entity during the reporting period under section 22 of the PGPA Act.</w:t>
            </w:r>
          </w:p>
        </w:tc>
        <w:tc>
          <w:tcPr>
            <w:tcW w:w="1412" w:type="dxa"/>
            <w:vAlign w:val="center"/>
          </w:tcPr>
          <w:p w14:paraId="7ADD17B6" w14:textId="77777777" w:rsidR="00E50A80" w:rsidRPr="00196BB6" w:rsidRDefault="00E50A80" w:rsidP="00ED2732">
            <w:pPr>
              <w:pStyle w:val="Financialbodyleft"/>
              <w:spacing w:before="20" w:after="60"/>
              <w:ind w:left="85"/>
              <w:rPr>
                <w:rFonts w:ascii="Arial" w:hAnsi="Arial" w:cs="Arial"/>
                <w:color w:val="auto"/>
                <w:sz w:val="16"/>
                <w:szCs w:val="16"/>
                <w:lang w:val="en-AU"/>
              </w:rPr>
            </w:pPr>
            <w:r w:rsidRPr="00196BB6">
              <w:rPr>
                <w:rFonts w:ascii="Arial" w:hAnsi="Arial" w:cs="Arial"/>
                <w:color w:val="auto"/>
                <w:sz w:val="16"/>
                <w:szCs w:val="16"/>
                <w:lang w:val="en-AU"/>
              </w:rPr>
              <w:t>If applicable, mandatory</w:t>
            </w:r>
          </w:p>
        </w:tc>
      </w:tr>
      <w:tr w:rsidR="00E50A80" w:rsidRPr="00E214FE" w14:paraId="6062A580"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4A7A7D86" w14:textId="77777777" w:rsidR="00E50A80" w:rsidRPr="00196BB6" w:rsidRDefault="00E50A80" w:rsidP="00ED2732">
            <w:pPr>
              <w:pStyle w:val="Financialbodyleft"/>
              <w:spacing w:before="20" w:after="60"/>
              <w:rPr>
                <w:rFonts w:ascii="Arial" w:hAnsi="Arial" w:cs="Arial"/>
                <w:color w:val="auto"/>
                <w:sz w:val="16"/>
                <w:szCs w:val="16"/>
                <w:lang w:val="en-AU"/>
              </w:rPr>
            </w:pPr>
            <w:r w:rsidRPr="00196BB6">
              <w:rPr>
                <w:rFonts w:ascii="Arial" w:hAnsi="Arial" w:cs="Arial"/>
                <w:color w:val="auto"/>
                <w:sz w:val="16"/>
                <w:szCs w:val="16"/>
                <w:lang w:val="en-AU"/>
              </w:rPr>
              <w:t>17BE(f)</w:t>
            </w:r>
          </w:p>
        </w:tc>
        <w:tc>
          <w:tcPr>
            <w:tcW w:w="1843" w:type="dxa"/>
            <w:vAlign w:val="center"/>
          </w:tcPr>
          <w:p w14:paraId="582E5366" w14:textId="77777777" w:rsidR="00E50A80" w:rsidRPr="00196BB6" w:rsidRDefault="00E50A80" w:rsidP="00ED2732">
            <w:pPr>
              <w:pStyle w:val="Financialbodyleft"/>
              <w:spacing w:before="20" w:after="60"/>
              <w:ind w:left="141"/>
              <w:rPr>
                <w:rFonts w:ascii="Arial" w:hAnsi="Arial" w:cs="Arial"/>
                <w:color w:val="auto"/>
                <w:sz w:val="16"/>
                <w:szCs w:val="16"/>
                <w:lang w:val="en-AU"/>
              </w:rPr>
            </w:pPr>
            <w:r w:rsidRPr="00196BB6">
              <w:rPr>
                <w:rFonts w:ascii="Arial" w:hAnsi="Arial" w:cs="Arial"/>
                <w:color w:val="auto"/>
                <w:sz w:val="16"/>
                <w:szCs w:val="16"/>
                <w:lang w:val="en-AU"/>
              </w:rPr>
              <w:t>Not applicable</w:t>
            </w:r>
          </w:p>
        </w:tc>
        <w:tc>
          <w:tcPr>
            <w:tcW w:w="850" w:type="dxa"/>
            <w:vAlign w:val="center"/>
          </w:tcPr>
          <w:p w14:paraId="0442421B" w14:textId="77777777" w:rsidR="00E50A80" w:rsidRPr="00196BB6" w:rsidRDefault="00E50A80" w:rsidP="00ED2732">
            <w:pPr>
              <w:pStyle w:val="Financialbodyleft"/>
              <w:spacing w:before="20" w:after="60"/>
              <w:ind w:left="137"/>
              <w:rPr>
                <w:rStyle w:val="Hyperlink"/>
                <w:rFonts w:ascii="Arial" w:hAnsi="Arial" w:cs="Arial"/>
                <w:color w:val="auto"/>
                <w:sz w:val="16"/>
                <w:szCs w:val="16"/>
                <w:u w:val="none"/>
                <w:lang w:val="en-AU"/>
              </w:rPr>
            </w:pPr>
            <w:r w:rsidRPr="00196BB6">
              <w:rPr>
                <w:rStyle w:val="Hyperlink"/>
                <w:rFonts w:ascii="Arial" w:hAnsi="Arial" w:cs="Arial"/>
                <w:color w:val="auto"/>
                <w:sz w:val="16"/>
                <w:szCs w:val="16"/>
                <w:u w:val="none"/>
                <w:lang w:val="en-AU"/>
              </w:rPr>
              <w:t>-</w:t>
            </w:r>
          </w:p>
        </w:tc>
        <w:tc>
          <w:tcPr>
            <w:tcW w:w="4400" w:type="dxa"/>
            <w:vAlign w:val="center"/>
          </w:tcPr>
          <w:p w14:paraId="7CEEB54F" w14:textId="77777777" w:rsidR="00E50A80" w:rsidRPr="00196BB6" w:rsidRDefault="00E50A80" w:rsidP="00ED2732">
            <w:pPr>
              <w:pStyle w:val="TableBodyleftFinancials"/>
              <w:spacing w:before="20" w:after="60" w:line="259" w:lineRule="auto"/>
              <w:ind w:left="84"/>
              <w:rPr>
                <w:rFonts w:ascii="Arial" w:hAnsi="Arial" w:cs="Arial"/>
                <w:color w:val="auto"/>
                <w:sz w:val="16"/>
                <w:szCs w:val="16"/>
              </w:rPr>
            </w:pPr>
            <w:r w:rsidRPr="00196BB6">
              <w:rPr>
                <w:rFonts w:ascii="Arial" w:hAnsi="Arial" w:cs="Arial"/>
                <w:color w:val="auto"/>
                <w:sz w:val="16"/>
                <w:szCs w:val="16"/>
              </w:rPr>
              <w:t>Particulars of non-compliance with:</w:t>
            </w:r>
          </w:p>
          <w:p w14:paraId="6CAE9E0B" w14:textId="77777777" w:rsidR="00E50A80" w:rsidRPr="00196BB6" w:rsidRDefault="00E50A80" w:rsidP="00ED2732">
            <w:pPr>
              <w:pStyle w:val="Financialbodyleft"/>
              <w:numPr>
                <w:ilvl w:val="0"/>
                <w:numId w:val="32"/>
              </w:numPr>
              <w:spacing w:before="20" w:after="60"/>
              <w:ind w:left="369" w:hanging="283"/>
              <w:rPr>
                <w:rFonts w:ascii="Arial" w:hAnsi="Arial" w:cs="Arial"/>
                <w:color w:val="auto"/>
                <w:sz w:val="16"/>
                <w:szCs w:val="16"/>
                <w:lang w:val="en-AU"/>
              </w:rPr>
            </w:pPr>
            <w:r w:rsidRPr="00196BB6">
              <w:rPr>
                <w:rFonts w:ascii="Arial" w:hAnsi="Arial" w:cs="Arial"/>
                <w:color w:val="auto"/>
                <w:sz w:val="16"/>
                <w:szCs w:val="16"/>
                <w:lang w:val="en-AU"/>
              </w:rPr>
              <w:t xml:space="preserve">direction given to the entity by the </w:t>
            </w:r>
            <w:r>
              <w:rPr>
                <w:rFonts w:ascii="Arial" w:hAnsi="Arial" w:cs="Arial"/>
                <w:color w:val="auto"/>
                <w:sz w:val="16"/>
                <w:szCs w:val="16"/>
                <w:lang w:val="en-AU"/>
              </w:rPr>
              <w:t>m</w:t>
            </w:r>
            <w:r w:rsidRPr="00196BB6">
              <w:rPr>
                <w:rFonts w:ascii="Arial" w:hAnsi="Arial" w:cs="Arial"/>
                <w:color w:val="auto"/>
                <w:sz w:val="16"/>
                <w:szCs w:val="16"/>
                <w:lang w:val="en-AU"/>
              </w:rPr>
              <w:t>inister under an Act or instrument during the reporting period; or</w:t>
            </w:r>
          </w:p>
          <w:p w14:paraId="01F20010" w14:textId="77777777" w:rsidR="00E50A80" w:rsidRPr="00196BB6" w:rsidRDefault="00E50A80" w:rsidP="00ED2732">
            <w:pPr>
              <w:pStyle w:val="Financialbodyleft"/>
              <w:numPr>
                <w:ilvl w:val="0"/>
                <w:numId w:val="32"/>
              </w:numPr>
              <w:spacing w:before="20" w:after="60"/>
              <w:ind w:left="369" w:hanging="283"/>
              <w:rPr>
                <w:rFonts w:ascii="Arial" w:hAnsi="Arial" w:cs="Arial"/>
                <w:color w:val="auto"/>
                <w:sz w:val="16"/>
                <w:szCs w:val="16"/>
                <w:lang w:val="en-AU"/>
              </w:rPr>
            </w:pPr>
            <w:r w:rsidRPr="00196BB6">
              <w:rPr>
                <w:rFonts w:ascii="Arial" w:hAnsi="Arial" w:cs="Arial"/>
                <w:color w:val="auto"/>
                <w:sz w:val="16"/>
                <w:szCs w:val="16"/>
                <w:lang w:val="en-AU"/>
              </w:rPr>
              <w:t>government policy order that applied in relation to the entity during the reporting period under section 22 of the PGPA Act.</w:t>
            </w:r>
          </w:p>
        </w:tc>
        <w:tc>
          <w:tcPr>
            <w:tcW w:w="1412" w:type="dxa"/>
            <w:vAlign w:val="center"/>
          </w:tcPr>
          <w:p w14:paraId="3BF9273A" w14:textId="77777777" w:rsidR="00E50A80" w:rsidRPr="00196BB6" w:rsidRDefault="00E50A80" w:rsidP="00ED2732">
            <w:pPr>
              <w:pStyle w:val="Financialbodyleft"/>
              <w:spacing w:before="20" w:after="60"/>
              <w:ind w:left="85"/>
              <w:rPr>
                <w:rFonts w:ascii="Arial" w:hAnsi="Arial" w:cs="Arial"/>
                <w:color w:val="auto"/>
                <w:sz w:val="16"/>
                <w:szCs w:val="16"/>
                <w:lang w:val="en-AU"/>
              </w:rPr>
            </w:pPr>
            <w:r w:rsidRPr="00196BB6">
              <w:rPr>
                <w:rFonts w:ascii="Arial" w:hAnsi="Arial" w:cs="Arial"/>
                <w:color w:val="auto"/>
                <w:sz w:val="16"/>
                <w:szCs w:val="16"/>
                <w:lang w:val="en-AU"/>
              </w:rPr>
              <w:t>If applicable, mandatory</w:t>
            </w:r>
          </w:p>
        </w:tc>
      </w:tr>
      <w:tr w:rsidR="00E50A80" w:rsidRPr="00E214FE" w14:paraId="7F32F672"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437410A4" w14:textId="77777777" w:rsidR="00E50A80" w:rsidRPr="00196BB6" w:rsidRDefault="00E50A80" w:rsidP="00ED2732">
            <w:pPr>
              <w:pStyle w:val="Financialbodyleft"/>
              <w:spacing w:before="20" w:after="60"/>
              <w:rPr>
                <w:rFonts w:ascii="Arial" w:hAnsi="Arial" w:cs="Arial"/>
                <w:color w:val="auto"/>
                <w:sz w:val="16"/>
                <w:szCs w:val="16"/>
                <w:lang w:val="en-AU"/>
              </w:rPr>
            </w:pPr>
            <w:r w:rsidRPr="00196BB6">
              <w:rPr>
                <w:rFonts w:ascii="Arial" w:hAnsi="Arial" w:cs="Arial"/>
                <w:color w:val="auto"/>
                <w:sz w:val="16"/>
                <w:szCs w:val="16"/>
                <w:lang w:val="en-AU"/>
              </w:rPr>
              <w:t>17BE(g)</w:t>
            </w:r>
          </w:p>
        </w:tc>
        <w:tc>
          <w:tcPr>
            <w:tcW w:w="1843" w:type="dxa"/>
            <w:vAlign w:val="center"/>
          </w:tcPr>
          <w:p w14:paraId="56AF480E" w14:textId="77777777" w:rsidR="00E50A80" w:rsidRPr="00196BB6" w:rsidRDefault="00E50A80" w:rsidP="00ED2732">
            <w:pPr>
              <w:pStyle w:val="Financialbodyleft"/>
              <w:spacing w:before="20" w:after="60"/>
              <w:ind w:left="141" w:right="145"/>
              <w:rPr>
                <w:rFonts w:ascii="Arial" w:hAnsi="Arial" w:cs="Arial"/>
                <w:color w:val="auto"/>
                <w:sz w:val="16"/>
                <w:szCs w:val="16"/>
                <w:lang w:val="en-AU"/>
              </w:rPr>
            </w:pPr>
            <w:r w:rsidRPr="00196BB6">
              <w:rPr>
                <w:rFonts w:ascii="Arial" w:hAnsi="Arial" w:cs="Arial"/>
                <w:color w:val="auto"/>
                <w:sz w:val="16"/>
                <w:szCs w:val="16"/>
                <w:lang w:val="en-AU"/>
              </w:rPr>
              <w:t>Annual performance statements</w:t>
            </w:r>
          </w:p>
        </w:tc>
        <w:tc>
          <w:tcPr>
            <w:tcW w:w="850" w:type="dxa"/>
            <w:vAlign w:val="center"/>
          </w:tcPr>
          <w:p w14:paraId="1D6C312E" w14:textId="252C467B" w:rsidR="00E50A80" w:rsidRPr="00196BB6" w:rsidRDefault="003A2601" w:rsidP="00ED2732">
            <w:pPr>
              <w:pStyle w:val="Financialbodyleft"/>
              <w:spacing w:before="20" w:after="60"/>
              <w:ind w:left="137"/>
              <w:rPr>
                <w:rStyle w:val="Hyperlink"/>
                <w:rFonts w:ascii="Arial" w:hAnsi="Arial" w:cs="Arial"/>
                <w:color w:val="auto"/>
                <w:sz w:val="16"/>
                <w:szCs w:val="16"/>
                <w:u w:val="none"/>
                <w:lang w:val="en-AU"/>
              </w:rPr>
            </w:pPr>
            <w:r>
              <w:rPr>
                <w:rStyle w:val="Hyperlink"/>
                <w:rFonts w:ascii="Arial" w:hAnsi="Arial" w:cs="Arial"/>
                <w:color w:val="auto"/>
                <w:sz w:val="16"/>
                <w:szCs w:val="16"/>
                <w:u w:val="none"/>
                <w:lang w:val="en-AU"/>
              </w:rPr>
              <w:t>50-71</w:t>
            </w:r>
          </w:p>
        </w:tc>
        <w:tc>
          <w:tcPr>
            <w:tcW w:w="4400" w:type="dxa"/>
            <w:vAlign w:val="center"/>
          </w:tcPr>
          <w:p w14:paraId="5AA7815C" w14:textId="77777777" w:rsidR="00E50A80" w:rsidRPr="00196BB6" w:rsidRDefault="00E50A80" w:rsidP="00ED2732">
            <w:pPr>
              <w:pStyle w:val="TableBodyleftFinancials"/>
              <w:spacing w:before="20" w:after="60" w:line="259" w:lineRule="auto"/>
              <w:ind w:left="84"/>
              <w:rPr>
                <w:rFonts w:ascii="Arial" w:hAnsi="Arial" w:cs="Arial"/>
                <w:color w:val="auto"/>
                <w:sz w:val="16"/>
                <w:szCs w:val="16"/>
              </w:rPr>
            </w:pPr>
            <w:r w:rsidRPr="00196BB6">
              <w:rPr>
                <w:rFonts w:ascii="Arial" w:hAnsi="Arial" w:cs="Arial"/>
                <w:color w:val="auto"/>
                <w:sz w:val="16"/>
                <w:szCs w:val="16"/>
              </w:rPr>
              <w:t>Annual performance statements in accordance with paragraph 39(1)(b) of the PGPA Act and section 16F of the rule.</w:t>
            </w:r>
          </w:p>
        </w:tc>
        <w:tc>
          <w:tcPr>
            <w:tcW w:w="1412" w:type="dxa"/>
            <w:vAlign w:val="center"/>
          </w:tcPr>
          <w:p w14:paraId="671A837B" w14:textId="77777777" w:rsidR="00E50A80" w:rsidRPr="00196BB6" w:rsidRDefault="00E50A80" w:rsidP="00ED2732">
            <w:pPr>
              <w:pStyle w:val="Financialbodyleft"/>
              <w:spacing w:before="20" w:after="60"/>
              <w:ind w:left="85"/>
              <w:rPr>
                <w:rFonts w:ascii="Arial" w:hAnsi="Arial" w:cs="Arial"/>
                <w:color w:val="auto"/>
                <w:sz w:val="16"/>
                <w:szCs w:val="16"/>
                <w:lang w:val="en-AU"/>
              </w:rPr>
            </w:pPr>
            <w:r w:rsidRPr="00196BB6">
              <w:rPr>
                <w:rFonts w:ascii="Arial" w:hAnsi="Arial" w:cs="Arial"/>
                <w:color w:val="auto"/>
                <w:sz w:val="16"/>
                <w:szCs w:val="16"/>
                <w:lang w:val="en-AU"/>
              </w:rPr>
              <w:t>Mandatory</w:t>
            </w:r>
          </w:p>
        </w:tc>
      </w:tr>
      <w:tr w:rsidR="00E50A80" w:rsidRPr="00E214FE" w14:paraId="51603F60"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612581C7" w14:textId="77777777" w:rsidR="00E50A80" w:rsidRPr="00196BB6" w:rsidRDefault="00E50A80" w:rsidP="00ED2732">
            <w:pPr>
              <w:pStyle w:val="Financialbodyleft"/>
              <w:spacing w:before="20" w:after="60"/>
              <w:rPr>
                <w:rFonts w:ascii="Arial" w:hAnsi="Arial" w:cs="Arial"/>
                <w:color w:val="auto"/>
                <w:sz w:val="16"/>
                <w:szCs w:val="16"/>
                <w:lang w:val="en-AU"/>
              </w:rPr>
            </w:pPr>
            <w:r w:rsidRPr="00196BB6">
              <w:rPr>
                <w:rFonts w:ascii="Arial" w:hAnsi="Arial" w:cs="Arial"/>
                <w:color w:val="auto"/>
                <w:sz w:val="16"/>
                <w:szCs w:val="16"/>
                <w:lang w:val="en-AU"/>
              </w:rPr>
              <w:t>17BE(h), 17BE(i)</w:t>
            </w:r>
          </w:p>
        </w:tc>
        <w:tc>
          <w:tcPr>
            <w:tcW w:w="1843" w:type="dxa"/>
            <w:vAlign w:val="center"/>
          </w:tcPr>
          <w:p w14:paraId="76F08DA0" w14:textId="77777777" w:rsidR="00E50A80" w:rsidRPr="00196BB6" w:rsidRDefault="00E50A80" w:rsidP="00ED2732">
            <w:pPr>
              <w:pStyle w:val="Financialbodyleft"/>
              <w:spacing w:before="20" w:after="60"/>
              <w:ind w:left="141"/>
              <w:rPr>
                <w:rFonts w:ascii="Arial" w:hAnsi="Arial" w:cs="Arial"/>
                <w:color w:val="auto"/>
                <w:sz w:val="16"/>
                <w:szCs w:val="16"/>
                <w:lang w:val="en-AU"/>
              </w:rPr>
            </w:pPr>
            <w:r w:rsidRPr="00196BB6">
              <w:rPr>
                <w:rFonts w:ascii="Arial" w:hAnsi="Arial" w:cs="Arial"/>
                <w:color w:val="auto"/>
                <w:sz w:val="16"/>
                <w:szCs w:val="16"/>
                <w:lang w:val="en-AU"/>
              </w:rPr>
              <w:t>Not applicable</w:t>
            </w:r>
          </w:p>
        </w:tc>
        <w:tc>
          <w:tcPr>
            <w:tcW w:w="850" w:type="dxa"/>
            <w:vAlign w:val="center"/>
          </w:tcPr>
          <w:p w14:paraId="05762745" w14:textId="77777777" w:rsidR="00E50A80" w:rsidRPr="00196BB6" w:rsidRDefault="00E50A80" w:rsidP="00ED2732">
            <w:pPr>
              <w:pStyle w:val="Financialbodyleft"/>
              <w:spacing w:before="20" w:after="60"/>
              <w:ind w:left="137"/>
              <w:rPr>
                <w:rStyle w:val="Hyperlink"/>
                <w:rFonts w:ascii="Arial" w:hAnsi="Arial" w:cs="Arial"/>
                <w:color w:val="auto"/>
                <w:sz w:val="16"/>
                <w:szCs w:val="16"/>
                <w:u w:val="none"/>
                <w:lang w:val="en-AU"/>
              </w:rPr>
            </w:pPr>
            <w:r w:rsidRPr="00196BB6">
              <w:rPr>
                <w:rStyle w:val="Hyperlink"/>
                <w:rFonts w:ascii="Arial" w:hAnsi="Arial" w:cs="Arial"/>
                <w:color w:val="auto"/>
                <w:sz w:val="16"/>
                <w:szCs w:val="16"/>
                <w:u w:val="none"/>
                <w:lang w:val="en-AU"/>
              </w:rPr>
              <w:t>-</w:t>
            </w:r>
          </w:p>
        </w:tc>
        <w:tc>
          <w:tcPr>
            <w:tcW w:w="4400" w:type="dxa"/>
            <w:vAlign w:val="center"/>
          </w:tcPr>
          <w:p w14:paraId="20CD2429" w14:textId="77777777" w:rsidR="00E50A80" w:rsidRPr="00196BB6" w:rsidRDefault="00E50A80" w:rsidP="00ED2732">
            <w:pPr>
              <w:pStyle w:val="TableBodyleftFinancials"/>
              <w:spacing w:before="20" w:after="60" w:line="259" w:lineRule="auto"/>
              <w:ind w:left="84"/>
              <w:rPr>
                <w:rFonts w:ascii="Arial" w:hAnsi="Arial" w:cs="Arial"/>
                <w:color w:val="auto"/>
                <w:sz w:val="16"/>
                <w:szCs w:val="16"/>
              </w:rPr>
            </w:pPr>
            <w:r w:rsidRPr="00196BB6">
              <w:rPr>
                <w:rFonts w:ascii="Arial" w:hAnsi="Arial" w:cs="Arial"/>
                <w:color w:val="auto"/>
                <w:sz w:val="16"/>
                <w:szCs w:val="16"/>
              </w:rPr>
              <w:t xml:space="preserve">A statement of significant issues reported to the </w:t>
            </w:r>
            <w:r>
              <w:rPr>
                <w:rFonts w:ascii="Arial" w:hAnsi="Arial" w:cs="Arial"/>
                <w:color w:val="auto"/>
                <w:sz w:val="16"/>
                <w:szCs w:val="16"/>
              </w:rPr>
              <w:t>m</w:t>
            </w:r>
            <w:r w:rsidRPr="00196BB6">
              <w:rPr>
                <w:rFonts w:ascii="Arial" w:hAnsi="Arial" w:cs="Arial"/>
                <w:color w:val="auto"/>
                <w:sz w:val="16"/>
                <w:szCs w:val="16"/>
              </w:rPr>
              <w:t>inister under paragraph 19(1)(e) of the PGPA Act that relates to non-compliance with finance law and action taken to remedy non-compliance.</w:t>
            </w:r>
          </w:p>
        </w:tc>
        <w:tc>
          <w:tcPr>
            <w:tcW w:w="1412" w:type="dxa"/>
            <w:vAlign w:val="center"/>
          </w:tcPr>
          <w:p w14:paraId="78F1052B" w14:textId="77777777" w:rsidR="00E50A80" w:rsidRPr="00196BB6" w:rsidRDefault="00E50A80" w:rsidP="00ED2732">
            <w:pPr>
              <w:pStyle w:val="Financialbodyleft"/>
              <w:spacing w:before="20" w:after="60"/>
              <w:ind w:left="85"/>
              <w:rPr>
                <w:rFonts w:ascii="Arial" w:hAnsi="Arial" w:cs="Arial"/>
                <w:color w:val="auto"/>
                <w:sz w:val="16"/>
                <w:szCs w:val="16"/>
                <w:lang w:val="en-AU"/>
              </w:rPr>
            </w:pPr>
            <w:r w:rsidRPr="00196BB6">
              <w:rPr>
                <w:rFonts w:ascii="Arial" w:hAnsi="Arial" w:cs="Arial"/>
                <w:color w:val="auto"/>
                <w:sz w:val="16"/>
                <w:szCs w:val="16"/>
                <w:lang w:val="en-AU"/>
              </w:rPr>
              <w:t>If applicable, mandatory</w:t>
            </w:r>
          </w:p>
        </w:tc>
      </w:tr>
      <w:tr w:rsidR="00E50A80" w:rsidRPr="00E214FE" w14:paraId="4919046A"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746C3058" w14:textId="77777777" w:rsidR="00E50A80" w:rsidRPr="00196BB6" w:rsidRDefault="00E50A80" w:rsidP="00ED2732">
            <w:pPr>
              <w:pStyle w:val="Financialbodyleft"/>
              <w:spacing w:before="20" w:after="60"/>
              <w:rPr>
                <w:rFonts w:ascii="Arial" w:hAnsi="Arial" w:cs="Arial"/>
                <w:color w:val="auto"/>
                <w:sz w:val="16"/>
                <w:szCs w:val="16"/>
                <w:lang w:val="en-AU"/>
              </w:rPr>
            </w:pPr>
            <w:r w:rsidRPr="00196BB6">
              <w:rPr>
                <w:rFonts w:ascii="Arial" w:hAnsi="Arial" w:cs="Arial"/>
                <w:color w:val="auto"/>
                <w:sz w:val="16"/>
                <w:szCs w:val="16"/>
                <w:lang w:val="en-AU"/>
              </w:rPr>
              <w:t>17BE(j)</w:t>
            </w:r>
          </w:p>
        </w:tc>
        <w:tc>
          <w:tcPr>
            <w:tcW w:w="1843" w:type="dxa"/>
            <w:vAlign w:val="center"/>
          </w:tcPr>
          <w:p w14:paraId="7587A470" w14:textId="77777777" w:rsidR="00E50A80" w:rsidRPr="00196BB6" w:rsidRDefault="00E50A80" w:rsidP="00ED2732">
            <w:pPr>
              <w:pStyle w:val="Financialbodyleft"/>
              <w:spacing w:before="20" w:after="60"/>
              <w:ind w:left="141" w:firstLine="1"/>
              <w:rPr>
                <w:rFonts w:ascii="Arial" w:hAnsi="Arial" w:cs="Arial"/>
                <w:color w:val="auto"/>
                <w:sz w:val="16"/>
                <w:szCs w:val="16"/>
                <w:lang w:val="en-AU"/>
              </w:rPr>
            </w:pPr>
            <w:r w:rsidRPr="00196BB6">
              <w:rPr>
                <w:rFonts w:ascii="Arial" w:hAnsi="Arial" w:cs="Arial"/>
                <w:color w:val="auto"/>
                <w:sz w:val="16"/>
                <w:szCs w:val="16"/>
                <w:lang w:val="en-AU"/>
              </w:rPr>
              <w:t>Approval by accountable authority</w:t>
            </w:r>
          </w:p>
        </w:tc>
        <w:tc>
          <w:tcPr>
            <w:tcW w:w="850" w:type="dxa"/>
            <w:vAlign w:val="center"/>
          </w:tcPr>
          <w:p w14:paraId="6FBC6248" w14:textId="309F7CEB" w:rsidR="00E50A80" w:rsidRPr="00196BB6" w:rsidRDefault="00206CD4" w:rsidP="00ED2732">
            <w:pPr>
              <w:pStyle w:val="Financialbodyleft"/>
              <w:spacing w:before="20" w:after="60"/>
              <w:ind w:left="137"/>
              <w:rPr>
                <w:rStyle w:val="Hyperlink"/>
                <w:rFonts w:ascii="Arial" w:hAnsi="Arial" w:cs="Arial"/>
                <w:color w:val="auto"/>
                <w:sz w:val="16"/>
                <w:szCs w:val="16"/>
                <w:u w:val="none"/>
                <w:lang w:val="en-AU"/>
              </w:rPr>
            </w:pPr>
            <w:r>
              <w:rPr>
                <w:rStyle w:val="Hyperlink"/>
                <w:rFonts w:ascii="Arial" w:hAnsi="Arial" w:cs="Arial"/>
                <w:color w:val="auto"/>
                <w:sz w:val="16"/>
                <w:szCs w:val="16"/>
                <w:u w:val="none"/>
                <w:lang w:val="en-AU"/>
              </w:rPr>
              <w:t>4</w:t>
            </w:r>
          </w:p>
        </w:tc>
        <w:tc>
          <w:tcPr>
            <w:tcW w:w="4400" w:type="dxa"/>
            <w:vAlign w:val="center"/>
          </w:tcPr>
          <w:p w14:paraId="29135F44" w14:textId="77777777" w:rsidR="00E50A80" w:rsidRPr="00196BB6" w:rsidRDefault="00E50A80" w:rsidP="00ED2732">
            <w:pPr>
              <w:pStyle w:val="TableBodyleftFinancials"/>
              <w:spacing w:before="20" w:after="60" w:line="259" w:lineRule="auto"/>
              <w:ind w:left="84"/>
              <w:rPr>
                <w:rFonts w:ascii="Arial" w:hAnsi="Arial" w:cs="Arial"/>
                <w:color w:val="auto"/>
                <w:sz w:val="16"/>
                <w:szCs w:val="16"/>
              </w:rPr>
            </w:pPr>
            <w:r w:rsidRPr="00196BB6">
              <w:rPr>
                <w:rFonts w:ascii="Arial" w:hAnsi="Arial" w:cs="Arial"/>
                <w:color w:val="auto"/>
                <w:sz w:val="16"/>
                <w:szCs w:val="16"/>
              </w:rPr>
              <w:t>Information on the accountable authority, or each member of the accountable authority, of the entity during the reporting period.</w:t>
            </w:r>
          </w:p>
        </w:tc>
        <w:tc>
          <w:tcPr>
            <w:tcW w:w="1412" w:type="dxa"/>
            <w:vAlign w:val="center"/>
          </w:tcPr>
          <w:p w14:paraId="673A77F6" w14:textId="77777777" w:rsidR="00E50A80" w:rsidRPr="00196BB6" w:rsidRDefault="00E50A80" w:rsidP="00ED2732">
            <w:pPr>
              <w:pStyle w:val="Financialbodyleft"/>
              <w:spacing w:before="20" w:after="60"/>
              <w:ind w:left="85"/>
              <w:rPr>
                <w:rFonts w:ascii="Arial" w:hAnsi="Arial" w:cs="Arial"/>
                <w:color w:val="auto"/>
                <w:sz w:val="16"/>
                <w:szCs w:val="16"/>
                <w:lang w:val="en-AU"/>
              </w:rPr>
            </w:pPr>
            <w:r w:rsidRPr="00196BB6">
              <w:rPr>
                <w:rFonts w:ascii="Arial" w:hAnsi="Arial" w:cs="Arial"/>
                <w:color w:val="auto"/>
                <w:sz w:val="16"/>
                <w:szCs w:val="16"/>
                <w:lang w:val="en-AU"/>
              </w:rPr>
              <w:t>Mandatory</w:t>
            </w:r>
          </w:p>
        </w:tc>
      </w:tr>
      <w:tr w:rsidR="00E50A80" w:rsidRPr="00E214FE" w14:paraId="7A4932D0"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5FCB2D7F" w14:textId="77777777" w:rsidR="00E50A80" w:rsidRPr="007A2210" w:rsidRDefault="00E50A80" w:rsidP="00ED2732">
            <w:pPr>
              <w:pStyle w:val="Financialbodyleft"/>
              <w:spacing w:before="20" w:after="60"/>
              <w:rPr>
                <w:rFonts w:ascii="Arial" w:hAnsi="Arial" w:cs="Arial"/>
                <w:color w:val="auto"/>
                <w:sz w:val="16"/>
                <w:szCs w:val="16"/>
                <w:lang w:val="en-AU"/>
              </w:rPr>
            </w:pPr>
            <w:r w:rsidRPr="007A2210">
              <w:rPr>
                <w:rFonts w:ascii="Arial" w:hAnsi="Arial" w:cs="Arial"/>
                <w:color w:val="auto"/>
                <w:sz w:val="16"/>
                <w:szCs w:val="16"/>
                <w:lang w:val="en-AU"/>
              </w:rPr>
              <w:t>17BE(k)</w:t>
            </w:r>
          </w:p>
        </w:tc>
        <w:tc>
          <w:tcPr>
            <w:tcW w:w="1843" w:type="dxa"/>
            <w:vAlign w:val="center"/>
          </w:tcPr>
          <w:p w14:paraId="109D5CEC" w14:textId="77777777" w:rsidR="00E50A80" w:rsidRPr="007A2210" w:rsidRDefault="00E50A80" w:rsidP="00ED2732">
            <w:pPr>
              <w:pStyle w:val="Financialbodyleft"/>
              <w:spacing w:before="20" w:after="60"/>
              <w:ind w:left="141" w:firstLine="1"/>
              <w:rPr>
                <w:rFonts w:ascii="Arial" w:hAnsi="Arial" w:cs="Arial"/>
                <w:color w:val="auto"/>
                <w:sz w:val="16"/>
                <w:szCs w:val="16"/>
                <w:lang w:val="en-AU"/>
              </w:rPr>
            </w:pPr>
            <w:r w:rsidRPr="007A2210">
              <w:rPr>
                <w:rFonts w:ascii="Arial" w:hAnsi="Arial" w:cs="Arial"/>
                <w:color w:val="auto"/>
                <w:sz w:val="16"/>
                <w:szCs w:val="16"/>
                <w:lang w:val="en-AU"/>
              </w:rPr>
              <w:t>Organisational structure</w:t>
            </w:r>
          </w:p>
        </w:tc>
        <w:tc>
          <w:tcPr>
            <w:tcW w:w="850" w:type="dxa"/>
            <w:vAlign w:val="center"/>
          </w:tcPr>
          <w:p w14:paraId="00027FE9" w14:textId="09660560" w:rsidR="00E50A80" w:rsidRPr="007A2210" w:rsidRDefault="00E50A80" w:rsidP="00ED2732">
            <w:pPr>
              <w:pStyle w:val="Financialbodyleft"/>
              <w:spacing w:before="20" w:after="60"/>
              <w:ind w:left="137"/>
              <w:rPr>
                <w:rStyle w:val="Hyperlink"/>
                <w:rFonts w:ascii="Arial" w:hAnsi="Arial" w:cs="Arial"/>
                <w:color w:val="auto"/>
                <w:sz w:val="16"/>
                <w:szCs w:val="16"/>
                <w:u w:val="none"/>
                <w:lang w:val="en-AU"/>
              </w:rPr>
            </w:pPr>
            <w:r>
              <w:rPr>
                <w:rStyle w:val="Hyperlink"/>
                <w:rFonts w:ascii="Arial" w:hAnsi="Arial" w:cs="Arial"/>
                <w:color w:val="auto"/>
                <w:sz w:val="16"/>
                <w:szCs w:val="16"/>
                <w:u w:val="none"/>
                <w:lang w:val="en-AU"/>
              </w:rPr>
              <w:t>2</w:t>
            </w:r>
            <w:r w:rsidR="00206CD4">
              <w:rPr>
                <w:rStyle w:val="Hyperlink"/>
                <w:rFonts w:ascii="Arial" w:hAnsi="Arial" w:cs="Arial"/>
                <w:color w:val="auto"/>
                <w:sz w:val="16"/>
                <w:szCs w:val="16"/>
                <w:u w:val="none"/>
                <w:lang w:val="en-AU"/>
              </w:rPr>
              <w:t>4</w:t>
            </w:r>
          </w:p>
        </w:tc>
        <w:tc>
          <w:tcPr>
            <w:tcW w:w="4400" w:type="dxa"/>
            <w:vAlign w:val="center"/>
          </w:tcPr>
          <w:p w14:paraId="7AF1CDA1" w14:textId="77777777" w:rsidR="00E50A80" w:rsidRPr="007A2210" w:rsidRDefault="00E50A80" w:rsidP="00ED2732">
            <w:pPr>
              <w:pStyle w:val="TableBodyleftFinancials"/>
              <w:spacing w:before="20" w:after="60" w:line="259" w:lineRule="auto"/>
              <w:ind w:left="84"/>
              <w:rPr>
                <w:rFonts w:ascii="Arial" w:hAnsi="Arial" w:cs="Arial"/>
                <w:color w:val="auto"/>
                <w:sz w:val="16"/>
                <w:szCs w:val="16"/>
              </w:rPr>
            </w:pPr>
            <w:r w:rsidRPr="007A2210">
              <w:rPr>
                <w:rFonts w:ascii="Arial" w:hAnsi="Arial" w:cs="Arial"/>
                <w:color w:val="auto"/>
                <w:sz w:val="16"/>
                <w:szCs w:val="16"/>
              </w:rPr>
              <w:t>Outline of the organisational structure of the entity</w:t>
            </w:r>
            <w:r>
              <w:rPr>
                <w:rFonts w:ascii="Arial" w:hAnsi="Arial" w:cs="Arial"/>
                <w:color w:val="auto"/>
                <w:sz w:val="16"/>
                <w:szCs w:val="16"/>
              </w:rPr>
              <w:t>,</w:t>
            </w:r>
            <w:r w:rsidRPr="007A2210">
              <w:rPr>
                <w:rFonts w:ascii="Arial" w:hAnsi="Arial" w:cs="Arial"/>
                <w:color w:val="auto"/>
                <w:sz w:val="16"/>
                <w:szCs w:val="16"/>
              </w:rPr>
              <w:t xml:space="preserve"> including any subsidiaries of the entity.</w:t>
            </w:r>
          </w:p>
        </w:tc>
        <w:tc>
          <w:tcPr>
            <w:tcW w:w="1412" w:type="dxa"/>
            <w:vAlign w:val="center"/>
          </w:tcPr>
          <w:p w14:paraId="296A9E57" w14:textId="77777777" w:rsidR="00E50A80" w:rsidRPr="007A2210" w:rsidRDefault="00E50A80" w:rsidP="00ED2732">
            <w:pPr>
              <w:pStyle w:val="Financialbodyleft"/>
              <w:spacing w:before="20" w:after="60"/>
              <w:ind w:left="85"/>
              <w:rPr>
                <w:rFonts w:ascii="Arial" w:hAnsi="Arial" w:cs="Arial"/>
                <w:color w:val="auto"/>
                <w:sz w:val="16"/>
                <w:szCs w:val="16"/>
                <w:lang w:val="en-AU"/>
              </w:rPr>
            </w:pPr>
            <w:r w:rsidRPr="007A2210">
              <w:rPr>
                <w:rFonts w:ascii="Arial" w:hAnsi="Arial" w:cs="Arial"/>
                <w:color w:val="auto"/>
                <w:sz w:val="16"/>
                <w:szCs w:val="16"/>
                <w:lang w:val="en-AU"/>
              </w:rPr>
              <w:t>Mandatory</w:t>
            </w:r>
          </w:p>
        </w:tc>
      </w:tr>
      <w:tr w:rsidR="00E50A80" w:rsidRPr="00E214FE" w14:paraId="27334D8A"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652F5324"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17BE(ka)</w:t>
            </w:r>
          </w:p>
        </w:tc>
        <w:tc>
          <w:tcPr>
            <w:tcW w:w="1843" w:type="dxa"/>
            <w:vAlign w:val="center"/>
          </w:tcPr>
          <w:p w14:paraId="63957666" w14:textId="77777777" w:rsidR="00E50A80" w:rsidRPr="00A24F78" w:rsidRDefault="00E50A80" w:rsidP="00ED2732">
            <w:pPr>
              <w:pStyle w:val="Financialbodyleft"/>
              <w:spacing w:before="20" w:after="60"/>
              <w:ind w:left="141" w:right="286" w:firstLine="1"/>
              <w:rPr>
                <w:rFonts w:ascii="Arial" w:hAnsi="Arial" w:cs="Arial"/>
                <w:color w:val="auto"/>
                <w:sz w:val="16"/>
                <w:szCs w:val="16"/>
                <w:lang w:val="en-AU"/>
              </w:rPr>
            </w:pPr>
            <w:r w:rsidRPr="00A24F78">
              <w:rPr>
                <w:rFonts w:ascii="Arial" w:hAnsi="Arial" w:cs="Arial"/>
                <w:color w:val="auto"/>
                <w:sz w:val="16"/>
                <w:szCs w:val="16"/>
                <w:lang w:val="en-AU"/>
              </w:rPr>
              <w:t xml:space="preserve">Appendix C – IHACPA workforce statistics </w:t>
            </w:r>
          </w:p>
        </w:tc>
        <w:tc>
          <w:tcPr>
            <w:tcW w:w="850" w:type="dxa"/>
            <w:vAlign w:val="center"/>
          </w:tcPr>
          <w:p w14:paraId="77EC1D97" w14:textId="15A9D52F" w:rsidR="00E50A80" w:rsidRPr="00A24F78" w:rsidRDefault="00206CD4" w:rsidP="00ED2732">
            <w:pPr>
              <w:pStyle w:val="Financialbodyleft"/>
              <w:spacing w:before="20" w:after="60"/>
              <w:ind w:left="137"/>
              <w:rPr>
                <w:rStyle w:val="Hyperlink"/>
                <w:rFonts w:ascii="Arial" w:hAnsi="Arial" w:cs="Arial"/>
                <w:color w:val="auto"/>
                <w:sz w:val="16"/>
                <w:szCs w:val="16"/>
                <w:u w:val="none"/>
                <w:lang w:val="en-AU"/>
              </w:rPr>
            </w:pPr>
            <w:r>
              <w:rPr>
                <w:rStyle w:val="Hyperlink"/>
                <w:rFonts w:ascii="Arial" w:hAnsi="Arial" w:cs="Arial"/>
                <w:color w:val="auto"/>
                <w:sz w:val="16"/>
                <w:szCs w:val="16"/>
                <w:u w:val="none"/>
                <w:lang w:val="en-AU"/>
              </w:rPr>
              <w:t>103-107</w:t>
            </w:r>
          </w:p>
        </w:tc>
        <w:tc>
          <w:tcPr>
            <w:tcW w:w="4400" w:type="dxa"/>
            <w:vAlign w:val="center"/>
          </w:tcPr>
          <w:p w14:paraId="38381155"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Statistics on the entity’s employees on an ongoing and non-ongoing basis, including the following:</w:t>
            </w:r>
          </w:p>
          <w:p w14:paraId="59FDBDDF" w14:textId="77777777" w:rsidR="00E50A80" w:rsidRPr="00A24F78" w:rsidRDefault="00E50A80" w:rsidP="00ED2732">
            <w:pPr>
              <w:pStyle w:val="TableBodyLeft-AlphaFinancials"/>
              <w:numPr>
                <w:ilvl w:val="0"/>
                <w:numId w:val="31"/>
              </w:numPr>
              <w:spacing w:before="20" w:after="60" w:line="259" w:lineRule="auto"/>
              <w:ind w:left="365" w:hanging="284"/>
              <w:rPr>
                <w:rFonts w:ascii="Arial" w:hAnsi="Arial" w:cs="Arial"/>
                <w:color w:val="auto"/>
                <w:sz w:val="16"/>
                <w:szCs w:val="16"/>
              </w:rPr>
            </w:pPr>
            <w:r w:rsidRPr="00A24F78">
              <w:rPr>
                <w:rFonts w:ascii="Arial" w:hAnsi="Arial" w:cs="Arial"/>
                <w:color w:val="auto"/>
                <w:sz w:val="16"/>
                <w:szCs w:val="16"/>
              </w:rPr>
              <w:t>statistics on full-time employees</w:t>
            </w:r>
          </w:p>
          <w:p w14:paraId="766A059A" w14:textId="77777777" w:rsidR="00E50A80" w:rsidRPr="00A24F78" w:rsidRDefault="00E50A80" w:rsidP="00ED2732">
            <w:pPr>
              <w:pStyle w:val="TableBodyLeft-AlphaFinancials"/>
              <w:numPr>
                <w:ilvl w:val="0"/>
                <w:numId w:val="31"/>
              </w:numPr>
              <w:spacing w:before="20" w:after="60" w:line="259" w:lineRule="auto"/>
              <w:ind w:left="365" w:hanging="284"/>
              <w:rPr>
                <w:rFonts w:ascii="Arial" w:hAnsi="Arial" w:cs="Arial"/>
                <w:color w:val="auto"/>
                <w:sz w:val="16"/>
                <w:szCs w:val="16"/>
              </w:rPr>
            </w:pPr>
            <w:r w:rsidRPr="00A24F78">
              <w:rPr>
                <w:rFonts w:ascii="Arial" w:hAnsi="Arial" w:cs="Arial"/>
                <w:color w:val="auto"/>
                <w:sz w:val="16"/>
                <w:szCs w:val="16"/>
              </w:rPr>
              <w:t>statistics on part-time employees</w:t>
            </w:r>
          </w:p>
          <w:p w14:paraId="5C65CCDF" w14:textId="77777777" w:rsidR="00E50A80" w:rsidRPr="00A24F78" w:rsidRDefault="00E50A80" w:rsidP="00ED2732">
            <w:pPr>
              <w:pStyle w:val="TableBodyLeft-AlphaFinancials"/>
              <w:numPr>
                <w:ilvl w:val="0"/>
                <w:numId w:val="31"/>
              </w:numPr>
              <w:spacing w:before="20" w:after="60" w:line="259" w:lineRule="auto"/>
              <w:ind w:left="365" w:hanging="284"/>
              <w:rPr>
                <w:rFonts w:ascii="Arial" w:hAnsi="Arial" w:cs="Arial"/>
                <w:color w:val="auto"/>
                <w:sz w:val="16"/>
                <w:szCs w:val="16"/>
              </w:rPr>
            </w:pPr>
            <w:r w:rsidRPr="00A24F78">
              <w:rPr>
                <w:rFonts w:ascii="Arial" w:hAnsi="Arial" w:cs="Arial"/>
                <w:color w:val="auto"/>
                <w:sz w:val="16"/>
                <w:szCs w:val="16"/>
              </w:rPr>
              <w:t>statistics on gender</w:t>
            </w:r>
          </w:p>
          <w:p w14:paraId="48715E74" w14:textId="77777777" w:rsidR="00E50A80" w:rsidRPr="00A24F78" w:rsidRDefault="00E50A80" w:rsidP="00ED2732">
            <w:pPr>
              <w:pStyle w:val="TableBodyleftFinancials"/>
              <w:numPr>
                <w:ilvl w:val="0"/>
                <w:numId w:val="31"/>
              </w:numPr>
              <w:spacing w:before="20" w:after="60" w:line="259" w:lineRule="auto"/>
              <w:ind w:left="365" w:hanging="284"/>
              <w:rPr>
                <w:rFonts w:ascii="Arial" w:hAnsi="Arial" w:cs="Arial"/>
                <w:color w:val="auto"/>
                <w:sz w:val="16"/>
                <w:szCs w:val="16"/>
              </w:rPr>
            </w:pPr>
            <w:r w:rsidRPr="00A24F78">
              <w:rPr>
                <w:rFonts w:ascii="Arial" w:hAnsi="Arial" w:cs="Arial"/>
                <w:color w:val="auto"/>
                <w:sz w:val="16"/>
                <w:szCs w:val="16"/>
              </w:rPr>
              <w:t>statistics on staff location.</w:t>
            </w:r>
          </w:p>
        </w:tc>
        <w:tc>
          <w:tcPr>
            <w:tcW w:w="1412" w:type="dxa"/>
            <w:vAlign w:val="center"/>
          </w:tcPr>
          <w:p w14:paraId="40416102"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Mandatory</w:t>
            </w:r>
          </w:p>
        </w:tc>
      </w:tr>
      <w:tr w:rsidR="00E50A80" w:rsidRPr="00E214FE" w14:paraId="308A3433"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7632695E"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17BE(l)</w:t>
            </w:r>
          </w:p>
        </w:tc>
        <w:tc>
          <w:tcPr>
            <w:tcW w:w="1843" w:type="dxa"/>
            <w:vAlign w:val="center"/>
          </w:tcPr>
          <w:p w14:paraId="07012ADF"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Organisational structure</w:t>
            </w:r>
          </w:p>
        </w:tc>
        <w:tc>
          <w:tcPr>
            <w:tcW w:w="850" w:type="dxa"/>
            <w:vAlign w:val="center"/>
          </w:tcPr>
          <w:p w14:paraId="52D659E5" w14:textId="0FBD25C6"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Pr>
                <w:rStyle w:val="Hyperlink"/>
                <w:rFonts w:ascii="Arial" w:hAnsi="Arial" w:cs="Arial"/>
                <w:color w:val="auto"/>
                <w:sz w:val="16"/>
                <w:szCs w:val="16"/>
                <w:u w:val="none"/>
                <w:lang w:val="en-AU"/>
              </w:rPr>
              <w:t>2</w:t>
            </w:r>
            <w:r w:rsidR="00CD5295">
              <w:rPr>
                <w:rStyle w:val="Hyperlink"/>
                <w:rFonts w:ascii="Arial" w:hAnsi="Arial" w:cs="Arial"/>
                <w:color w:val="auto"/>
                <w:sz w:val="16"/>
                <w:szCs w:val="16"/>
                <w:u w:val="none"/>
                <w:lang w:val="en-AU"/>
              </w:rPr>
              <w:t>4</w:t>
            </w:r>
          </w:p>
        </w:tc>
        <w:tc>
          <w:tcPr>
            <w:tcW w:w="4400" w:type="dxa"/>
            <w:vAlign w:val="center"/>
          </w:tcPr>
          <w:p w14:paraId="04437877"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Outline of the location</w:t>
            </w:r>
            <w:r>
              <w:rPr>
                <w:rFonts w:ascii="Arial" w:hAnsi="Arial" w:cs="Arial"/>
                <w:color w:val="auto"/>
                <w:sz w:val="16"/>
                <w:szCs w:val="16"/>
              </w:rPr>
              <w:t>,</w:t>
            </w:r>
            <w:r w:rsidRPr="00A24F78">
              <w:rPr>
                <w:rFonts w:ascii="Arial" w:hAnsi="Arial" w:cs="Arial"/>
                <w:color w:val="auto"/>
                <w:sz w:val="16"/>
                <w:szCs w:val="16"/>
              </w:rPr>
              <w:t xml:space="preserve"> whether or not in Australia</w:t>
            </w:r>
            <w:r>
              <w:rPr>
                <w:rFonts w:ascii="Arial" w:hAnsi="Arial" w:cs="Arial"/>
                <w:color w:val="auto"/>
                <w:sz w:val="16"/>
                <w:szCs w:val="16"/>
              </w:rPr>
              <w:t>,</w:t>
            </w:r>
            <w:r w:rsidRPr="00A24F78">
              <w:rPr>
                <w:rFonts w:ascii="Arial" w:hAnsi="Arial" w:cs="Arial"/>
                <w:color w:val="auto"/>
                <w:sz w:val="16"/>
                <w:szCs w:val="16"/>
              </w:rPr>
              <w:t xml:space="preserve"> of major activities or facilities of the entity.</w:t>
            </w:r>
          </w:p>
        </w:tc>
        <w:tc>
          <w:tcPr>
            <w:tcW w:w="1412" w:type="dxa"/>
            <w:vAlign w:val="center"/>
          </w:tcPr>
          <w:p w14:paraId="2B7131A4"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Mandatory</w:t>
            </w:r>
          </w:p>
        </w:tc>
      </w:tr>
      <w:tr w:rsidR="00E50A80" w:rsidRPr="00E214FE" w14:paraId="5CECC9C4"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41015747"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lastRenderedPageBreak/>
              <w:t>17BE(m)</w:t>
            </w:r>
          </w:p>
        </w:tc>
        <w:tc>
          <w:tcPr>
            <w:tcW w:w="1843" w:type="dxa"/>
            <w:vAlign w:val="center"/>
          </w:tcPr>
          <w:p w14:paraId="6B7E14F5"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Key corporate governance practices</w:t>
            </w:r>
          </w:p>
        </w:tc>
        <w:tc>
          <w:tcPr>
            <w:tcW w:w="850" w:type="dxa"/>
            <w:vAlign w:val="center"/>
          </w:tcPr>
          <w:p w14:paraId="5EF6F6DC" w14:textId="099B5AB9"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Pr>
                <w:rStyle w:val="Hyperlink"/>
                <w:rFonts w:ascii="Arial" w:hAnsi="Arial" w:cs="Arial"/>
                <w:color w:val="auto"/>
                <w:sz w:val="16"/>
                <w:szCs w:val="16"/>
                <w:u w:val="none"/>
                <w:lang w:val="en-AU"/>
              </w:rPr>
              <w:t>4</w:t>
            </w:r>
            <w:r w:rsidR="00264184">
              <w:rPr>
                <w:rStyle w:val="Hyperlink"/>
                <w:rFonts w:ascii="Arial" w:hAnsi="Arial" w:cs="Arial"/>
                <w:color w:val="auto"/>
                <w:sz w:val="16"/>
                <w:szCs w:val="16"/>
                <w:u w:val="none"/>
                <w:lang w:val="en-AU"/>
              </w:rPr>
              <w:t>3</w:t>
            </w:r>
            <w:r>
              <w:rPr>
                <w:rStyle w:val="Hyperlink"/>
                <w:rFonts w:ascii="Arial" w:hAnsi="Arial" w:cs="Arial"/>
                <w:color w:val="auto"/>
                <w:sz w:val="16"/>
                <w:szCs w:val="16"/>
                <w:u w:val="none"/>
                <w:lang w:val="en-AU"/>
              </w:rPr>
              <w:t>-4</w:t>
            </w:r>
            <w:r w:rsidR="00264184">
              <w:rPr>
                <w:rStyle w:val="Hyperlink"/>
                <w:rFonts w:ascii="Arial" w:hAnsi="Arial" w:cs="Arial"/>
                <w:color w:val="auto"/>
                <w:sz w:val="16"/>
                <w:szCs w:val="16"/>
                <w:u w:val="none"/>
                <w:lang w:val="en-AU"/>
              </w:rPr>
              <w:t>8</w:t>
            </w:r>
          </w:p>
        </w:tc>
        <w:tc>
          <w:tcPr>
            <w:tcW w:w="4400" w:type="dxa"/>
            <w:vAlign w:val="center"/>
          </w:tcPr>
          <w:p w14:paraId="43693980"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Information relating to the main corporate governance practices used by the entity during the reporting period.</w:t>
            </w:r>
          </w:p>
        </w:tc>
        <w:tc>
          <w:tcPr>
            <w:tcW w:w="1412" w:type="dxa"/>
            <w:vAlign w:val="center"/>
          </w:tcPr>
          <w:p w14:paraId="36CFCCB3"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Mandatory</w:t>
            </w:r>
          </w:p>
        </w:tc>
      </w:tr>
      <w:tr w:rsidR="00E50A80" w:rsidRPr="00E214FE" w14:paraId="5A091F0C"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03053CC6"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17BE(n), 17BE(o)</w:t>
            </w:r>
          </w:p>
        </w:tc>
        <w:tc>
          <w:tcPr>
            <w:tcW w:w="1843" w:type="dxa"/>
            <w:vAlign w:val="center"/>
          </w:tcPr>
          <w:p w14:paraId="7AF91FDD"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Not applicable</w:t>
            </w:r>
          </w:p>
        </w:tc>
        <w:tc>
          <w:tcPr>
            <w:tcW w:w="850" w:type="dxa"/>
            <w:vAlign w:val="center"/>
          </w:tcPr>
          <w:p w14:paraId="42485A5F" w14:textId="77777777"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sidRPr="00A24F78">
              <w:rPr>
                <w:rStyle w:val="Hyperlink"/>
                <w:rFonts w:ascii="Arial" w:hAnsi="Arial" w:cs="Arial"/>
                <w:color w:val="auto"/>
                <w:sz w:val="16"/>
                <w:szCs w:val="16"/>
                <w:u w:val="none"/>
                <w:lang w:val="en-AU"/>
              </w:rPr>
              <w:t>-</w:t>
            </w:r>
          </w:p>
        </w:tc>
        <w:tc>
          <w:tcPr>
            <w:tcW w:w="4400" w:type="dxa"/>
            <w:vAlign w:val="center"/>
          </w:tcPr>
          <w:p w14:paraId="6CBFCD72"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For transactions with a related Commonwealth entity or related company where the value of the transaction, or if there is more than one transaction, the aggregate of those transactions, is more than $10,000 (inclusive of GST):</w:t>
            </w:r>
          </w:p>
          <w:p w14:paraId="15396D93" w14:textId="77777777" w:rsidR="00E50A80" w:rsidRPr="00A24F78" w:rsidRDefault="00E50A80" w:rsidP="00ED2732">
            <w:pPr>
              <w:pStyle w:val="Financialbodyleft"/>
              <w:numPr>
                <w:ilvl w:val="0"/>
                <w:numId w:val="34"/>
              </w:numPr>
              <w:spacing w:before="20" w:after="60"/>
              <w:ind w:left="365" w:hanging="284"/>
              <w:rPr>
                <w:rFonts w:ascii="Arial" w:hAnsi="Arial" w:cs="Arial"/>
                <w:color w:val="auto"/>
                <w:sz w:val="16"/>
                <w:szCs w:val="16"/>
                <w:lang w:val="en-AU"/>
              </w:rPr>
            </w:pPr>
            <w:r w:rsidRPr="00A24F78">
              <w:rPr>
                <w:rFonts w:ascii="Arial" w:hAnsi="Arial" w:cs="Arial"/>
                <w:color w:val="auto"/>
                <w:sz w:val="16"/>
                <w:szCs w:val="16"/>
                <w:lang w:val="en-AU"/>
              </w:rPr>
              <w:t>the decision-making process undertaken by the accountable authority to approve the entity paying for a good or service from, or providing a grant to, the related Commonwealth entity or related company, and</w:t>
            </w:r>
          </w:p>
          <w:p w14:paraId="572D6E40" w14:textId="77777777" w:rsidR="00E50A80" w:rsidRPr="00A24F78" w:rsidRDefault="00E50A80" w:rsidP="00ED2732">
            <w:pPr>
              <w:pStyle w:val="Financialbodyleft"/>
              <w:numPr>
                <w:ilvl w:val="0"/>
                <w:numId w:val="34"/>
              </w:numPr>
              <w:spacing w:before="20" w:after="60"/>
              <w:ind w:left="365" w:hanging="284"/>
              <w:rPr>
                <w:rFonts w:ascii="Arial" w:hAnsi="Arial" w:cs="Arial"/>
                <w:color w:val="auto"/>
                <w:sz w:val="16"/>
                <w:szCs w:val="16"/>
                <w:lang w:val="en-AU"/>
              </w:rPr>
            </w:pPr>
            <w:r w:rsidRPr="00A24F78">
              <w:rPr>
                <w:rFonts w:ascii="Arial" w:hAnsi="Arial" w:cs="Arial"/>
                <w:color w:val="auto"/>
                <w:sz w:val="16"/>
                <w:szCs w:val="16"/>
                <w:lang w:val="en-AU"/>
              </w:rPr>
              <w:t>the value of the transaction, or if there is more than one transaction, the number of transactions and the aggregate of value of the transactions.</w:t>
            </w:r>
          </w:p>
        </w:tc>
        <w:tc>
          <w:tcPr>
            <w:tcW w:w="1412" w:type="dxa"/>
            <w:vAlign w:val="center"/>
          </w:tcPr>
          <w:p w14:paraId="04EB82E4"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If applicable, mandatory</w:t>
            </w:r>
          </w:p>
        </w:tc>
      </w:tr>
      <w:tr w:rsidR="00E50A80" w:rsidRPr="00E214FE" w14:paraId="684755C3"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2AF8EE5F"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17BE(p)</w:t>
            </w:r>
          </w:p>
        </w:tc>
        <w:tc>
          <w:tcPr>
            <w:tcW w:w="1843" w:type="dxa"/>
            <w:vAlign w:val="center"/>
          </w:tcPr>
          <w:p w14:paraId="2ADD7247"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The National Health Reform Agreement 2026–31</w:t>
            </w:r>
          </w:p>
        </w:tc>
        <w:tc>
          <w:tcPr>
            <w:tcW w:w="850" w:type="dxa"/>
            <w:vAlign w:val="center"/>
          </w:tcPr>
          <w:p w14:paraId="0C75D760" w14:textId="5924E9F2"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Pr>
                <w:rStyle w:val="Hyperlink"/>
                <w:rFonts w:ascii="Arial" w:hAnsi="Arial" w:cs="Arial"/>
                <w:color w:val="auto"/>
                <w:sz w:val="16"/>
                <w:szCs w:val="16"/>
                <w:u w:val="none"/>
                <w:lang w:val="en-AU"/>
              </w:rPr>
              <w:t>1</w:t>
            </w:r>
            <w:r w:rsidR="00264184">
              <w:rPr>
                <w:rStyle w:val="Hyperlink"/>
                <w:rFonts w:ascii="Arial" w:hAnsi="Arial" w:cs="Arial"/>
                <w:color w:val="auto"/>
                <w:sz w:val="16"/>
                <w:szCs w:val="16"/>
                <w:u w:val="none"/>
                <w:lang w:val="en-AU"/>
              </w:rPr>
              <w:t>8</w:t>
            </w:r>
          </w:p>
        </w:tc>
        <w:tc>
          <w:tcPr>
            <w:tcW w:w="4400" w:type="dxa"/>
            <w:vAlign w:val="center"/>
          </w:tcPr>
          <w:p w14:paraId="1FD43F97"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Any significant activities and changes that affected the operation or structure of the entity during the reporting period.</w:t>
            </w:r>
          </w:p>
        </w:tc>
        <w:tc>
          <w:tcPr>
            <w:tcW w:w="1412" w:type="dxa"/>
            <w:vAlign w:val="center"/>
          </w:tcPr>
          <w:p w14:paraId="2C9842CC"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If applicable, mandatory</w:t>
            </w:r>
          </w:p>
        </w:tc>
      </w:tr>
      <w:tr w:rsidR="00E50A80" w:rsidRPr="00E214FE" w14:paraId="1F5E4B9E"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13B208E3"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17BE(q)</w:t>
            </w:r>
          </w:p>
        </w:tc>
        <w:tc>
          <w:tcPr>
            <w:tcW w:w="1843" w:type="dxa"/>
            <w:vAlign w:val="center"/>
          </w:tcPr>
          <w:p w14:paraId="300BA749"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Not applicable</w:t>
            </w:r>
          </w:p>
        </w:tc>
        <w:tc>
          <w:tcPr>
            <w:tcW w:w="850" w:type="dxa"/>
            <w:vAlign w:val="center"/>
          </w:tcPr>
          <w:p w14:paraId="4A1D658C" w14:textId="77777777"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sidRPr="00A24F78">
              <w:rPr>
                <w:rStyle w:val="Hyperlink"/>
                <w:rFonts w:ascii="Arial" w:hAnsi="Arial" w:cs="Arial"/>
                <w:color w:val="auto"/>
                <w:sz w:val="16"/>
                <w:szCs w:val="16"/>
                <w:u w:val="none"/>
                <w:lang w:val="en-AU"/>
              </w:rPr>
              <w:t>-</w:t>
            </w:r>
          </w:p>
        </w:tc>
        <w:tc>
          <w:tcPr>
            <w:tcW w:w="4400" w:type="dxa"/>
            <w:vAlign w:val="center"/>
          </w:tcPr>
          <w:p w14:paraId="64CD9761"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Particulars of judicial decisions or decisions of administrative tribunals that may have a significant effect on the operations of the entity.</w:t>
            </w:r>
          </w:p>
        </w:tc>
        <w:tc>
          <w:tcPr>
            <w:tcW w:w="1412" w:type="dxa"/>
            <w:vAlign w:val="center"/>
          </w:tcPr>
          <w:p w14:paraId="3E35572E"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If applicable, mandatory</w:t>
            </w:r>
          </w:p>
        </w:tc>
      </w:tr>
      <w:tr w:rsidR="00E50A80" w:rsidRPr="00E214FE" w14:paraId="0FCFDE74"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7F879FF2"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17BE(r)</w:t>
            </w:r>
          </w:p>
        </w:tc>
        <w:tc>
          <w:tcPr>
            <w:tcW w:w="1843" w:type="dxa"/>
            <w:vAlign w:val="center"/>
          </w:tcPr>
          <w:p w14:paraId="111005EC"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Not applicable</w:t>
            </w:r>
          </w:p>
        </w:tc>
        <w:tc>
          <w:tcPr>
            <w:tcW w:w="850" w:type="dxa"/>
            <w:vAlign w:val="center"/>
          </w:tcPr>
          <w:p w14:paraId="2EBFDDB7" w14:textId="77777777"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sidRPr="00A24F78">
              <w:rPr>
                <w:rStyle w:val="Hyperlink"/>
                <w:rFonts w:ascii="Arial" w:hAnsi="Arial" w:cs="Arial"/>
                <w:color w:val="auto"/>
                <w:sz w:val="16"/>
                <w:szCs w:val="16"/>
                <w:u w:val="none"/>
                <w:lang w:val="en-AU"/>
              </w:rPr>
              <w:t>-</w:t>
            </w:r>
          </w:p>
        </w:tc>
        <w:tc>
          <w:tcPr>
            <w:tcW w:w="4400" w:type="dxa"/>
            <w:vAlign w:val="center"/>
          </w:tcPr>
          <w:p w14:paraId="11A98B0D"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Particulars of any reports on the entity given by:</w:t>
            </w:r>
          </w:p>
          <w:p w14:paraId="304835D5" w14:textId="77777777" w:rsidR="00E50A80" w:rsidRPr="00A24F78" w:rsidRDefault="00E50A80" w:rsidP="00ED2732">
            <w:pPr>
              <w:pStyle w:val="Financialbodyleft"/>
              <w:numPr>
                <w:ilvl w:val="0"/>
                <w:numId w:val="33"/>
              </w:numPr>
              <w:spacing w:before="20" w:after="60"/>
              <w:ind w:left="365" w:hanging="284"/>
              <w:rPr>
                <w:rFonts w:ascii="Arial" w:hAnsi="Arial" w:cs="Arial"/>
                <w:color w:val="auto"/>
                <w:sz w:val="16"/>
                <w:szCs w:val="16"/>
                <w:lang w:val="en-AU"/>
              </w:rPr>
            </w:pPr>
            <w:r w:rsidRPr="00A24F78">
              <w:rPr>
                <w:rFonts w:ascii="Arial" w:hAnsi="Arial" w:cs="Arial"/>
                <w:color w:val="auto"/>
                <w:sz w:val="16"/>
                <w:szCs w:val="16"/>
                <w:lang w:val="en-AU"/>
              </w:rPr>
              <w:t>the Auditor-General (other than a report under section 43 of the Act); or</w:t>
            </w:r>
          </w:p>
          <w:p w14:paraId="5D460A7D" w14:textId="77777777" w:rsidR="00E50A80" w:rsidRPr="00A24F78" w:rsidRDefault="00E50A80" w:rsidP="00ED2732">
            <w:pPr>
              <w:pStyle w:val="Financialbodyleft"/>
              <w:numPr>
                <w:ilvl w:val="0"/>
                <w:numId w:val="33"/>
              </w:numPr>
              <w:spacing w:before="20" w:after="60"/>
              <w:ind w:left="365" w:hanging="284"/>
              <w:rPr>
                <w:rFonts w:ascii="Arial" w:hAnsi="Arial" w:cs="Arial"/>
                <w:color w:val="auto"/>
                <w:sz w:val="16"/>
                <w:szCs w:val="16"/>
                <w:lang w:val="en-AU"/>
              </w:rPr>
            </w:pPr>
            <w:r w:rsidRPr="00A24F78">
              <w:rPr>
                <w:rFonts w:ascii="Arial" w:hAnsi="Arial" w:cs="Arial"/>
                <w:color w:val="auto"/>
                <w:sz w:val="16"/>
                <w:szCs w:val="16"/>
                <w:lang w:val="en-AU"/>
              </w:rPr>
              <w:t>Parliamentary Committee; or</w:t>
            </w:r>
          </w:p>
          <w:p w14:paraId="630D3CA4" w14:textId="77777777" w:rsidR="00E50A80" w:rsidRPr="00A24F78" w:rsidRDefault="00E50A80" w:rsidP="00ED2732">
            <w:pPr>
              <w:pStyle w:val="Financialbodyleft"/>
              <w:numPr>
                <w:ilvl w:val="0"/>
                <w:numId w:val="33"/>
              </w:numPr>
              <w:spacing w:before="20" w:after="60"/>
              <w:ind w:left="365" w:hanging="284"/>
              <w:rPr>
                <w:rFonts w:ascii="Arial" w:hAnsi="Arial" w:cs="Arial"/>
                <w:color w:val="auto"/>
                <w:sz w:val="16"/>
                <w:szCs w:val="16"/>
                <w:lang w:val="en-AU"/>
              </w:rPr>
            </w:pPr>
            <w:r w:rsidRPr="00A24F78">
              <w:rPr>
                <w:rFonts w:ascii="Arial" w:hAnsi="Arial" w:cs="Arial"/>
                <w:color w:val="auto"/>
                <w:sz w:val="16"/>
                <w:szCs w:val="16"/>
                <w:lang w:val="en-AU"/>
              </w:rPr>
              <w:t>the Commonwealth Ombudsman; or</w:t>
            </w:r>
          </w:p>
          <w:p w14:paraId="0DDC5A9D" w14:textId="77777777" w:rsidR="00E50A80" w:rsidRPr="00A24F78" w:rsidRDefault="00E50A80" w:rsidP="00ED2732">
            <w:pPr>
              <w:pStyle w:val="Financialbodyleft"/>
              <w:numPr>
                <w:ilvl w:val="0"/>
                <w:numId w:val="33"/>
              </w:numPr>
              <w:spacing w:before="20" w:after="60"/>
              <w:ind w:left="365" w:hanging="284"/>
              <w:rPr>
                <w:rFonts w:ascii="Arial" w:hAnsi="Arial" w:cs="Arial"/>
                <w:color w:val="auto"/>
                <w:sz w:val="16"/>
                <w:szCs w:val="16"/>
                <w:lang w:val="en-AU"/>
              </w:rPr>
            </w:pPr>
            <w:r w:rsidRPr="00A24F78">
              <w:rPr>
                <w:rFonts w:ascii="Arial" w:hAnsi="Arial" w:cs="Arial"/>
                <w:color w:val="auto"/>
                <w:sz w:val="16"/>
                <w:szCs w:val="16"/>
                <w:lang w:val="en-AU"/>
              </w:rPr>
              <w:t>the Office of the Australian Information Commissioner.</w:t>
            </w:r>
          </w:p>
        </w:tc>
        <w:tc>
          <w:tcPr>
            <w:tcW w:w="1412" w:type="dxa"/>
            <w:vAlign w:val="center"/>
          </w:tcPr>
          <w:p w14:paraId="598CF640"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If applicable, mandatory</w:t>
            </w:r>
          </w:p>
        </w:tc>
      </w:tr>
      <w:tr w:rsidR="00E50A80" w:rsidRPr="00E214FE" w14:paraId="78383B0B"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3495BC84"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17BE(s)</w:t>
            </w:r>
          </w:p>
        </w:tc>
        <w:tc>
          <w:tcPr>
            <w:tcW w:w="1843" w:type="dxa"/>
            <w:vAlign w:val="center"/>
          </w:tcPr>
          <w:p w14:paraId="6F6DEC84"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Not applicable</w:t>
            </w:r>
          </w:p>
        </w:tc>
        <w:tc>
          <w:tcPr>
            <w:tcW w:w="850" w:type="dxa"/>
            <w:vAlign w:val="center"/>
          </w:tcPr>
          <w:p w14:paraId="6717789D" w14:textId="77777777"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sidRPr="00A24F78">
              <w:rPr>
                <w:rStyle w:val="Hyperlink"/>
                <w:rFonts w:ascii="Arial" w:hAnsi="Arial" w:cs="Arial"/>
                <w:color w:val="auto"/>
                <w:sz w:val="16"/>
                <w:szCs w:val="16"/>
                <w:u w:val="none"/>
                <w:lang w:val="en-AU"/>
              </w:rPr>
              <w:t>-</w:t>
            </w:r>
          </w:p>
        </w:tc>
        <w:tc>
          <w:tcPr>
            <w:tcW w:w="4400" w:type="dxa"/>
            <w:vAlign w:val="center"/>
          </w:tcPr>
          <w:p w14:paraId="0A7B1833"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An explanation of information not obtained from a subsidiary of the entity and the effect of not having the information on the annual report.</w:t>
            </w:r>
          </w:p>
        </w:tc>
        <w:tc>
          <w:tcPr>
            <w:tcW w:w="1412" w:type="dxa"/>
            <w:vAlign w:val="center"/>
          </w:tcPr>
          <w:p w14:paraId="2F5C04FD"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If applicable, mandatory</w:t>
            </w:r>
          </w:p>
        </w:tc>
      </w:tr>
      <w:tr w:rsidR="00E50A80" w:rsidRPr="00E214FE" w14:paraId="422F2F88"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203E0CBC"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17BE(t)</w:t>
            </w:r>
          </w:p>
        </w:tc>
        <w:tc>
          <w:tcPr>
            <w:tcW w:w="1843" w:type="dxa"/>
            <w:vAlign w:val="center"/>
          </w:tcPr>
          <w:p w14:paraId="077B45F7"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Not applicable</w:t>
            </w:r>
          </w:p>
        </w:tc>
        <w:tc>
          <w:tcPr>
            <w:tcW w:w="850" w:type="dxa"/>
            <w:vAlign w:val="center"/>
          </w:tcPr>
          <w:p w14:paraId="1F37DB04" w14:textId="77777777"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sidRPr="00A24F78">
              <w:rPr>
                <w:rStyle w:val="Hyperlink"/>
                <w:rFonts w:ascii="Arial" w:hAnsi="Arial" w:cs="Arial"/>
                <w:color w:val="auto"/>
                <w:sz w:val="16"/>
                <w:szCs w:val="16"/>
                <w:u w:val="none"/>
                <w:lang w:val="en-AU"/>
              </w:rPr>
              <w:t>-</w:t>
            </w:r>
          </w:p>
        </w:tc>
        <w:tc>
          <w:tcPr>
            <w:tcW w:w="4400" w:type="dxa"/>
            <w:vAlign w:val="center"/>
          </w:tcPr>
          <w:p w14:paraId="3CD9EA77"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Details of any indemnity that applied during the reporting period to the accountable authority, any member of the accountable authority or officer of the entity against a liability (including premiums paid, or agreed to be paid, for insurance against the authority, member or officer’s liability for legal costs).</w:t>
            </w:r>
          </w:p>
        </w:tc>
        <w:tc>
          <w:tcPr>
            <w:tcW w:w="1412" w:type="dxa"/>
            <w:vAlign w:val="center"/>
          </w:tcPr>
          <w:p w14:paraId="0F04B20C"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If applicable, mandatory</w:t>
            </w:r>
          </w:p>
        </w:tc>
      </w:tr>
      <w:tr w:rsidR="00E50A80" w:rsidRPr="00E214FE" w14:paraId="057145B3"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273F3E96"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17BE(taa)</w:t>
            </w:r>
          </w:p>
        </w:tc>
        <w:tc>
          <w:tcPr>
            <w:tcW w:w="1843" w:type="dxa"/>
            <w:vAlign w:val="center"/>
          </w:tcPr>
          <w:p w14:paraId="4050D397"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 xml:space="preserve">Audit, Risk and Compliance Committee </w:t>
            </w:r>
          </w:p>
        </w:tc>
        <w:tc>
          <w:tcPr>
            <w:tcW w:w="850" w:type="dxa"/>
            <w:vAlign w:val="center"/>
          </w:tcPr>
          <w:p w14:paraId="77D20C30" w14:textId="668DD5C1"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Pr>
                <w:rStyle w:val="Hyperlink"/>
                <w:rFonts w:ascii="Arial" w:hAnsi="Arial" w:cs="Arial"/>
                <w:color w:val="auto"/>
                <w:sz w:val="16"/>
                <w:szCs w:val="16"/>
                <w:u w:val="none"/>
                <w:lang w:val="en-AU"/>
              </w:rPr>
              <w:t>4</w:t>
            </w:r>
            <w:r w:rsidR="00264184">
              <w:rPr>
                <w:rStyle w:val="Hyperlink"/>
                <w:rFonts w:ascii="Arial" w:hAnsi="Arial" w:cs="Arial"/>
                <w:color w:val="auto"/>
                <w:sz w:val="16"/>
                <w:szCs w:val="16"/>
                <w:u w:val="none"/>
                <w:lang w:val="en-AU"/>
              </w:rPr>
              <w:t>3</w:t>
            </w:r>
            <w:r>
              <w:rPr>
                <w:rStyle w:val="Hyperlink"/>
                <w:rFonts w:ascii="Arial" w:hAnsi="Arial" w:cs="Arial"/>
                <w:color w:val="auto"/>
                <w:sz w:val="16"/>
                <w:szCs w:val="16"/>
                <w:u w:val="none"/>
                <w:lang w:val="en-AU"/>
              </w:rPr>
              <w:t>-4</w:t>
            </w:r>
            <w:r w:rsidR="00264184">
              <w:rPr>
                <w:rStyle w:val="Hyperlink"/>
                <w:rFonts w:ascii="Arial" w:hAnsi="Arial" w:cs="Arial"/>
                <w:color w:val="auto"/>
                <w:sz w:val="16"/>
                <w:szCs w:val="16"/>
                <w:u w:val="none"/>
                <w:lang w:val="en-AU"/>
              </w:rPr>
              <w:t>5</w:t>
            </w:r>
          </w:p>
        </w:tc>
        <w:tc>
          <w:tcPr>
            <w:tcW w:w="4400" w:type="dxa"/>
            <w:vAlign w:val="center"/>
          </w:tcPr>
          <w:p w14:paraId="502A8074" w14:textId="77777777" w:rsidR="00E50A80" w:rsidRPr="00A24F78" w:rsidRDefault="00E50A80" w:rsidP="00ED2732">
            <w:pPr>
              <w:pStyle w:val="TableBodyleftFinancials"/>
              <w:spacing w:before="20" w:after="60" w:line="259" w:lineRule="auto"/>
              <w:ind w:left="81"/>
              <w:contextualSpacing/>
              <w:rPr>
                <w:rFonts w:ascii="Arial" w:hAnsi="Arial" w:cs="Arial"/>
                <w:color w:val="auto"/>
                <w:sz w:val="16"/>
                <w:szCs w:val="16"/>
              </w:rPr>
            </w:pPr>
            <w:r w:rsidRPr="00A24F78">
              <w:rPr>
                <w:rFonts w:ascii="Arial" w:hAnsi="Arial" w:cs="Arial"/>
                <w:color w:val="auto"/>
                <w:sz w:val="16"/>
                <w:szCs w:val="16"/>
              </w:rPr>
              <w:t>The following information about the audit committee for the entity:</w:t>
            </w:r>
          </w:p>
          <w:p w14:paraId="098EB517" w14:textId="77777777" w:rsidR="00E50A80" w:rsidRPr="00A24F78" w:rsidRDefault="00E50A80" w:rsidP="00ED2732">
            <w:pPr>
              <w:pStyle w:val="Financialbodyleft"/>
              <w:numPr>
                <w:ilvl w:val="0"/>
                <w:numId w:val="29"/>
              </w:numPr>
              <w:spacing w:before="20" w:after="60"/>
              <w:ind w:left="365" w:hanging="284"/>
              <w:contextualSpacing/>
              <w:rPr>
                <w:rFonts w:ascii="Arial" w:hAnsi="Arial" w:cs="Arial"/>
                <w:color w:val="auto"/>
                <w:sz w:val="16"/>
                <w:szCs w:val="16"/>
                <w:lang w:val="en-AU"/>
              </w:rPr>
            </w:pPr>
            <w:r w:rsidRPr="00A24F78">
              <w:rPr>
                <w:rFonts w:ascii="Arial" w:hAnsi="Arial" w:cs="Arial"/>
                <w:color w:val="auto"/>
                <w:sz w:val="16"/>
                <w:szCs w:val="16"/>
                <w:lang w:val="en-AU"/>
              </w:rPr>
              <w:t>a direct electronic address of the charter determining the functions of the audit committee</w:t>
            </w:r>
          </w:p>
          <w:p w14:paraId="42C5E9C1" w14:textId="77777777" w:rsidR="00E50A80" w:rsidRPr="00A24F78" w:rsidRDefault="00E50A80" w:rsidP="00ED2732">
            <w:pPr>
              <w:pStyle w:val="Financialbodyleft"/>
              <w:numPr>
                <w:ilvl w:val="0"/>
                <w:numId w:val="29"/>
              </w:numPr>
              <w:spacing w:before="20" w:after="60"/>
              <w:ind w:left="365" w:hanging="284"/>
              <w:contextualSpacing/>
              <w:rPr>
                <w:rFonts w:ascii="Arial" w:hAnsi="Arial" w:cs="Arial"/>
                <w:color w:val="auto"/>
                <w:sz w:val="16"/>
                <w:szCs w:val="16"/>
                <w:lang w:val="en-AU"/>
              </w:rPr>
            </w:pPr>
            <w:r w:rsidRPr="00A24F78">
              <w:rPr>
                <w:rFonts w:ascii="Arial" w:hAnsi="Arial" w:cs="Arial"/>
                <w:color w:val="auto"/>
                <w:sz w:val="16"/>
                <w:szCs w:val="16"/>
                <w:lang w:val="en-AU"/>
              </w:rPr>
              <w:t>the name of each member of the audit committee</w:t>
            </w:r>
          </w:p>
          <w:p w14:paraId="3DA56602" w14:textId="77777777" w:rsidR="00E50A80" w:rsidRPr="00A24F78" w:rsidRDefault="00E50A80" w:rsidP="00ED2732">
            <w:pPr>
              <w:pStyle w:val="Financialbodyleft"/>
              <w:numPr>
                <w:ilvl w:val="0"/>
                <w:numId w:val="29"/>
              </w:numPr>
              <w:spacing w:before="20" w:after="60"/>
              <w:ind w:left="365" w:hanging="284"/>
              <w:contextualSpacing/>
              <w:rPr>
                <w:rFonts w:ascii="Arial" w:hAnsi="Arial" w:cs="Arial"/>
                <w:color w:val="auto"/>
                <w:sz w:val="16"/>
                <w:szCs w:val="16"/>
                <w:lang w:val="en-AU"/>
              </w:rPr>
            </w:pPr>
            <w:r w:rsidRPr="00A24F78">
              <w:rPr>
                <w:rFonts w:ascii="Arial" w:hAnsi="Arial" w:cs="Arial"/>
                <w:color w:val="auto"/>
                <w:sz w:val="16"/>
                <w:szCs w:val="16"/>
                <w:lang w:val="en-AU"/>
              </w:rPr>
              <w:t>the qualifications, knowledge, skills or experience of each member of the audit committee</w:t>
            </w:r>
          </w:p>
          <w:p w14:paraId="0D472CDA" w14:textId="77777777" w:rsidR="00E50A80" w:rsidRPr="00A24F78" w:rsidRDefault="00E50A80" w:rsidP="00ED2732">
            <w:pPr>
              <w:pStyle w:val="Financialbodyleft"/>
              <w:numPr>
                <w:ilvl w:val="0"/>
                <w:numId w:val="29"/>
              </w:numPr>
              <w:spacing w:before="20" w:after="60"/>
              <w:ind w:left="365" w:hanging="284"/>
              <w:contextualSpacing/>
              <w:rPr>
                <w:rFonts w:ascii="Arial" w:hAnsi="Arial" w:cs="Arial"/>
                <w:color w:val="auto"/>
                <w:sz w:val="16"/>
                <w:szCs w:val="16"/>
                <w:lang w:val="en-AU"/>
              </w:rPr>
            </w:pPr>
            <w:r w:rsidRPr="00A24F78">
              <w:rPr>
                <w:rFonts w:ascii="Arial" w:hAnsi="Arial" w:cs="Arial"/>
                <w:color w:val="auto"/>
                <w:sz w:val="16"/>
                <w:szCs w:val="16"/>
                <w:lang w:val="en-AU"/>
              </w:rPr>
              <w:t>information about each member’s attendance at meetings of the audit committee</w:t>
            </w:r>
          </w:p>
          <w:p w14:paraId="7E905DAA" w14:textId="77777777" w:rsidR="00E50A80" w:rsidRPr="00A24F78" w:rsidRDefault="00E50A80" w:rsidP="00ED2732">
            <w:pPr>
              <w:pStyle w:val="Financialbodyleft"/>
              <w:numPr>
                <w:ilvl w:val="0"/>
                <w:numId w:val="29"/>
              </w:numPr>
              <w:spacing w:before="20" w:after="60"/>
              <w:ind w:left="365" w:hanging="284"/>
              <w:rPr>
                <w:rFonts w:ascii="Arial" w:hAnsi="Arial" w:cs="Arial"/>
                <w:color w:val="auto"/>
                <w:sz w:val="16"/>
                <w:szCs w:val="16"/>
                <w:lang w:val="en-AU"/>
              </w:rPr>
            </w:pPr>
            <w:r w:rsidRPr="00A24F78">
              <w:rPr>
                <w:rFonts w:ascii="Arial" w:hAnsi="Arial" w:cs="Arial"/>
                <w:color w:val="auto"/>
                <w:sz w:val="16"/>
                <w:szCs w:val="16"/>
                <w:lang w:val="en-AU"/>
              </w:rPr>
              <w:t>the remuneration of each member of the audit committee.</w:t>
            </w:r>
          </w:p>
        </w:tc>
        <w:tc>
          <w:tcPr>
            <w:tcW w:w="1412" w:type="dxa"/>
            <w:vAlign w:val="center"/>
          </w:tcPr>
          <w:p w14:paraId="036644FD"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Mandatory</w:t>
            </w:r>
          </w:p>
        </w:tc>
      </w:tr>
      <w:tr w:rsidR="00E50A80" w:rsidRPr="00E214FE" w14:paraId="71CE52D1"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658BA8CF"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17BE(ta)</w:t>
            </w:r>
          </w:p>
        </w:tc>
        <w:tc>
          <w:tcPr>
            <w:tcW w:w="1843" w:type="dxa"/>
            <w:vAlign w:val="center"/>
          </w:tcPr>
          <w:p w14:paraId="39D803A9"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Key management personnel</w:t>
            </w:r>
          </w:p>
        </w:tc>
        <w:tc>
          <w:tcPr>
            <w:tcW w:w="850" w:type="dxa"/>
            <w:vAlign w:val="center"/>
          </w:tcPr>
          <w:p w14:paraId="2F114AE7" w14:textId="75B6EC3A"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Pr>
                <w:rStyle w:val="Hyperlink"/>
                <w:rFonts w:ascii="Arial" w:hAnsi="Arial" w:cs="Arial"/>
                <w:color w:val="auto"/>
                <w:sz w:val="16"/>
                <w:szCs w:val="16"/>
                <w:u w:val="none"/>
                <w:lang w:val="en-AU"/>
              </w:rPr>
              <w:t>2</w:t>
            </w:r>
            <w:r w:rsidR="00264184">
              <w:rPr>
                <w:rStyle w:val="Hyperlink"/>
                <w:rFonts w:ascii="Arial" w:hAnsi="Arial" w:cs="Arial"/>
                <w:color w:val="auto"/>
                <w:sz w:val="16"/>
                <w:szCs w:val="16"/>
                <w:u w:val="none"/>
                <w:lang w:val="en-AU"/>
              </w:rPr>
              <w:t>7</w:t>
            </w:r>
            <w:r>
              <w:rPr>
                <w:rStyle w:val="Hyperlink"/>
                <w:rFonts w:ascii="Arial" w:hAnsi="Arial" w:cs="Arial"/>
                <w:color w:val="auto"/>
                <w:sz w:val="16"/>
                <w:szCs w:val="16"/>
                <w:u w:val="none"/>
                <w:lang w:val="en-AU"/>
              </w:rPr>
              <w:t>-2</w:t>
            </w:r>
            <w:r w:rsidR="00264184">
              <w:rPr>
                <w:rStyle w:val="Hyperlink"/>
                <w:rFonts w:ascii="Arial" w:hAnsi="Arial" w:cs="Arial"/>
                <w:color w:val="auto"/>
                <w:sz w:val="16"/>
                <w:szCs w:val="16"/>
                <w:u w:val="none"/>
                <w:lang w:val="en-AU"/>
              </w:rPr>
              <w:t>8</w:t>
            </w:r>
          </w:p>
        </w:tc>
        <w:tc>
          <w:tcPr>
            <w:tcW w:w="4400" w:type="dxa"/>
            <w:vAlign w:val="center"/>
          </w:tcPr>
          <w:p w14:paraId="457357F5" w14:textId="77777777" w:rsidR="00E50A80" w:rsidRPr="00A24F78" w:rsidRDefault="00E50A80" w:rsidP="00ED2732">
            <w:pPr>
              <w:pStyle w:val="TableBodyleftFinancials"/>
              <w:spacing w:before="20" w:after="60" w:line="259" w:lineRule="auto"/>
              <w:ind w:left="81"/>
              <w:rPr>
                <w:rFonts w:ascii="Arial" w:hAnsi="Arial" w:cs="Arial"/>
                <w:color w:val="auto"/>
                <w:sz w:val="16"/>
                <w:szCs w:val="16"/>
              </w:rPr>
            </w:pPr>
            <w:r w:rsidRPr="00A24F78">
              <w:rPr>
                <w:rFonts w:ascii="Arial" w:hAnsi="Arial" w:cs="Arial"/>
                <w:color w:val="auto"/>
                <w:sz w:val="16"/>
                <w:szCs w:val="16"/>
              </w:rPr>
              <w:t>Information about executive remuneration.</w:t>
            </w:r>
          </w:p>
        </w:tc>
        <w:tc>
          <w:tcPr>
            <w:tcW w:w="1412" w:type="dxa"/>
            <w:vAlign w:val="center"/>
          </w:tcPr>
          <w:p w14:paraId="75023C40"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Mandatory</w:t>
            </w:r>
          </w:p>
        </w:tc>
      </w:tr>
      <w:tr w:rsidR="00E50A80" w:rsidRPr="00E214FE" w14:paraId="4E6F2294"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shd w:val="clear" w:color="auto" w:fill="DFEBF1" w:themeFill="text1" w:themeFillTint="1A"/>
            <w:vAlign w:val="center"/>
          </w:tcPr>
          <w:p w14:paraId="134C079A"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Style w:val="Bold"/>
                <w:rFonts w:ascii="Arial" w:hAnsi="Arial" w:cs="Arial"/>
                <w:color w:val="auto"/>
                <w:sz w:val="16"/>
                <w:szCs w:val="16"/>
                <w:lang w:val="en-AU"/>
              </w:rPr>
              <w:t>17BF</w:t>
            </w:r>
          </w:p>
        </w:tc>
        <w:tc>
          <w:tcPr>
            <w:tcW w:w="7093" w:type="dxa"/>
            <w:gridSpan w:val="3"/>
            <w:shd w:val="clear" w:color="auto" w:fill="DFEBF1" w:themeFill="text1" w:themeFillTint="1A"/>
            <w:vAlign w:val="center"/>
          </w:tcPr>
          <w:p w14:paraId="66CC532B" w14:textId="77777777" w:rsidR="00E50A80" w:rsidRPr="00A24F78" w:rsidRDefault="00E50A80" w:rsidP="00ED2732">
            <w:pPr>
              <w:pStyle w:val="TableBodyleftFinancials"/>
              <w:spacing w:before="20" w:after="60" w:line="259" w:lineRule="auto"/>
              <w:ind w:left="138"/>
              <w:rPr>
                <w:rFonts w:ascii="Arial" w:hAnsi="Arial" w:cs="Arial"/>
                <w:b/>
                <w:bCs/>
                <w:color w:val="auto"/>
                <w:sz w:val="16"/>
                <w:szCs w:val="16"/>
              </w:rPr>
            </w:pPr>
            <w:r w:rsidRPr="00A24F78">
              <w:rPr>
                <w:rFonts w:ascii="Arial" w:hAnsi="Arial" w:cs="Arial"/>
                <w:b/>
                <w:bCs/>
                <w:color w:val="auto"/>
                <w:sz w:val="16"/>
                <w:szCs w:val="16"/>
              </w:rPr>
              <w:t>Disclosure requirements for government business enterprises</w:t>
            </w:r>
          </w:p>
        </w:tc>
        <w:tc>
          <w:tcPr>
            <w:tcW w:w="1412" w:type="dxa"/>
            <w:shd w:val="clear" w:color="auto" w:fill="DFEBF1" w:themeFill="text1" w:themeFillTint="1A"/>
            <w:vAlign w:val="center"/>
          </w:tcPr>
          <w:p w14:paraId="479F899D" w14:textId="77777777" w:rsidR="00E50A80" w:rsidRPr="00A24F78" w:rsidRDefault="00E50A80" w:rsidP="00ED2732">
            <w:pPr>
              <w:pStyle w:val="Financialbodyleft"/>
              <w:spacing w:before="20" w:after="60"/>
              <w:ind w:left="85"/>
              <w:rPr>
                <w:rFonts w:ascii="Arial" w:hAnsi="Arial" w:cs="Arial"/>
                <w:color w:val="auto"/>
                <w:sz w:val="16"/>
                <w:szCs w:val="16"/>
                <w:lang w:val="en-AU"/>
              </w:rPr>
            </w:pPr>
          </w:p>
        </w:tc>
      </w:tr>
      <w:tr w:rsidR="00E50A80" w:rsidRPr="00E214FE" w14:paraId="2942B453"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188E59BD"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17BF(1)(a)(i)</w:t>
            </w:r>
          </w:p>
        </w:tc>
        <w:tc>
          <w:tcPr>
            <w:tcW w:w="1843" w:type="dxa"/>
            <w:vAlign w:val="center"/>
          </w:tcPr>
          <w:p w14:paraId="28157690"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Not applicable</w:t>
            </w:r>
          </w:p>
        </w:tc>
        <w:tc>
          <w:tcPr>
            <w:tcW w:w="850" w:type="dxa"/>
            <w:vAlign w:val="center"/>
          </w:tcPr>
          <w:p w14:paraId="5A72300D" w14:textId="77777777"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sidRPr="00A24F78">
              <w:rPr>
                <w:rStyle w:val="Hyperlink"/>
                <w:rFonts w:ascii="Arial" w:hAnsi="Arial" w:cs="Arial"/>
                <w:color w:val="auto"/>
                <w:sz w:val="16"/>
                <w:szCs w:val="16"/>
                <w:u w:val="none"/>
                <w:lang w:val="en-AU"/>
              </w:rPr>
              <w:t>-</w:t>
            </w:r>
          </w:p>
        </w:tc>
        <w:tc>
          <w:tcPr>
            <w:tcW w:w="4400" w:type="dxa"/>
            <w:vAlign w:val="center"/>
          </w:tcPr>
          <w:p w14:paraId="69AA5656"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An assessment of significant changes in the entity’s overall financial structure and financial conditions.</w:t>
            </w:r>
          </w:p>
        </w:tc>
        <w:tc>
          <w:tcPr>
            <w:tcW w:w="1412" w:type="dxa"/>
            <w:vAlign w:val="center"/>
          </w:tcPr>
          <w:p w14:paraId="46BF057F"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If applicable, mandatory</w:t>
            </w:r>
          </w:p>
        </w:tc>
      </w:tr>
      <w:tr w:rsidR="00E50A80" w:rsidRPr="00E214FE" w14:paraId="436575A5"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7F0CB029"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17BF(1)(a)(ii)</w:t>
            </w:r>
          </w:p>
        </w:tc>
        <w:tc>
          <w:tcPr>
            <w:tcW w:w="1843" w:type="dxa"/>
            <w:vAlign w:val="center"/>
          </w:tcPr>
          <w:p w14:paraId="24CF1732"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Not applicable</w:t>
            </w:r>
          </w:p>
        </w:tc>
        <w:tc>
          <w:tcPr>
            <w:tcW w:w="850" w:type="dxa"/>
            <w:vAlign w:val="center"/>
          </w:tcPr>
          <w:p w14:paraId="37B9AE35" w14:textId="77777777"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sidRPr="00A24F78">
              <w:rPr>
                <w:rStyle w:val="Hyperlink"/>
                <w:rFonts w:ascii="Arial" w:hAnsi="Arial" w:cs="Arial"/>
                <w:color w:val="auto"/>
                <w:sz w:val="16"/>
                <w:szCs w:val="16"/>
                <w:u w:val="none"/>
                <w:lang w:val="en-AU"/>
              </w:rPr>
              <w:t>-</w:t>
            </w:r>
          </w:p>
        </w:tc>
        <w:tc>
          <w:tcPr>
            <w:tcW w:w="4400" w:type="dxa"/>
            <w:vAlign w:val="center"/>
          </w:tcPr>
          <w:p w14:paraId="695D074F"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An assessment of any events or risks that could cause financial information that is reported not to be indicative of future operations or financial conditions.</w:t>
            </w:r>
          </w:p>
        </w:tc>
        <w:tc>
          <w:tcPr>
            <w:tcW w:w="1412" w:type="dxa"/>
            <w:vAlign w:val="center"/>
          </w:tcPr>
          <w:p w14:paraId="30EE5CA8"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If applicable, mandatory</w:t>
            </w:r>
          </w:p>
        </w:tc>
      </w:tr>
      <w:tr w:rsidR="00E50A80" w:rsidRPr="00E214FE" w14:paraId="59EB35BD" w14:textId="77777777" w:rsidTr="00ED2732">
        <w:trPr>
          <w:cnfStyle w:val="000000010000" w:firstRow="0" w:lastRow="0" w:firstColumn="0" w:lastColumn="0" w:oddVBand="0" w:evenVBand="0" w:oddHBand="0" w:evenHBand="1" w:firstRowFirstColumn="0" w:firstRowLastColumn="0" w:lastRowFirstColumn="0" w:lastRowLastColumn="0"/>
          <w:trHeight w:val="113"/>
        </w:trPr>
        <w:tc>
          <w:tcPr>
            <w:tcW w:w="1276" w:type="dxa"/>
            <w:vAlign w:val="center"/>
          </w:tcPr>
          <w:p w14:paraId="265F01E7"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17BF(1)(b)</w:t>
            </w:r>
          </w:p>
        </w:tc>
        <w:tc>
          <w:tcPr>
            <w:tcW w:w="1843" w:type="dxa"/>
            <w:vAlign w:val="center"/>
          </w:tcPr>
          <w:p w14:paraId="25D8AEEC"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Not applicable</w:t>
            </w:r>
          </w:p>
        </w:tc>
        <w:tc>
          <w:tcPr>
            <w:tcW w:w="850" w:type="dxa"/>
            <w:vAlign w:val="center"/>
          </w:tcPr>
          <w:p w14:paraId="04BB4976" w14:textId="77777777"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sidRPr="00A24F78">
              <w:rPr>
                <w:rStyle w:val="Hyperlink"/>
                <w:rFonts w:ascii="Arial" w:hAnsi="Arial" w:cs="Arial"/>
                <w:color w:val="auto"/>
                <w:sz w:val="16"/>
                <w:szCs w:val="16"/>
                <w:u w:val="none"/>
                <w:lang w:val="en-AU"/>
              </w:rPr>
              <w:t>-</w:t>
            </w:r>
          </w:p>
        </w:tc>
        <w:tc>
          <w:tcPr>
            <w:tcW w:w="4400" w:type="dxa"/>
            <w:vAlign w:val="center"/>
          </w:tcPr>
          <w:p w14:paraId="1FFDF069"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Information on dividends paid or recommended.</w:t>
            </w:r>
          </w:p>
        </w:tc>
        <w:tc>
          <w:tcPr>
            <w:tcW w:w="1412" w:type="dxa"/>
            <w:vAlign w:val="center"/>
          </w:tcPr>
          <w:p w14:paraId="6BFCBCFD" w14:textId="77777777" w:rsidR="00E50A80" w:rsidRPr="00A24F78" w:rsidRDefault="00E50A80" w:rsidP="00ED2732">
            <w:pPr>
              <w:pStyle w:val="Financialbodyleft"/>
              <w:spacing w:before="20" w:after="60"/>
              <w:ind w:left="85"/>
              <w:rPr>
                <w:rFonts w:ascii="Arial" w:hAnsi="Arial" w:cs="Arial"/>
                <w:color w:val="auto"/>
                <w:sz w:val="16"/>
                <w:szCs w:val="16"/>
                <w:lang w:val="en-AU"/>
              </w:rPr>
            </w:pPr>
            <w:r w:rsidRPr="00A24F78">
              <w:rPr>
                <w:rFonts w:ascii="Arial" w:hAnsi="Arial" w:cs="Arial"/>
                <w:color w:val="auto"/>
                <w:sz w:val="16"/>
                <w:szCs w:val="16"/>
                <w:lang w:val="en-AU"/>
              </w:rPr>
              <w:t>If applicable, mandatory</w:t>
            </w:r>
          </w:p>
        </w:tc>
      </w:tr>
      <w:tr w:rsidR="00E50A80" w:rsidRPr="00E214FE" w14:paraId="60042198" w14:textId="77777777" w:rsidTr="00ED2732">
        <w:trPr>
          <w:cnfStyle w:val="000000100000" w:firstRow="0" w:lastRow="0" w:firstColumn="0" w:lastColumn="0" w:oddVBand="0" w:evenVBand="0" w:oddHBand="1" w:evenHBand="0" w:firstRowFirstColumn="0" w:firstRowLastColumn="0" w:lastRowFirstColumn="0" w:lastRowLastColumn="0"/>
          <w:trHeight w:val="113"/>
        </w:trPr>
        <w:tc>
          <w:tcPr>
            <w:tcW w:w="1276" w:type="dxa"/>
            <w:vAlign w:val="center"/>
          </w:tcPr>
          <w:p w14:paraId="2F796901"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t>17BF(1)(c)</w:t>
            </w:r>
          </w:p>
        </w:tc>
        <w:tc>
          <w:tcPr>
            <w:tcW w:w="1843" w:type="dxa"/>
            <w:vAlign w:val="center"/>
          </w:tcPr>
          <w:p w14:paraId="5FBE20EE"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Not applicable</w:t>
            </w:r>
          </w:p>
        </w:tc>
        <w:tc>
          <w:tcPr>
            <w:tcW w:w="850" w:type="dxa"/>
            <w:vAlign w:val="center"/>
          </w:tcPr>
          <w:p w14:paraId="1C0234F0" w14:textId="77777777"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sidRPr="00A24F78">
              <w:rPr>
                <w:rStyle w:val="Hyperlink"/>
                <w:rFonts w:ascii="Arial" w:hAnsi="Arial" w:cs="Arial"/>
                <w:color w:val="auto"/>
                <w:sz w:val="16"/>
                <w:szCs w:val="16"/>
                <w:u w:val="none"/>
                <w:lang w:val="en-AU"/>
              </w:rPr>
              <w:t>-</w:t>
            </w:r>
          </w:p>
        </w:tc>
        <w:tc>
          <w:tcPr>
            <w:tcW w:w="4400" w:type="dxa"/>
            <w:vAlign w:val="center"/>
          </w:tcPr>
          <w:p w14:paraId="1BB592F0"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Details of any community service obligations the government business enterprise has including:</w:t>
            </w:r>
          </w:p>
          <w:p w14:paraId="1FD2BA0F" w14:textId="77777777" w:rsidR="00E50A80" w:rsidRPr="00A24F78" w:rsidRDefault="00E50A80" w:rsidP="00ED2732">
            <w:pPr>
              <w:pStyle w:val="Financialbodyleft"/>
              <w:numPr>
                <w:ilvl w:val="0"/>
                <w:numId w:val="30"/>
              </w:numPr>
              <w:spacing w:before="20" w:after="60"/>
              <w:ind w:left="84" w:hanging="373"/>
              <w:rPr>
                <w:rFonts w:ascii="Arial" w:hAnsi="Arial" w:cs="Arial"/>
                <w:color w:val="auto"/>
                <w:sz w:val="16"/>
                <w:szCs w:val="16"/>
                <w:lang w:val="en-AU"/>
              </w:rPr>
            </w:pPr>
            <w:r>
              <w:rPr>
                <w:rFonts w:ascii="Arial" w:hAnsi="Arial" w:cs="Arial"/>
                <w:color w:val="auto"/>
                <w:sz w:val="16"/>
                <w:szCs w:val="16"/>
                <w:lang w:val="en-AU"/>
              </w:rPr>
              <w:t xml:space="preserve">a. </w:t>
            </w:r>
            <w:r w:rsidRPr="00A24F78">
              <w:rPr>
                <w:rFonts w:ascii="Arial" w:hAnsi="Arial" w:cs="Arial"/>
                <w:color w:val="auto"/>
                <w:sz w:val="16"/>
                <w:szCs w:val="16"/>
                <w:lang w:val="en-AU"/>
              </w:rPr>
              <w:t xml:space="preserve">an outline of actions taken to fulfil those obligations </w:t>
            </w:r>
          </w:p>
          <w:p w14:paraId="7238A61E" w14:textId="77777777" w:rsidR="00E50A80" w:rsidRPr="00A24F78" w:rsidRDefault="00E50A80" w:rsidP="00ED2732">
            <w:pPr>
              <w:pStyle w:val="Financialbodyleft"/>
              <w:numPr>
                <w:ilvl w:val="0"/>
                <w:numId w:val="30"/>
              </w:numPr>
              <w:spacing w:before="20" w:after="60"/>
              <w:ind w:left="84" w:hanging="373"/>
              <w:rPr>
                <w:rFonts w:ascii="Arial" w:hAnsi="Arial" w:cs="Arial"/>
                <w:color w:val="auto"/>
                <w:sz w:val="16"/>
                <w:szCs w:val="16"/>
                <w:lang w:val="en-AU"/>
              </w:rPr>
            </w:pPr>
            <w:r>
              <w:rPr>
                <w:rFonts w:ascii="Arial" w:hAnsi="Arial" w:cs="Arial"/>
                <w:color w:val="auto"/>
                <w:sz w:val="16"/>
                <w:szCs w:val="16"/>
                <w:lang w:val="en-AU"/>
              </w:rPr>
              <w:t xml:space="preserve">b. </w:t>
            </w:r>
            <w:r w:rsidRPr="00A24F78">
              <w:rPr>
                <w:rFonts w:ascii="Arial" w:hAnsi="Arial" w:cs="Arial"/>
                <w:color w:val="auto"/>
                <w:sz w:val="16"/>
                <w:szCs w:val="16"/>
                <w:lang w:val="en-AU"/>
              </w:rPr>
              <w:t>an assessment of the cost of fulfilling those obligations.</w:t>
            </w:r>
          </w:p>
        </w:tc>
        <w:tc>
          <w:tcPr>
            <w:tcW w:w="1412" w:type="dxa"/>
            <w:vAlign w:val="center"/>
          </w:tcPr>
          <w:p w14:paraId="0249B07B" w14:textId="77777777" w:rsidR="00E50A80" w:rsidRPr="00A24F78" w:rsidRDefault="00E50A80" w:rsidP="00ED2732">
            <w:pPr>
              <w:pStyle w:val="Financialbodyleft"/>
              <w:spacing w:before="20" w:after="60"/>
              <w:ind w:left="83" w:firstLine="2"/>
              <w:rPr>
                <w:rFonts w:ascii="Arial" w:hAnsi="Arial" w:cs="Arial"/>
                <w:color w:val="auto"/>
                <w:sz w:val="16"/>
                <w:szCs w:val="16"/>
                <w:lang w:val="en-AU"/>
              </w:rPr>
            </w:pPr>
            <w:r w:rsidRPr="00A24F78">
              <w:rPr>
                <w:rFonts w:ascii="Arial" w:hAnsi="Arial" w:cs="Arial"/>
                <w:color w:val="auto"/>
                <w:sz w:val="16"/>
                <w:szCs w:val="16"/>
                <w:lang w:val="en-AU"/>
              </w:rPr>
              <w:t>If applicable, mandatory</w:t>
            </w:r>
          </w:p>
        </w:tc>
      </w:tr>
      <w:tr w:rsidR="00E50A80" w:rsidRPr="00E214FE" w14:paraId="73DC046C" w14:textId="77777777" w:rsidTr="00ED2732">
        <w:trPr>
          <w:cnfStyle w:val="000000010000" w:firstRow="0" w:lastRow="0" w:firstColumn="0" w:lastColumn="0" w:oddVBand="0" w:evenVBand="0" w:oddHBand="0" w:evenHBand="1" w:firstRowFirstColumn="0" w:firstRowLastColumn="0" w:lastRowFirstColumn="0" w:lastRowLastColumn="0"/>
          <w:cantSplit/>
          <w:trHeight w:val="63"/>
        </w:trPr>
        <w:tc>
          <w:tcPr>
            <w:tcW w:w="1276" w:type="dxa"/>
            <w:vAlign w:val="center"/>
          </w:tcPr>
          <w:p w14:paraId="1989A5EE" w14:textId="77777777" w:rsidR="00E50A80" w:rsidRPr="00A24F78" w:rsidRDefault="00E50A80" w:rsidP="00ED2732">
            <w:pPr>
              <w:pStyle w:val="Financialbodyleft"/>
              <w:spacing w:before="20" w:after="60"/>
              <w:rPr>
                <w:rFonts w:ascii="Arial" w:hAnsi="Arial" w:cs="Arial"/>
                <w:color w:val="auto"/>
                <w:sz w:val="16"/>
                <w:szCs w:val="16"/>
                <w:lang w:val="en-AU"/>
              </w:rPr>
            </w:pPr>
            <w:r w:rsidRPr="00A24F78">
              <w:rPr>
                <w:rFonts w:ascii="Arial" w:hAnsi="Arial" w:cs="Arial"/>
                <w:color w:val="auto"/>
                <w:sz w:val="16"/>
                <w:szCs w:val="16"/>
                <w:lang w:val="en-AU"/>
              </w:rPr>
              <w:lastRenderedPageBreak/>
              <w:t>17BF(2)</w:t>
            </w:r>
          </w:p>
        </w:tc>
        <w:tc>
          <w:tcPr>
            <w:tcW w:w="1843" w:type="dxa"/>
            <w:vAlign w:val="center"/>
          </w:tcPr>
          <w:p w14:paraId="50AF608B" w14:textId="77777777" w:rsidR="00E50A80" w:rsidRPr="00A24F78" w:rsidRDefault="00E50A80" w:rsidP="00ED2732">
            <w:pPr>
              <w:pStyle w:val="Financialbodyleft"/>
              <w:spacing w:before="20" w:after="60"/>
              <w:ind w:left="141" w:firstLine="1"/>
              <w:rPr>
                <w:rFonts w:ascii="Arial" w:hAnsi="Arial" w:cs="Arial"/>
                <w:color w:val="auto"/>
                <w:sz w:val="16"/>
                <w:szCs w:val="16"/>
                <w:lang w:val="en-AU"/>
              </w:rPr>
            </w:pPr>
            <w:r w:rsidRPr="00A24F78">
              <w:rPr>
                <w:rFonts w:ascii="Arial" w:hAnsi="Arial" w:cs="Arial"/>
                <w:color w:val="auto"/>
                <w:sz w:val="16"/>
                <w:szCs w:val="16"/>
                <w:lang w:val="en-AU"/>
              </w:rPr>
              <w:t>Not applicable</w:t>
            </w:r>
          </w:p>
        </w:tc>
        <w:tc>
          <w:tcPr>
            <w:tcW w:w="850" w:type="dxa"/>
            <w:vAlign w:val="center"/>
          </w:tcPr>
          <w:p w14:paraId="7317A077" w14:textId="77777777" w:rsidR="00E50A80" w:rsidRPr="00A24F78" w:rsidRDefault="00E50A80" w:rsidP="00ED2732">
            <w:pPr>
              <w:pStyle w:val="Financialbodyleft"/>
              <w:spacing w:before="20" w:after="60"/>
              <w:ind w:left="137"/>
              <w:rPr>
                <w:rStyle w:val="Hyperlink"/>
                <w:rFonts w:ascii="Arial" w:hAnsi="Arial" w:cs="Arial"/>
                <w:color w:val="auto"/>
                <w:sz w:val="16"/>
                <w:szCs w:val="16"/>
                <w:u w:val="none"/>
                <w:lang w:val="en-AU"/>
              </w:rPr>
            </w:pPr>
            <w:r w:rsidRPr="00A24F78">
              <w:rPr>
                <w:rStyle w:val="Hyperlink"/>
                <w:rFonts w:ascii="Arial" w:hAnsi="Arial" w:cs="Arial"/>
                <w:color w:val="auto"/>
                <w:sz w:val="16"/>
                <w:szCs w:val="16"/>
                <w:u w:val="none"/>
                <w:lang w:val="en-AU"/>
              </w:rPr>
              <w:t>-</w:t>
            </w:r>
          </w:p>
        </w:tc>
        <w:tc>
          <w:tcPr>
            <w:tcW w:w="4400" w:type="dxa"/>
            <w:vAlign w:val="center"/>
          </w:tcPr>
          <w:p w14:paraId="6C73EB9D" w14:textId="77777777" w:rsidR="00E50A80" w:rsidRPr="00A24F78" w:rsidRDefault="00E50A80" w:rsidP="00ED2732">
            <w:pPr>
              <w:pStyle w:val="TableBodyleftFinancials"/>
              <w:spacing w:before="20" w:after="60" w:line="259" w:lineRule="auto"/>
              <w:ind w:left="84"/>
              <w:rPr>
                <w:rFonts w:ascii="Arial" w:hAnsi="Arial" w:cs="Arial"/>
                <w:color w:val="auto"/>
                <w:sz w:val="16"/>
                <w:szCs w:val="16"/>
              </w:rPr>
            </w:pPr>
            <w:r w:rsidRPr="00A24F78">
              <w:rPr>
                <w:rFonts w:ascii="Arial" w:hAnsi="Arial" w:cs="Arial"/>
                <w:color w:val="auto"/>
                <w:sz w:val="16"/>
                <w:szCs w:val="16"/>
              </w:rPr>
              <w:t>A statement regarding the exclusion of information on the grounds that the information is commercially sensitive and would be likely to result in unreasonable commercial prejudice to the government business enterprise.</w:t>
            </w:r>
          </w:p>
        </w:tc>
        <w:tc>
          <w:tcPr>
            <w:tcW w:w="1412" w:type="dxa"/>
            <w:vAlign w:val="center"/>
          </w:tcPr>
          <w:p w14:paraId="3622E5F0" w14:textId="77777777" w:rsidR="00E50A80" w:rsidRPr="00A24F78" w:rsidRDefault="00E50A80" w:rsidP="00ED2732">
            <w:pPr>
              <w:pStyle w:val="Financialbodyleft"/>
              <w:spacing w:before="20" w:after="60"/>
              <w:ind w:left="83" w:firstLine="2"/>
              <w:rPr>
                <w:rFonts w:ascii="Arial" w:hAnsi="Arial" w:cs="Arial"/>
                <w:color w:val="auto"/>
                <w:sz w:val="16"/>
                <w:szCs w:val="16"/>
                <w:lang w:val="en-AU"/>
              </w:rPr>
            </w:pPr>
            <w:r w:rsidRPr="00A24F78">
              <w:rPr>
                <w:rFonts w:ascii="Arial" w:hAnsi="Arial" w:cs="Arial"/>
                <w:color w:val="auto"/>
                <w:sz w:val="16"/>
                <w:szCs w:val="16"/>
                <w:lang w:val="en-AU"/>
              </w:rPr>
              <w:t>If applicable, mandatory</w:t>
            </w:r>
          </w:p>
        </w:tc>
      </w:tr>
    </w:tbl>
    <w:p w14:paraId="5AA29413" w14:textId="77777777" w:rsidR="00E50A80" w:rsidRDefault="00E50A80" w:rsidP="00E50A80"/>
    <w:p w14:paraId="2A178C06" w14:textId="77777777" w:rsidR="00E50A80" w:rsidRDefault="00E50A80" w:rsidP="00E50A80"/>
    <w:p w14:paraId="646383F7" w14:textId="77777777" w:rsidR="00E50A80" w:rsidRDefault="00E50A80" w:rsidP="00E50A80"/>
    <w:p w14:paraId="03715FC2" w14:textId="77777777" w:rsidR="00A70381" w:rsidRDefault="00A70381" w:rsidP="00A70381">
      <w:bookmarkStart w:id="1273" w:name="_Toc233022371"/>
      <w:bookmarkStart w:id="1274" w:name="_Toc233023132"/>
      <w:bookmarkStart w:id="1275" w:name="_Toc233023460"/>
      <w:bookmarkStart w:id="1276" w:name="_Toc233028783"/>
      <w:bookmarkStart w:id="1277" w:name="_Toc233028960"/>
      <w:bookmarkStart w:id="1278" w:name="_Toc235787539"/>
      <w:bookmarkStart w:id="1279" w:name="_Toc235791677"/>
    </w:p>
    <w:p w14:paraId="71C5ECB6" w14:textId="77777777" w:rsidR="00A70381" w:rsidRDefault="00A70381" w:rsidP="00A70381"/>
    <w:p w14:paraId="783CF280" w14:textId="77777777" w:rsidR="00A70381" w:rsidRDefault="00A70381" w:rsidP="00A70381"/>
    <w:p w14:paraId="328693D3" w14:textId="77777777" w:rsidR="00A70381" w:rsidRDefault="00A70381" w:rsidP="00A70381"/>
    <w:p w14:paraId="44CC7307" w14:textId="77777777" w:rsidR="00A70381" w:rsidRDefault="00A70381" w:rsidP="00A70381">
      <w:pPr>
        <w:pStyle w:val="Heading1"/>
      </w:pPr>
    </w:p>
    <w:p w14:paraId="1E9BB5A7" w14:textId="77777777" w:rsidR="00A70381" w:rsidRDefault="00A70381" w:rsidP="00A70381"/>
    <w:p w14:paraId="1B83F240" w14:textId="77777777" w:rsidR="00A70381" w:rsidRDefault="00A70381" w:rsidP="00A70381"/>
    <w:p w14:paraId="566633E0" w14:textId="77777777" w:rsidR="00A70381" w:rsidRDefault="00A70381" w:rsidP="00A70381"/>
    <w:p w14:paraId="374B678C" w14:textId="77777777" w:rsidR="00A70381" w:rsidRDefault="00A70381" w:rsidP="00A70381"/>
    <w:p w14:paraId="69DDCB0F" w14:textId="77777777" w:rsidR="00A70381" w:rsidRDefault="00A70381" w:rsidP="00A70381"/>
    <w:p w14:paraId="04CB2CD4" w14:textId="77777777" w:rsidR="00A70381" w:rsidRDefault="00A70381" w:rsidP="00A70381"/>
    <w:p w14:paraId="2B3B55E5" w14:textId="77777777" w:rsidR="00A70381" w:rsidRDefault="00A70381" w:rsidP="00A70381"/>
    <w:p w14:paraId="242EBFFF" w14:textId="77777777" w:rsidR="00A70381" w:rsidRDefault="00A70381" w:rsidP="00A70381"/>
    <w:p w14:paraId="7D42F6BE" w14:textId="77777777" w:rsidR="00A70381" w:rsidRDefault="00A70381" w:rsidP="00A70381"/>
    <w:p w14:paraId="75D8DC12" w14:textId="77777777" w:rsidR="00A70381" w:rsidRDefault="00A70381" w:rsidP="00A70381"/>
    <w:p w14:paraId="070B729A" w14:textId="77777777" w:rsidR="00A70381" w:rsidRDefault="00A70381" w:rsidP="00A70381"/>
    <w:p w14:paraId="5208D42B" w14:textId="77777777" w:rsidR="00A70381" w:rsidRDefault="00A70381" w:rsidP="00A70381"/>
    <w:p w14:paraId="6B38EB0F" w14:textId="77777777" w:rsidR="00A70381" w:rsidRDefault="00A70381" w:rsidP="00A70381"/>
    <w:p w14:paraId="39930885" w14:textId="77777777" w:rsidR="00A70381" w:rsidRDefault="00A70381" w:rsidP="00A70381"/>
    <w:p w14:paraId="0E88DA36" w14:textId="77777777" w:rsidR="00A70381" w:rsidRPr="00A70381" w:rsidRDefault="00A70381" w:rsidP="00A70381"/>
    <w:p w14:paraId="4D81A6B8" w14:textId="6FE1CEEE" w:rsidR="00A70381" w:rsidRDefault="00A70381" w:rsidP="00A70381">
      <w:pPr>
        <w:pStyle w:val="Heading1"/>
      </w:pPr>
      <w:bookmarkStart w:id="1280" w:name="_Toc237872780"/>
      <w:r>
        <w:lastRenderedPageBreak/>
        <w:t>Appendix – Index</w:t>
      </w:r>
      <w:bookmarkEnd w:id="1273"/>
      <w:bookmarkEnd w:id="1274"/>
      <w:bookmarkEnd w:id="1275"/>
      <w:bookmarkEnd w:id="1276"/>
      <w:bookmarkEnd w:id="1277"/>
      <w:bookmarkEnd w:id="1278"/>
      <w:bookmarkEnd w:id="1279"/>
      <w:bookmarkEnd w:id="1280"/>
      <w:r>
        <w:t xml:space="preserve"> </w:t>
      </w:r>
    </w:p>
    <w:p w14:paraId="01E5B0B9"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A</w:t>
      </w:r>
    </w:p>
    <w:p w14:paraId="63B94E7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accommodation groups,</w:t>
      </w:r>
    </w:p>
    <w:p w14:paraId="57034FD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accommodation payments,</w:t>
      </w:r>
    </w:p>
    <w:p w14:paraId="390876BD" w14:textId="4E151799" w:rsidR="00012957" w:rsidRPr="00185EDF" w:rsidRDefault="00A70381" w:rsidP="00A70381">
      <w:pPr>
        <w:pStyle w:val="Financialbodyleft"/>
        <w:spacing w:after="60"/>
        <w:rPr>
          <w:rFonts w:ascii="Arial" w:hAnsi="Arial" w:cs="Arial"/>
          <w:i/>
          <w:color w:val="auto"/>
          <w:lang w:val="en-AU"/>
        </w:rPr>
      </w:pPr>
      <w:r w:rsidRPr="00CF336A">
        <w:rPr>
          <w:rFonts w:ascii="Arial" w:hAnsi="Arial" w:cs="Arial"/>
          <w:color w:val="auto"/>
          <w:lang w:val="en-AU"/>
        </w:rPr>
        <w:tab/>
      </w:r>
      <w:r w:rsidRPr="007E025F">
        <w:rPr>
          <w:rFonts w:ascii="Arial" w:hAnsi="Arial" w:cs="Arial"/>
          <w:i/>
          <w:color w:val="auto"/>
          <w:lang w:val="en-AU"/>
        </w:rPr>
        <w:t>see also refundable accommodation deposits</w:t>
      </w:r>
      <w:r w:rsidR="00873422">
        <w:rPr>
          <w:rFonts w:ascii="Arial" w:hAnsi="Arial" w:cs="Arial"/>
          <w:iCs/>
          <w:color w:val="auto"/>
          <w:lang w:val="en-AU"/>
        </w:rPr>
        <w:t xml:space="preserve"> </w:t>
      </w:r>
      <w:r w:rsidR="00012957">
        <w:rPr>
          <w:rFonts w:ascii="Arial" w:hAnsi="Arial" w:cs="Arial"/>
          <w:iCs/>
          <w:color w:val="auto"/>
          <w:lang w:val="en-AU"/>
        </w:rPr>
        <w:t xml:space="preserve"> </w:t>
      </w:r>
    </w:p>
    <w:p w14:paraId="4240B4C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accountable authority,</w:t>
      </w:r>
    </w:p>
    <w:p w14:paraId="476486E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accounting standards,</w:t>
      </w:r>
    </w:p>
    <w:p w14:paraId="7697CD0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acronyms and abbreviations,</w:t>
      </w:r>
    </w:p>
    <w:p w14:paraId="38A1EE4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activity based funding</w:t>
      </w:r>
    </w:p>
    <w:p w14:paraId="373EADC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classification systems,</w:t>
      </w:r>
    </w:p>
    <w:p w14:paraId="7A9E580D" w14:textId="77777777" w:rsidR="00A70381" w:rsidRPr="00CF336A" w:rsidRDefault="00A70381" w:rsidP="00A70381">
      <w:pPr>
        <w:pStyle w:val="Financialbodyleft"/>
        <w:spacing w:after="60"/>
        <w:ind w:left="720"/>
        <w:rPr>
          <w:rFonts w:ascii="Arial" w:hAnsi="Arial" w:cs="Arial"/>
          <w:color w:val="auto"/>
          <w:lang w:val="en-AU"/>
        </w:rPr>
      </w:pPr>
      <w:r w:rsidRPr="00CF336A">
        <w:rPr>
          <w:rFonts w:ascii="Arial" w:hAnsi="Arial" w:cs="Arial"/>
          <w:color w:val="auto"/>
          <w:lang w:val="en-AU"/>
        </w:rPr>
        <w:t>data sets,</w:t>
      </w:r>
    </w:p>
    <w:p w14:paraId="27A4EEF9" w14:textId="77777777" w:rsidR="00A70381" w:rsidRPr="00CF336A" w:rsidRDefault="00A70381" w:rsidP="00A70381">
      <w:pPr>
        <w:pStyle w:val="Financialbodyleft"/>
        <w:spacing w:after="60"/>
        <w:ind w:left="720"/>
        <w:rPr>
          <w:rFonts w:ascii="Arial" w:hAnsi="Arial" w:cs="Arial"/>
          <w:color w:val="auto"/>
          <w:lang w:val="en-AU"/>
        </w:rPr>
      </w:pPr>
      <w:r w:rsidRPr="00CF336A">
        <w:rPr>
          <w:rFonts w:ascii="Arial" w:hAnsi="Arial" w:cs="Arial"/>
          <w:color w:val="auto"/>
          <w:lang w:val="en-AU"/>
        </w:rPr>
        <w:t>definition,</w:t>
      </w:r>
    </w:p>
    <w:p w14:paraId="7D7090DB" w14:textId="77777777" w:rsidR="00A70381" w:rsidRPr="00CF336A" w:rsidRDefault="00A70381" w:rsidP="00A70381">
      <w:pPr>
        <w:pStyle w:val="Financialbodyleft"/>
        <w:spacing w:after="60"/>
        <w:ind w:left="720"/>
        <w:rPr>
          <w:rFonts w:ascii="Arial" w:hAnsi="Arial" w:cs="Arial"/>
          <w:color w:val="auto"/>
          <w:lang w:val="en-AU"/>
        </w:rPr>
      </w:pPr>
      <w:r w:rsidRPr="00CF336A">
        <w:rPr>
          <w:rFonts w:ascii="Arial" w:hAnsi="Arial" w:cs="Arial"/>
          <w:color w:val="auto"/>
          <w:lang w:val="en-AU"/>
        </w:rPr>
        <w:t>reports to committees,</w:t>
      </w:r>
    </w:p>
    <w:p w14:paraId="62722FEC" w14:textId="77777777" w:rsidR="00A70381" w:rsidRPr="00CF336A" w:rsidRDefault="00A70381" w:rsidP="00A70381">
      <w:pPr>
        <w:pStyle w:val="Financialbodyleft"/>
        <w:spacing w:after="60"/>
        <w:ind w:left="720"/>
        <w:rPr>
          <w:rFonts w:ascii="Arial" w:hAnsi="Arial" w:cs="Arial"/>
          <w:color w:val="auto"/>
          <w:lang w:val="en-AU"/>
        </w:rPr>
      </w:pPr>
      <w:r w:rsidRPr="00CF336A">
        <w:rPr>
          <w:rFonts w:ascii="Arial" w:hAnsi="Arial" w:cs="Arial"/>
          <w:color w:val="auto"/>
          <w:lang w:val="en-AU"/>
        </w:rPr>
        <w:t xml:space="preserve">research and analysis, </w:t>
      </w:r>
    </w:p>
    <w:p w14:paraId="51A54F11"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adjustment,</w:t>
      </w:r>
    </w:p>
    <w:p w14:paraId="4DD7335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Administrator of the National Health Funding Pool,</w:t>
      </w:r>
    </w:p>
    <w:p w14:paraId="53D872B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advertising and market research,</w:t>
      </w:r>
    </w:p>
    <w:p w14:paraId="31B654A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i/>
          <w:iCs/>
          <w:color w:val="auto"/>
          <w:lang w:val="en-AU"/>
        </w:rPr>
        <w:t>Aged Care Act 1997</w:t>
      </w:r>
      <w:r w:rsidRPr="00CF336A">
        <w:rPr>
          <w:rFonts w:ascii="Arial" w:hAnsi="Arial" w:cs="Arial"/>
          <w:color w:val="auto"/>
          <w:lang w:val="en-AU"/>
        </w:rPr>
        <w:t>,</w:t>
      </w:r>
    </w:p>
    <w:p w14:paraId="3AD9CFD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i/>
          <w:iCs/>
          <w:color w:val="auto"/>
          <w:lang w:val="en-AU"/>
        </w:rPr>
        <w:t>Aged Care Act 2024</w:t>
      </w:r>
      <w:r w:rsidRPr="00CF336A">
        <w:rPr>
          <w:rFonts w:ascii="Arial" w:hAnsi="Arial" w:cs="Arial"/>
          <w:color w:val="auto"/>
          <w:lang w:val="en-AU"/>
        </w:rPr>
        <w:t>,</w:t>
      </w:r>
    </w:p>
    <w:p w14:paraId="5107A17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Aged Care Advisory Committee,</w:t>
      </w:r>
    </w:p>
    <w:p w14:paraId="2CCAC9D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about,</w:t>
      </w:r>
    </w:p>
    <w:p w14:paraId="7AAF2FD9"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Chair’s letter,</w:t>
      </w:r>
    </w:p>
    <w:p w14:paraId="2DCB8EB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membership and meetings,</w:t>
      </w:r>
    </w:p>
    <w:p w14:paraId="752FF30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i/>
          <w:iCs/>
          <w:color w:val="auto"/>
          <w:lang w:val="en-AU"/>
        </w:rPr>
        <w:t>Aged Care and Other Legislation Amendment (Royal Commission Response) Act 2022</w:t>
      </w:r>
      <w:r w:rsidRPr="00CF336A">
        <w:rPr>
          <w:rFonts w:ascii="Arial" w:hAnsi="Arial" w:cs="Arial"/>
          <w:color w:val="auto"/>
          <w:lang w:val="en-AU"/>
        </w:rPr>
        <w:t>,</w:t>
      </w:r>
    </w:p>
    <w:p w14:paraId="4B8C265E" w14:textId="77777777" w:rsidR="00A70381" w:rsidRPr="00CF336A" w:rsidRDefault="00A70381" w:rsidP="00A70381">
      <w:pPr>
        <w:pStyle w:val="Financialbodyleft"/>
        <w:spacing w:after="60"/>
        <w:rPr>
          <w:rFonts w:ascii="Arial" w:hAnsi="Arial" w:cs="Arial"/>
          <w:color w:val="auto"/>
          <w:lang w:val="en-AU"/>
        </w:rPr>
      </w:pPr>
      <w:r w:rsidRPr="007E025F">
        <w:rPr>
          <w:rFonts w:ascii="Arial" w:hAnsi="Arial" w:cs="Arial"/>
          <w:color w:val="auto"/>
          <w:lang w:val="en-AU"/>
        </w:rPr>
        <w:t>Aged Care Legislation Amendment (Independent Health and Aged Care Pricing Authority) Instrument 2022</w:t>
      </w:r>
      <w:r w:rsidRPr="00CF336A">
        <w:rPr>
          <w:rFonts w:ascii="Arial" w:hAnsi="Arial" w:cs="Arial"/>
          <w:color w:val="auto"/>
          <w:lang w:val="en-AU"/>
        </w:rPr>
        <w:t>,</w:t>
      </w:r>
    </w:p>
    <w:p w14:paraId="5AA8CCA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i/>
          <w:iCs/>
          <w:color w:val="auto"/>
          <w:lang w:val="en-AU"/>
        </w:rPr>
        <w:t>Aged Care Quality and Safety Commission Act 2018</w:t>
      </w:r>
      <w:r w:rsidRPr="00CF336A">
        <w:rPr>
          <w:rFonts w:ascii="Arial" w:hAnsi="Arial" w:cs="Arial"/>
          <w:color w:val="auto"/>
          <w:lang w:val="en-AU"/>
        </w:rPr>
        <w:t>,</w:t>
      </w:r>
    </w:p>
    <w:p w14:paraId="18C0CB3D" w14:textId="47206706"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Aged Care Network</w:t>
      </w:r>
      <w:r w:rsidR="00CD6EB4">
        <w:rPr>
          <w:rFonts w:ascii="Arial" w:hAnsi="Arial" w:cs="Arial"/>
          <w:color w:val="auto"/>
          <w:lang w:val="en-AU"/>
        </w:rPr>
        <w:t xml:space="preserve">, </w:t>
      </w:r>
    </w:p>
    <w:p w14:paraId="37419417"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aged care reform,</w:t>
      </w:r>
    </w:p>
    <w:p w14:paraId="69DB0148" w14:textId="77777777" w:rsidR="00A70381" w:rsidRPr="00CF336A"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Annesley, Kirsty, </w:t>
      </w:r>
    </w:p>
    <w:p w14:paraId="11CD199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annual performance statements,</w:t>
      </w:r>
    </w:p>
    <w:p w14:paraId="045ADDE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assessment of refundable accommodation deposits and extra service fees,</w:t>
      </w:r>
    </w:p>
    <w:p w14:paraId="2CFF443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introduction,</w:t>
      </w:r>
    </w:p>
    <w:p w14:paraId="57E93B1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r>
      <w:r>
        <w:rPr>
          <w:rFonts w:ascii="Arial" w:hAnsi="Arial" w:cs="Arial"/>
          <w:color w:val="auto"/>
          <w:lang w:val="en-AU"/>
        </w:rPr>
        <w:t>p</w:t>
      </w:r>
      <w:r w:rsidRPr="00CF336A">
        <w:rPr>
          <w:rFonts w:ascii="Arial" w:hAnsi="Arial" w:cs="Arial"/>
          <w:color w:val="auto"/>
          <w:lang w:val="en-AU"/>
        </w:rPr>
        <w:t xml:space="preserve">ortfolio </w:t>
      </w:r>
      <w:r>
        <w:rPr>
          <w:rFonts w:ascii="Arial" w:hAnsi="Arial" w:cs="Arial"/>
          <w:color w:val="auto"/>
          <w:lang w:val="en-AU"/>
        </w:rPr>
        <w:t>s</w:t>
      </w:r>
      <w:r w:rsidRPr="00CF336A">
        <w:rPr>
          <w:rFonts w:ascii="Arial" w:hAnsi="Arial" w:cs="Arial"/>
          <w:color w:val="auto"/>
          <w:lang w:val="en-AU"/>
        </w:rPr>
        <w:t>tatements,</w:t>
      </w:r>
    </w:p>
    <w:p w14:paraId="298CA8E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 xml:space="preserve">Strategic </w:t>
      </w:r>
      <w:r>
        <w:rPr>
          <w:rFonts w:ascii="Arial" w:hAnsi="Arial" w:cs="Arial"/>
          <w:color w:val="auto"/>
          <w:lang w:val="en-AU"/>
        </w:rPr>
        <w:t>o</w:t>
      </w:r>
      <w:r w:rsidRPr="00CF336A">
        <w:rPr>
          <w:rFonts w:ascii="Arial" w:hAnsi="Arial" w:cs="Arial"/>
          <w:color w:val="auto"/>
          <w:lang w:val="en-AU"/>
        </w:rPr>
        <w:t xml:space="preserve">bjective </w:t>
      </w:r>
      <w:r>
        <w:rPr>
          <w:rFonts w:ascii="Arial" w:hAnsi="Arial" w:cs="Arial"/>
          <w:color w:val="auto"/>
          <w:lang w:val="en-AU"/>
        </w:rPr>
        <w:t>o</w:t>
      </w:r>
      <w:r w:rsidRPr="00CF336A">
        <w:rPr>
          <w:rFonts w:ascii="Arial" w:hAnsi="Arial" w:cs="Arial"/>
          <w:color w:val="auto"/>
          <w:lang w:val="en-AU"/>
        </w:rPr>
        <w:t xml:space="preserve">ne: Perform </w:t>
      </w:r>
      <w:r>
        <w:rPr>
          <w:rFonts w:ascii="Arial" w:hAnsi="Arial" w:cs="Arial"/>
          <w:color w:val="auto"/>
          <w:lang w:val="en-AU"/>
        </w:rPr>
        <w:t>p</w:t>
      </w:r>
      <w:r w:rsidRPr="00CF336A">
        <w:rPr>
          <w:rFonts w:ascii="Arial" w:hAnsi="Arial" w:cs="Arial"/>
          <w:color w:val="auto"/>
          <w:lang w:val="en-AU"/>
        </w:rPr>
        <w:t xml:space="preserve">ricing </w:t>
      </w:r>
      <w:r>
        <w:rPr>
          <w:rFonts w:ascii="Arial" w:hAnsi="Arial" w:cs="Arial"/>
          <w:color w:val="auto"/>
          <w:lang w:val="en-AU"/>
        </w:rPr>
        <w:t>f</w:t>
      </w:r>
      <w:r w:rsidRPr="00CF336A">
        <w:rPr>
          <w:rFonts w:ascii="Arial" w:hAnsi="Arial" w:cs="Arial"/>
          <w:color w:val="auto"/>
          <w:lang w:val="en-AU"/>
        </w:rPr>
        <w:t>unctions,</w:t>
      </w:r>
    </w:p>
    <w:p w14:paraId="1438DE6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 xml:space="preserve">Strategic </w:t>
      </w:r>
      <w:r>
        <w:rPr>
          <w:rFonts w:ascii="Arial" w:hAnsi="Arial" w:cs="Arial"/>
          <w:color w:val="auto"/>
          <w:lang w:val="en-AU"/>
        </w:rPr>
        <w:t>o</w:t>
      </w:r>
      <w:r w:rsidRPr="00CF336A">
        <w:rPr>
          <w:rFonts w:ascii="Arial" w:hAnsi="Arial" w:cs="Arial"/>
          <w:color w:val="auto"/>
          <w:lang w:val="en-AU"/>
        </w:rPr>
        <w:t xml:space="preserve">bjective </w:t>
      </w:r>
      <w:r>
        <w:rPr>
          <w:rFonts w:ascii="Arial" w:hAnsi="Arial" w:cs="Arial"/>
          <w:color w:val="auto"/>
          <w:lang w:val="en-AU"/>
        </w:rPr>
        <w:t>t</w:t>
      </w:r>
      <w:r w:rsidRPr="00CF336A">
        <w:rPr>
          <w:rFonts w:ascii="Arial" w:hAnsi="Arial" w:cs="Arial"/>
          <w:color w:val="auto"/>
          <w:lang w:val="en-AU"/>
        </w:rPr>
        <w:t>wo: Refine and develop hospital and aged care activity classification systems,</w:t>
      </w:r>
    </w:p>
    <w:p w14:paraId="64B883C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 xml:space="preserve">Strategic </w:t>
      </w:r>
      <w:r>
        <w:rPr>
          <w:rFonts w:ascii="Arial" w:hAnsi="Arial" w:cs="Arial"/>
          <w:color w:val="auto"/>
          <w:lang w:val="en-AU"/>
        </w:rPr>
        <w:t>o</w:t>
      </w:r>
      <w:r w:rsidRPr="00CF336A">
        <w:rPr>
          <w:rFonts w:ascii="Arial" w:hAnsi="Arial" w:cs="Arial"/>
          <w:color w:val="auto"/>
          <w:lang w:val="en-AU"/>
        </w:rPr>
        <w:t xml:space="preserve">bjective </w:t>
      </w:r>
      <w:r>
        <w:rPr>
          <w:rFonts w:ascii="Arial" w:hAnsi="Arial" w:cs="Arial"/>
          <w:color w:val="auto"/>
          <w:lang w:val="en-AU"/>
        </w:rPr>
        <w:t>t</w:t>
      </w:r>
      <w:r w:rsidRPr="00CF336A">
        <w:rPr>
          <w:rFonts w:ascii="Arial" w:hAnsi="Arial" w:cs="Arial"/>
          <w:color w:val="auto"/>
          <w:lang w:val="en-AU"/>
        </w:rPr>
        <w:t>hree: Refine and improve hospital and aged care costing,</w:t>
      </w:r>
    </w:p>
    <w:p w14:paraId="15A5821B"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Strategic </w:t>
      </w:r>
      <w:r>
        <w:rPr>
          <w:rFonts w:ascii="Arial" w:hAnsi="Arial" w:cs="Arial"/>
          <w:color w:val="auto"/>
          <w:lang w:val="en-AU"/>
        </w:rPr>
        <w:t>o</w:t>
      </w:r>
      <w:r w:rsidRPr="00CF336A">
        <w:rPr>
          <w:rFonts w:ascii="Arial" w:hAnsi="Arial" w:cs="Arial"/>
          <w:color w:val="auto"/>
          <w:lang w:val="en-AU"/>
        </w:rPr>
        <w:t xml:space="preserve">bjective </w:t>
      </w:r>
      <w:r>
        <w:rPr>
          <w:rFonts w:ascii="Arial" w:hAnsi="Arial" w:cs="Arial"/>
          <w:color w:val="auto"/>
          <w:lang w:val="en-AU"/>
        </w:rPr>
        <w:t>f</w:t>
      </w:r>
      <w:r w:rsidRPr="00CF336A">
        <w:rPr>
          <w:rFonts w:ascii="Arial" w:hAnsi="Arial" w:cs="Arial"/>
          <w:color w:val="auto"/>
          <w:lang w:val="en-AU"/>
        </w:rPr>
        <w:t>our: Determine data requirements and collect data,</w:t>
      </w:r>
    </w:p>
    <w:p w14:paraId="097CFA7D" w14:textId="77777777" w:rsidR="00A70381" w:rsidRPr="00CF336A" w:rsidRDefault="00A70381" w:rsidP="00A70381">
      <w:pPr>
        <w:pStyle w:val="Financialbodyleft"/>
        <w:spacing w:after="60"/>
        <w:ind w:left="720"/>
        <w:rPr>
          <w:rFonts w:ascii="Arial" w:hAnsi="Arial" w:cs="Arial"/>
          <w:color w:val="auto"/>
          <w:lang w:val="en-AU"/>
        </w:rPr>
      </w:pPr>
      <w:r w:rsidRPr="00CF336A">
        <w:rPr>
          <w:rFonts w:ascii="Arial" w:hAnsi="Arial" w:cs="Arial"/>
          <w:color w:val="auto"/>
          <w:lang w:val="en-AU"/>
        </w:rPr>
        <w:t xml:space="preserve">Strategic </w:t>
      </w:r>
      <w:r>
        <w:rPr>
          <w:rFonts w:ascii="Arial" w:hAnsi="Arial" w:cs="Arial"/>
          <w:color w:val="auto"/>
          <w:lang w:val="en-AU"/>
        </w:rPr>
        <w:t>o</w:t>
      </w:r>
      <w:r w:rsidRPr="00CF336A">
        <w:rPr>
          <w:rFonts w:ascii="Arial" w:hAnsi="Arial" w:cs="Arial"/>
          <w:color w:val="auto"/>
          <w:lang w:val="en-AU"/>
        </w:rPr>
        <w:t xml:space="preserve">bjective </w:t>
      </w:r>
      <w:r>
        <w:rPr>
          <w:rFonts w:ascii="Arial" w:hAnsi="Arial" w:cs="Arial"/>
          <w:color w:val="auto"/>
          <w:lang w:val="en-AU"/>
        </w:rPr>
        <w:t>f</w:t>
      </w:r>
      <w:r w:rsidRPr="00CF336A">
        <w:rPr>
          <w:rFonts w:ascii="Arial" w:hAnsi="Arial" w:cs="Arial"/>
          <w:color w:val="auto"/>
          <w:lang w:val="en-AU"/>
        </w:rPr>
        <w:t>ive: Investigate and make recommendations concerning cost-shifting and cross-border disputes,</w:t>
      </w:r>
    </w:p>
    <w:p w14:paraId="1AA23520"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Strategic </w:t>
      </w:r>
      <w:r>
        <w:rPr>
          <w:rFonts w:ascii="Arial" w:hAnsi="Arial" w:cs="Arial"/>
          <w:color w:val="auto"/>
          <w:lang w:val="en-AU"/>
        </w:rPr>
        <w:t>o</w:t>
      </w:r>
      <w:r w:rsidRPr="00CF336A">
        <w:rPr>
          <w:rFonts w:ascii="Arial" w:hAnsi="Arial" w:cs="Arial"/>
          <w:color w:val="auto"/>
          <w:lang w:val="en-AU"/>
        </w:rPr>
        <w:t xml:space="preserve">bjective </w:t>
      </w:r>
      <w:r>
        <w:rPr>
          <w:rFonts w:ascii="Arial" w:hAnsi="Arial" w:cs="Arial"/>
          <w:color w:val="auto"/>
          <w:lang w:val="en-AU"/>
        </w:rPr>
        <w:t>s</w:t>
      </w:r>
      <w:r w:rsidRPr="00CF336A">
        <w:rPr>
          <w:rFonts w:ascii="Arial" w:hAnsi="Arial" w:cs="Arial"/>
          <w:color w:val="auto"/>
          <w:lang w:val="en-AU"/>
        </w:rPr>
        <w:t>ix: Conduct independent and transparent decision-making and engage with stakeholders,</w:t>
      </w:r>
    </w:p>
    <w:p w14:paraId="5BDCCA71"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Appleyard, Glenn,</w:t>
      </w:r>
    </w:p>
    <w:p w14:paraId="404F2545" w14:textId="77777777" w:rsidR="00A70381"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Arumugam, Yaso, </w:t>
      </w:r>
    </w:p>
    <w:p w14:paraId="3F837162" w14:textId="5E2D88A2" w:rsidR="00873422" w:rsidRPr="00CF336A" w:rsidRDefault="00873422" w:rsidP="00A70381">
      <w:pPr>
        <w:pStyle w:val="Financialbodyleft"/>
        <w:spacing w:after="60"/>
        <w:rPr>
          <w:rFonts w:ascii="Arial" w:hAnsi="Arial" w:cs="Arial"/>
          <w:color w:val="auto"/>
          <w:lang w:val="en-AU"/>
        </w:rPr>
      </w:pPr>
      <w:r>
        <w:rPr>
          <w:rFonts w:ascii="Arial" w:hAnsi="Arial" w:cs="Arial"/>
          <w:color w:val="auto"/>
          <w:lang w:val="en-AU"/>
        </w:rPr>
        <w:t xml:space="preserve">assurance,  </w:t>
      </w:r>
    </w:p>
    <w:p w14:paraId="3755A83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audits,</w:t>
      </w:r>
    </w:p>
    <w:p w14:paraId="6C22881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 xml:space="preserve">Independent </w:t>
      </w:r>
      <w:r>
        <w:rPr>
          <w:rFonts w:ascii="Arial" w:hAnsi="Arial" w:cs="Arial"/>
          <w:color w:val="auto"/>
          <w:lang w:val="en-AU"/>
        </w:rPr>
        <w:t>a</w:t>
      </w:r>
      <w:r w:rsidRPr="00CF336A">
        <w:rPr>
          <w:rFonts w:ascii="Arial" w:hAnsi="Arial" w:cs="Arial"/>
          <w:color w:val="auto"/>
          <w:lang w:val="en-AU"/>
        </w:rPr>
        <w:t xml:space="preserve">uditor’s </w:t>
      </w:r>
      <w:r>
        <w:rPr>
          <w:rFonts w:ascii="Arial" w:hAnsi="Arial" w:cs="Arial"/>
          <w:color w:val="auto"/>
          <w:lang w:val="en-AU"/>
        </w:rPr>
        <w:t>r</w:t>
      </w:r>
      <w:r w:rsidRPr="00CF336A">
        <w:rPr>
          <w:rFonts w:ascii="Arial" w:hAnsi="Arial" w:cs="Arial"/>
          <w:color w:val="auto"/>
          <w:lang w:val="en-AU"/>
        </w:rPr>
        <w:t>eport,</w:t>
      </w:r>
    </w:p>
    <w:p w14:paraId="03CBB2D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lastRenderedPageBreak/>
        <w:tab/>
        <w:t>internal compliance,</w:t>
      </w:r>
    </w:p>
    <w:p w14:paraId="3898F63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Audit, Risk and Compliance Committee,</w:t>
      </w:r>
    </w:p>
    <w:p w14:paraId="5F2B5FF8"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Australian </w:t>
      </w:r>
      <w:r>
        <w:rPr>
          <w:rFonts w:ascii="Arial" w:hAnsi="Arial" w:cs="Arial"/>
          <w:color w:val="auto"/>
          <w:lang w:val="en-AU"/>
        </w:rPr>
        <w:t>a</w:t>
      </w:r>
      <w:r w:rsidRPr="00CF336A">
        <w:rPr>
          <w:rFonts w:ascii="Arial" w:hAnsi="Arial" w:cs="Arial"/>
          <w:color w:val="auto"/>
          <w:lang w:val="en-AU"/>
        </w:rPr>
        <w:t xml:space="preserve">ccounting </w:t>
      </w:r>
      <w:r>
        <w:rPr>
          <w:rFonts w:ascii="Arial" w:hAnsi="Arial" w:cs="Arial"/>
          <w:color w:val="auto"/>
          <w:lang w:val="en-AU"/>
        </w:rPr>
        <w:t>s</w:t>
      </w:r>
      <w:r w:rsidRPr="00CF336A">
        <w:rPr>
          <w:rFonts w:ascii="Arial" w:hAnsi="Arial" w:cs="Arial"/>
          <w:color w:val="auto"/>
          <w:lang w:val="en-AU"/>
        </w:rPr>
        <w:t xml:space="preserve">tandards and </w:t>
      </w:r>
      <w:r>
        <w:rPr>
          <w:rFonts w:ascii="Arial" w:hAnsi="Arial" w:cs="Arial"/>
          <w:color w:val="auto"/>
          <w:lang w:val="en-AU"/>
        </w:rPr>
        <w:t>i</w:t>
      </w:r>
      <w:r w:rsidRPr="00CF336A">
        <w:rPr>
          <w:rFonts w:ascii="Arial" w:hAnsi="Arial" w:cs="Arial"/>
          <w:color w:val="auto"/>
          <w:lang w:val="en-AU"/>
        </w:rPr>
        <w:t>nterpretations,</w:t>
      </w:r>
    </w:p>
    <w:p w14:paraId="1E0D96D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Accounting Standards Board,</w:t>
      </w:r>
    </w:p>
    <w:p w14:paraId="0A5FB51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Aged Care Costing Standards,</w:t>
      </w:r>
    </w:p>
    <w:p w14:paraId="14B2A25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Classification of Health Interventions (ACHI),</w:t>
      </w:r>
    </w:p>
    <w:p w14:paraId="240B014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Coding Standards (ACS),</w:t>
      </w:r>
    </w:p>
    <w:p w14:paraId="553BFB0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Emergency Care Classification (AECC),</w:t>
      </w:r>
    </w:p>
    <w:p w14:paraId="791ACC6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Hospital Patient Costing Standards (AHPCS),</w:t>
      </w:r>
    </w:p>
    <w:p w14:paraId="1421865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Mental Health Care Classification (AMHCC),</w:t>
      </w:r>
    </w:p>
    <w:p w14:paraId="652B33C8"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AMHCC Version 1.1</w:t>
      </w:r>
    </w:p>
    <w:p w14:paraId="456E75B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AMHCC Version 2.0</w:t>
      </w:r>
    </w:p>
    <w:p w14:paraId="39A7DE0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National Aged Care Classification (AN-ACC),</w:t>
      </w:r>
    </w:p>
    <w:p w14:paraId="77FE855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National Subacute and Non-Acute Patient Classification (AN-SNAP),</w:t>
      </w:r>
    </w:p>
    <w:p w14:paraId="7A4F4F8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Non-Admitted Patient Classification Project</w:t>
      </w:r>
      <w:r>
        <w:rPr>
          <w:rFonts w:ascii="Arial" w:hAnsi="Arial" w:cs="Arial"/>
          <w:color w:val="auto"/>
          <w:lang w:val="en-AU"/>
        </w:rPr>
        <w:t xml:space="preserve"> (ANAPP)</w:t>
      </w:r>
      <w:r w:rsidRPr="00CF336A">
        <w:rPr>
          <w:rFonts w:ascii="Arial" w:hAnsi="Arial" w:cs="Arial"/>
          <w:color w:val="auto"/>
          <w:lang w:val="en-AU"/>
        </w:rPr>
        <w:t>,</w:t>
      </w:r>
    </w:p>
    <w:p w14:paraId="602B7B40" w14:textId="19424F3D"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Australian Public Service,  </w:t>
      </w:r>
    </w:p>
    <w:p w14:paraId="7F2439A3"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Net Zero 2030 policy, </w:t>
      </w:r>
    </w:p>
    <w:p w14:paraId="2BC417EE" w14:textId="4155DF18"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Strategic </w:t>
      </w:r>
      <w:r w:rsidR="005E5AC0">
        <w:rPr>
          <w:rFonts w:ascii="Arial" w:hAnsi="Arial" w:cs="Arial"/>
          <w:color w:val="auto"/>
          <w:lang w:val="en-AU"/>
        </w:rPr>
        <w:t>C</w:t>
      </w:r>
      <w:r w:rsidRPr="00CF336A">
        <w:rPr>
          <w:rFonts w:ascii="Arial" w:hAnsi="Arial" w:cs="Arial"/>
          <w:color w:val="auto"/>
          <w:lang w:val="en-AU"/>
        </w:rPr>
        <w:t>ommission</w:t>
      </w:r>
      <w:r>
        <w:rPr>
          <w:rFonts w:ascii="Arial" w:hAnsi="Arial" w:cs="Arial"/>
          <w:color w:val="auto"/>
          <w:lang w:val="en-AU"/>
        </w:rPr>
        <w:t>in</w:t>
      </w:r>
      <w:r w:rsidRPr="00CF336A">
        <w:rPr>
          <w:rFonts w:ascii="Arial" w:hAnsi="Arial" w:cs="Arial"/>
          <w:color w:val="auto"/>
          <w:lang w:val="en-AU"/>
        </w:rPr>
        <w:t xml:space="preserve">g </w:t>
      </w:r>
      <w:r w:rsidR="005E5AC0">
        <w:rPr>
          <w:rFonts w:ascii="Arial" w:hAnsi="Arial" w:cs="Arial"/>
          <w:color w:val="auto"/>
          <w:lang w:val="en-AU"/>
        </w:rPr>
        <w:t>F</w:t>
      </w:r>
      <w:r w:rsidRPr="00CF336A">
        <w:rPr>
          <w:rFonts w:ascii="Arial" w:hAnsi="Arial" w:cs="Arial"/>
          <w:color w:val="auto"/>
          <w:lang w:val="en-AU"/>
        </w:rPr>
        <w:t xml:space="preserve">ramework,  </w:t>
      </w:r>
    </w:p>
    <w:p w14:paraId="1CD6C6B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Refined Diagnosis Related Groups (AR-DRGs),</w:t>
      </w:r>
    </w:p>
    <w:p w14:paraId="7692890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Australian Teaching and Training Classification,</w:t>
      </w:r>
    </w:p>
    <w:p w14:paraId="6EA10D31"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avoidable and preventable hospitalisations,</w:t>
      </w:r>
    </w:p>
    <w:p w14:paraId="3383FDA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avoidable hospital readmissions,</w:t>
      </w:r>
    </w:p>
    <w:p w14:paraId="69A78679" w14:textId="77777777" w:rsidR="00A70381" w:rsidRPr="00CF336A" w:rsidRDefault="00A70381" w:rsidP="00A70381">
      <w:pPr>
        <w:pStyle w:val="Financialbodyleft"/>
        <w:spacing w:after="60"/>
        <w:rPr>
          <w:rFonts w:ascii="Arial" w:hAnsi="Arial" w:cs="Arial"/>
          <w:color w:val="auto"/>
          <w:lang w:val="en-AU"/>
        </w:rPr>
      </w:pPr>
    </w:p>
    <w:p w14:paraId="5ADECBBD"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B</w:t>
      </w:r>
    </w:p>
    <w:p w14:paraId="303AEE3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back-casting,</w:t>
      </w:r>
    </w:p>
    <w:p w14:paraId="5FD0DA84"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block funding,</w:t>
      </w:r>
    </w:p>
    <w:p w14:paraId="6A5BD86F" w14:textId="77777777" w:rsidR="00A70381" w:rsidRPr="00CF336A"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Bond, Shane, </w:t>
      </w:r>
    </w:p>
    <w:p w14:paraId="608B1C6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Briceno, Marco,</w:t>
      </w:r>
    </w:p>
    <w:p w14:paraId="53CD5B7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Butler, Mark,</w:t>
      </w:r>
    </w:p>
    <w:p w14:paraId="083B6324" w14:textId="77777777" w:rsidR="00A70381" w:rsidRPr="00CF336A" w:rsidRDefault="00A70381" w:rsidP="00A70381">
      <w:pPr>
        <w:pStyle w:val="Financialbodyleft"/>
        <w:spacing w:after="60"/>
        <w:rPr>
          <w:rFonts w:ascii="Arial" w:hAnsi="Arial" w:cs="Arial"/>
          <w:color w:val="auto"/>
          <w:lang w:val="en-AU"/>
        </w:rPr>
      </w:pPr>
    </w:p>
    <w:p w14:paraId="69570D4E"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C</w:t>
      </w:r>
    </w:p>
    <w:p w14:paraId="4BA6502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Carey, Sharon,</w:t>
      </w:r>
    </w:p>
    <w:p w14:paraId="465D30A5" w14:textId="77777777" w:rsidR="00A70381" w:rsidRPr="00CF336A"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Carter, Nicole, </w:t>
      </w:r>
    </w:p>
    <w:p w14:paraId="0020134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Chair, Aged Care Advisory Committee,</w:t>
      </w:r>
    </w:p>
    <w:p w14:paraId="6990E68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letter from the Chair,</w:t>
      </w:r>
    </w:p>
    <w:p w14:paraId="76E9CC4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Chair, Clinical Advisory Committee,</w:t>
      </w:r>
    </w:p>
    <w:p w14:paraId="024E76D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letter from the Chair,</w:t>
      </w:r>
    </w:p>
    <w:p w14:paraId="1732E99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Chair, Pricing Authority,</w:t>
      </w:r>
    </w:p>
    <w:p w14:paraId="1738B9A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Chair’s welcome,</w:t>
      </w:r>
    </w:p>
    <w:p w14:paraId="7637EE9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Chief Executive Officer</w:t>
      </w:r>
      <w:r>
        <w:rPr>
          <w:rFonts w:ascii="Arial" w:hAnsi="Arial" w:cs="Arial"/>
          <w:color w:val="auto"/>
          <w:lang w:val="en-AU"/>
        </w:rPr>
        <w:t xml:space="preserve"> (CEO)</w:t>
      </w:r>
      <w:r w:rsidRPr="00CF336A">
        <w:rPr>
          <w:rFonts w:ascii="Arial" w:hAnsi="Arial" w:cs="Arial"/>
          <w:color w:val="auto"/>
          <w:lang w:val="en-AU"/>
        </w:rPr>
        <w:t>,</w:t>
      </w:r>
    </w:p>
    <w:p w14:paraId="5AC8573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accountable authority,</w:t>
      </w:r>
    </w:p>
    <w:p w14:paraId="52C7B74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 xml:space="preserve">role, </w:t>
      </w:r>
    </w:p>
    <w:p w14:paraId="52CEB26C"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Jurisdictional Advisory Committee,</w:t>
      </w:r>
    </w:p>
    <w:p w14:paraId="5E9FC9B3"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Audit, Risk and Compliance Committee, </w:t>
      </w:r>
    </w:p>
    <w:p w14:paraId="3309CA85"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Pricing Authority, </w:t>
      </w:r>
    </w:p>
    <w:p w14:paraId="19AB18C6"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CEO year in review, </w:t>
      </w:r>
    </w:p>
    <w:p w14:paraId="53E23035"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skills development, </w:t>
      </w:r>
    </w:p>
    <w:p w14:paraId="276037A6"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financial statements, </w:t>
      </w:r>
    </w:p>
    <w:p w14:paraId="31439F5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Chief Financial Officer,</w:t>
      </w:r>
    </w:p>
    <w:p w14:paraId="0A44A3C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lastRenderedPageBreak/>
        <w:t>classification systems</w:t>
      </w:r>
    </w:p>
    <w:p w14:paraId="064AB9B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Clinical Advisory Committee,</w:t>
      </w:r>
    </w:p>
    <w:p w14:paraId="7BC48250"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about,</w:t>
      </w:r>
    </w:p>
    <w:p w14:paraId="3CC84487"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letter from the Chair</w:t>
      </w:r>
    </w:p>
    <w:p w14:paraId="69F9C67B" w14:textId="77777777" w:rsidR="00A70381"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membership and meetings,</w:t>
      </w:r>
    </w:p>
    <w:p w14:paraId="2E405BE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cluster coding,</w:t>
      </w:r>
    </w:p>
    <w:p w14:paraId="7612E3D1"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Cockerell, Rowan,</w:t>
      </w:r>
    </w:p>
    <w:p w14:paraId="4DBAB18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Coltzou, Adam,</w:t>
      </w:r>
    </w:p>
    <w:p w14:paraId="0E39516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committees and working groups,</w:t>
      </w:r>
    </w:p>
    <w:p w14:paraId="47F4893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i/>
          <w:iCs/>
          <w:color w:val="auto"/>
          <w:lang w:val="en-AU"/>
        </w:rPr>
        <w:t>Commonwealth Electoral Act 1918</w:t>
      </w:r>
      <w:r w:rsidRPr="00CF336A">
        <w:rPr>
          <w:rFonts w:ascii="Arial" w:hAnsi="Arial" w:cs="Arial"/>
          <w:color w:val="auto"/>
          <w:lang w:val="en-AU"/>
        </w:rPr>
        <w:t>,</w:t>
      </w:r>
    </w:p>
    <w:p w14:paraId="0B41416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compliance,</w:t>
      </w:r>
    </w:p>
    <w:p w14:paraId="6175C86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Complaints </w:t>
      </w:r>
      <w:r>
        <w:rPr>
          <w:rFonts w:ascii="Arial" w:hAnsi="Arial" w:cs="Arial"/>
          <w:color w:val="auto"/>
          <w:lang w:val="en-AU"/>
        </w:rPr>
        <w:t>m</w:t>
      </w:r>
      <w:r w:rsidRPr="00CF336A">
        <w:rPr>
          <w:rFonts w:ascii="Arial" w:hAnsi="Arial" w:cs="Arial"/>
          <w:color w:val="auto"/>
          <w:lang w:val="en-AU"/>
        </w:rPr>
        <w:t xml:space="preserve">anagement </w:t>
      </w:r>
      <w:r>
        <w:rPr>
          <w:rFonts w:ascii="Arial" w:hAnsi="Arial" w:cs="Arial"/>
          <w:color w:val="auto"/>
          <w:lang w:val="en-AU"/>
        </w:rPr>
        <w:t>p</w:t>
      </w:r>
      <w:r w:rsidRPr="00CF336A">
        <w:rPr>
          <w:rFonts w:ascii="Arial" w:hAnsi="Arial" w:cs="Arial"/>
          <w:color w:val="auto"/>
          <w:lang w:val="en-AU"/>
        </w:rPr>
        <w:t xml:space="preserve">olicy and </w:t>
      </w:r>
      <w:r>
        <w:rPr>
          <w:rFonts w:ascii="Arial" w:hAnsi="Arial" w:cs="Arial"/>
          <w:color w:val="auto"/>
          <w:lang w:val="en-AU"/>
        </w:rPr>
        <w:t>p</w:t>
      </w:r>
      <w:r w:rsidRPr="00CF336A">
        <w:rPr>
          <w:rFonts w:ascii="Arial" w:hAnsi="Arial" w:cs="Arial"/>
          <w:color w:val="auto"/>
          <w:lang w:val="en-AU"/>
        </w:rPr>
        <w:t xml:space="preserve">rocedure, </w:t>
      </w:r>
    </w:p>
    <w:p w14:paraId="7E96110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contact details, inside front cover</w:t>
      </w:r>
    </w:p>
    <w:p w14:paraId="5E180BD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Consultation Paper on the Pricing Approach for the Support at Home service list, </w:t>
      </w:r>
    </w:p>
    <w:p w14:paraId="5B8A157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Consultation Paper on the Pricing Framework for Australian Public Hospital Services,</w:t>
      </w:r>
    </w:p>
    <w:p w14:paraId="5B67179A"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Consultation Paper on the Pricing Framework for Australian Residential Aged Care Services,</w:t>
      </w:r>
    </w:p>
    <w:p w14:paraId="151053F4" w14:textId="3E0D28F3" w:rsidR="00A25988" w:rsidRPr="00CF336A" w:rsidRDefault="00A25988" w:rsidP="00A70381">
      <w:pPr>
        <w:pStyle w:val="Financialbodyleft"/>
        <w:spacing w:after="60"/>
        <w:rPr>
          <w:rFonts w:ascii="Arial" w:hAnsi="Arial" w:cs="Arial"/>
          <w:color w:val="auto"/>
          <w:lang w:val="en-AU"/>
        </w:rPr>
      </w:pPr>
      <w:r>
        <w:rPr>
          <w:rFonts w:ascii="Arial" w:hAnsi="Arial" w:cs="Arial"/>
          <w:color w:val="auto"/>
          <w:lang w:val="en-AU"/>
        </w:rPr>
        <w:t xml:space="preserve">Consumer Price Index (CPI), </w:t>
      </w:r>
    </w:p>
    <w:p w14:paraId="1D015BD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coronavirus disease 2019, </w:t>
      </w:r>
    </w:p>
    <w:p w14:paraId="582C37D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corporate governance,</w:t>
      </w:r>
    </w:p>
    <w:p w14:paraId="336727E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corporate plan,</w:t>
      </w:r>
    </w:p>
    <w:p w14:paraId="17734308" w14:textId="77777777" w:rsidR="00A70381" w:rsidRPr="00CF336A" w:rsidRDefault="00A70381" w:rsidP="00A70381">
      <w:pPr>
        <w:pStyle w:val="Financialbodyleft"/>
        <w:spacing w:after="60"/>
        <w:rPr>
          <w:rFonts w:ascii="Arial" w:hAnsi="Arial" w:cs="Arial"/>
          <w:i/>
          <w:iCs/>
          <w:color w:val="auto"/>
          <w:lang w:val="en-AU"/>
        </w:rPr>
      </w:pPr>
      <w:r w:rsidRPr="00CF336A">
        <w:rPr>
          <w:rFonts w:ascii="Arial" w:hAnsi="Arial" w:cs="Arial"/>
          <w:color w:val="auto"/>
          <w:lang w:val="en-AU"/>
        </w:rPr>
        <w:tab/>
      </w:r>
      <w:r>
        <w:rPr>
          <w:rFonts w:ascii="Arial" w:hAnsi="Arial" w:cs="Arial"/>
          <w:i/>
          <w:iCs/>
          <w:color w:val="auto"/>
          <w:lang w:val="en-AU"/>
        </w:rPr>
        <w:t>s</w:t>
      </w:r>
      <w:r w:rsidRPr="00CF336A">
        <w:rPr>
          <w:rFonts w:ascii="Arial" w:hAnsi="Arial" w:cs="Arial"/>
          <w:i/>
          <w:iCs/>
          <w:color w:val="auto"/>
          <w:lang w:val="en-AU"/>
        </w:rPr>
        <w:t>ee also IHACPA</w:t>
      </w:r>
    </w:p>
    <w:p w14:paraId="3BDF4985" w14:textId="77777777" w:rsidR="00A70381"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Cost Bucket Review, </w:t>
      </w:r>
    </w:p>
    <w:p w14:paraId="0014555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Cost-Shifting and Cross-Border Dispute Resolution Policy</w:t>
      </w:r>
    </w:p>
    <w:p w14:paraId="271A1B1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Council of Australian Governments,</w:t>
      </w:r>
    </w:p>
    <w:p w14:paraId="2F8EBF5D" w14:textId="77777777" w:rsidR="00A70381" w:rsidRPr="00CF336A" w:rsidRDefault="00A70381" w:rsidP="00A70381">
      <w:pPr>
        <w:pStyle w:val="Financialbodyleft"/>
        <w:spacing w:after="60"/>
        <w:rPr>
          <w:rFonts w:ascii="Arial" w:hAnsi="Arial" w:cs="Arial"/>
          <w:color w:val="auto"/>
          <w:szCs w:val="18"/>
          <w:lang w:val="en-AU"/>
        </w:rPr>
      </w:pPr>
      <w:r w:rsidRPr="00CF336A">
        <w:rPr>
          <w:rFonts w:ascii="Arial" w:hAnsi="Arial" w:cs="Arial"/>
          <w:color w:val="auto"/>
          <w:lang w:val="en-AU"/>
        </w:rPr>
        <w:tab/>
      </w:r>
      <w:r w:rsidRPr="00CF336A">
        <w:rPr>
          <w:rFonts w:ascii="Arial" w:hAnsi="Arial" w:cs="Arial"/>
          <w:color w:val="auto"/>
          <w:szCs w:val="18"/>
          <w:lang w:val="en-AU"/>
        </w:rPr>
        <w:t>Australian Health Ministers Advisory Council and Council of Australian Governments’ working groups on system reform, health workforce and mental health,</w:t>
      </w:r>
    </w:p>
    <w:p w14:paraId="1250311F" w14:textId="77777777" w:rsidR="00A70381" w:rsidRPr="00CF336A" w:rsidRDefault="00A70381" w:rsidP="00A70381">
      <w:pPr>
        <w:pStyle w:val="Financialbodyleft"/>
        <w:spacing w:after="60"/>
        <w:rPr>
          <w:rFonts w:ascii="Arial" w:hAnsi="Arial" w:cs="Arial"/>
          <w:color w:val="auto"/>
          <w:lang w:val="en-AU"/>
        </w:rPr>
      </w:pPr>
    </w:p>
    <w:p w14:paraId="2979400A"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D</w:t>
      </w:r>
    </w:p>
    <w:p w14:paraId="2B9A87F1"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Data </w:t>
      </w:r>
      <w:r>
        <w:rPr>
          <w:rFonts w:ascii="Arial" w:hAnsi="Arial" w:cs="Arial"/>
          <w:color w:val="auto"/>
          <w:lang w:val="en-AU"/>
        </w:rPr>
        <w:t>a</w:t>
      </w:r>
      <w:r w:rsidRPr="00CF336A">
        <w:rPr>
          <w:rFonts w:ascii="Arial" w:hAnsi="Arial" w:cs="Arial"/>
          <w:color w:val="auto"/>
          <w:lang w:val="en-AU"/>
        </w:rPr>
        <w:t xml:space="preserve">ccess and </w:t>
      </w:r>
      <w:r>
        <w:rPr>
          <w:rFonts w:ascii="Arial" w:hAnsi="Arial" w:cs="Arial"/>
          <w:color w:val="auto"/>
          <w:lang w:val="en-AU"/>
        </w:rPr>
        <w:t>r</w:t>
      </w:r>
      <w:r w:rsidRPr="00CF336A">
        <w:rPr>
          <w:rFonts w:ascii="Arial" w:hAnsi="Arial" w:cs="Arial"/>
          <w:color w:val="auto"/>
          <w:lang w:val="en-AU"/>
        </w:rPr>
        <w:t xml:space="preserve">elease </w:t>
      </w:r>
      <w:r>
        <w:rPr>
          <w:rFonts w:ascii="Arial" w:hAnsi="Arial" w:cs="Arial"/>
          <w:color w:val="auto"/>
          <w:lang w:val="en-AU"/>
        </w:rPr>
        <w:t>p</w:t>
      </w:r>
      <w:r w:rsidRPr="00CF336A">
        <w:rPr>
          <w:rFonts w:ascii="Arial" w:hAnsi="Arial" w:cs="Arial"/>
          <w:color w:val="auto"/>
          <w:lang w:val="en-AU"/>
        </w:rPr>
        <w:t xml:space="preserve">olicy, </w:t>
      </w:r>
    </w:p>
    <w:p w14:paraId="625DE6E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Data </w:t>
      </w:r>
      <w:r>
        <w:rPr>
          <w:rFonts w:ascii="Arial" w:hAnsi="Arial" w:cs="Arial"/>
          <w:color w:val="auto"/>
          <w:lang w:val="en-AU"/>
        </w:rPr>
        <w:t>g</w:t>
      </w:r>
      <w:r w:rsidRPr="00CF336A">
        <w:rPr>
          <w:rFonts w:ascii="Arial" w:hAnsi="Arial" w:cs="Arial"/>
          <w:color w:val="auto"/>
          <w:lang w:val="en-AU"/>
        </w:rPr>
        <w:t xml:space="preserve">overnance </w:t>
      </w:r>
      <w:r>
        <w:rPr>
          <w:rFonts w:ascii="Arial" w:hAnsi="Arial" w:cs="Arial"/>
          <w:color w:val="auto"/>
          <w:lang w:val="en-AU"/>
        </w:rPr>
        <w:t>p</w:t>
      </w:r>
      <w:r w:rsidRPr="00CF336A">
        <w:rPr>
          <w:rFonts w:ascii="Arial" w:hAnsi="Arial" w:cs="Arial"/>
          <w:color w:val="auto"/>
          <w:lang w:val="en-AU"/>
        </w:rPr>
        <w:t>olicy,</w:t>
      </w:r>
    </w:p>
    <w:p w14:paraId="476F977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data compliance reports, </w:t>
      </w:r>
    </w:p>
    <w:p w14:paraId="1F127385"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Data </w:t>
      </w:r>
      <w:r>
        <w:rPr>
          <w:rFonts w:ascii="Arial" w:hAnsi="Arial" w:cs="Arial"/>
          <w:color w:val="auto"/>
          <w:lang w:val="en-AU"/>
        </w:rPr>
        <w:t>q</w:t>
      </w:r>
      <w:r w:rsidRPr="00CF336A">
        <w:rPr>
          <w:rFonts w:ascii="Arial" w:hAnsi="Arial" w:cs="Arial"/>
          <w:color w:val="auto"/>
          <w:lang w:val="en-AU"/>
        </w:rPr>
        <w:t xml:space="preserve">uality </w:t>
      </w:r>
      <w:r>
        <w:rPr>
          <w:rFonts w:ascii="Arial" w:hAnsi="Arial" w:cs="Arial"/>
          <w:color w:val="auto"/>
          <w:lang w:val="en-AU"/>
        </w:rPr>
        <w:t>f</w:t>
      </w:r>
      <w:r w:rsidRPr="00CF336A">
        <w:rPr>
          <w:rFonts w:ascii="Arial" w:hAnsi="Arial" w:cs="Arial"/>
          <w:color w:val="auto"/>
          <w:lang w:val="en-AU"/>
        </w:rPr>
        <w:t xml:space="preserve">ramework, </w:t>
      </w:r>
    </w:p>
    <w:p w14:paraId="21E66D24" w14:textId="77777777" w:rsidR="00A70381" w:rsidRPr="00CF336A"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Deague, Jenny, </w:t>
      </w:r>
    </w:p>
    <w:p w14:paraId="1FF5BDE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decision-making processes, </w:t>
      </w:r>
    </w:p>
    <w:p w14:paraId="3183B0E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Department of Health, Disability and Ageing, </w:t>
      </w:r>
    </w:p>
    <w:p w14:paraId="24270B5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Deputy Chair (Aged Care Pricing), </w:t>
      </w:r>
    </w:p>
    <w:p w14:paraId="08EA54D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Deputy Chair (Hospital Pricing),</w:t>
      </w:r>
    </w:p>
    <w:p w14:paraId="20C5358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Diagnosis cluster identifier,</w:t>
      </w:r>
    </w:p>
    <w:p w14:paraId="48A2BD0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Diamond, Angela,</w:t>
      </w:r>
    </w:p>
    <w:p w14:paraId="263A989A" w14:textId="77777777" w:rsidR="00A70381" w:rsidRPr="00CF336A" w:rsidRDefault="00A70381" w:rsidP="00A70381">
      <w:pPr>
        <w:pStyle w:val="Financialbodyleft"/>
        <w:spacing w:after="60"/>
        <w:rPr>
          <w:rFonts w:ascii="Arial" w:hAnsi="Arial" w:cs="Arial"/>
          <w:color w:val="auto"/>
          <w:lang w:val="en-AU"/>
        </w:rPr>
      </w:pPr>
    </w:p>
    <w:p w14:paraId="30FD045E"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E</w:t>
      </w:r>
    </w:p>
    <w:p w14:paraId="759D5B5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ecologically sustainable development, </w:t>
      </w:r>
    </w:p>
    <w:p w14:paraId="625B462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environmental performance, </w:t>
      </w:r>
    </w:p>
    <w:p w14:paraId="629FB018" w14:textId="77777777" w:rsidR="00A70381" w:rsidRDefault="00A70381" w:rsidP="00A70381">
      <w:pPr>
        <w:pStyle w:val="Financialbodyleft"/>
        <w:spacing w:after="60"/>
        <w:rPr>
          <w:rFonts w:ascii="Arial" w:hAnsi="Arial" w:cs="Arial"/>
          <w:color w:val="auto"/>
          <w:lang w:val="en-AU"/>
        </w:rPr>
      </w:pPr>
      <w:r w:rsidRPr="00CF336A">
        <w:rPr>
          <w:rFonts w:ascii="Arial" w:hAnsi="Arial" w:cs="Arial"/>
          <w:i/>
          <w:iCs/>
          <w:color w:val="auto"/>
          <w:lang w:val="en-AU"/>
        </w:rPr>
        <w:t>Environment Protection and Biodiversity Conservation Act 1999</w:t>
      </w:r>
      <w:r w:rsidRPr="00CF336A">
        <w:rPr>
          <w:rFonts w:ascii="Arial" w:hAnsi="Arial" w:cs="Arial"/>
          <w:color w:val="auto"/>
          <w:lang w:val="en-AU"/>
        </w:rPr>
        <w:t xml:space="preserve">, </w:t>
      </w:r>
    </w:p>
    <w:p w14:paraId="0F6B30D5" w14:textId="507948E1" w:rsidR="00067582" w:rsidRPr="00CF336A" w:rsidRDefault="00067582" w:rsidP="00A70381">
      <w:pPr>
        <w:pStyle w:val="Financialbodyleft"/>
        <w:spacing w:after="60"/>
        <w:rPr>
          <w:rFonts w:ascii="Arial" w:hAnsi="Arial" w:cs="Arial"/>
          <w:color w:val="auto"/>
          <w:lang w:val="en-AU"/>
        </w:rPr>
      </w:pPr>
      <w:r>
        <w:rPr>
          <w:rFonts w:ascii="Arial" w:hAnsi="Arial" w:cs="Arial"/>
          <w:color w:val="auto"/>
          <w:lang w:val="en-AU"/>
        </w:rPr>
        <w:t xml:space="preserve">everyday living services, </w:t>
      </w:r>
    </w:p>
    <w:p w14:paraId="233365B5" w14:textId="77777777" w:rsidR="00A70381" w:rsidRPr="00CF336A" w:rsidRDefault="00A70381" w:rsidP="00A70381">
      <w:pPr>
        <w:pStyle w:val="Financialbodyleft"/>
        <w:spacing w:after="60"/>
        <w:rPr>
          <w:rFonts w:ascii="Arial" w:hAnsi="Arial" w:cs="Arial"/>
          <w:color w:val="auto"/>
          <w:lang w:val="en-AU"/>
        </w:rPr>
      </w:pPr>
    </w:p>
    <w:p w14:paraId="05D19431"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F</w:t>
      </w:r>
    </w:p>
    <w:p w14:paraId="542EE18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Fair Work Commission,</w:t>
      </w:r>
    </w:p>
    <w:p w14:paraId="259008E9"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financial authorisation,</w:t>
      </w:r>
    </w:p>
    <w:p w14:paraId="21B2A3F2"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lastRenderedPageBreak/>
        <w:t>financial statements,</w:t>
      </w:r>
    </w:p>
    <w:p w14:paraId="5D483176" w14:textId="77777777" w:rsidR="00A70381" w:rsidRPr="00CF336A"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Fringe Benefits Tax (FBT), </w:t>
      </w:r>
    </w:p>
    <w:p w14:paraId="359E5EB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fraud and corruption control plan,</w:t>
      </w:r>
    </w:p>
    <w:p w14:paraId="17A3C2E9"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funding methodology for innovative funding models and models of care,</w:t>
      </w:r>
    </w:p>
    <w:p w14:paraId="00791BD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funding methodology for unqualified newborns,</w:t>
      </w:r>
    </w:p>
    <w:p w14:paraId="412EE878" w14:textId="77777777" w:rsidR="00A70381" w:rsidRPr="00CF336A" w:rsidRDefault="00A70381" w:rsidP="00A70381">
      <w:pPr>
        <w:pStyle w:val="Financialbodyleft"/>
        <w:spacing w:after="60"/>
        <w:rPr>
          <w:rFonts w:ascii="Arial" w:hAnsi="Arial" w:cs="Arial"/>
          <w:color w:val="auto"/>
          <w:lang w:val="en-AU"/>
        </w:rPr>
      </w:pPr>
    </w:p>
    <w:p w14:paraId="3F990EC0"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G</w:t>
      </w:r>
    </w:p>
    <w:p w14:paraId="6DD7A1C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General List of In-Scope Public Hospital Services, </w:t>
      </w:r>
    </w:p>
    <w:p w14:paraId="046755AC"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glossary, </w:t>
      </w:r>
    </w:p>
    <w:p w14:paraId="31EF782D" w14:textId="1EE01A9A" w:rsidR="003467D9" w:rsidRPr="00CF336A" w:rsidRDefault="003467D9" w:rsidP="00A70381">
      <w:pPr>
        <w:pStyle w:val="Financialbodyleft"/>
        <w:spacing w:after="60"/>
        <w:rPr>
          <w:rFonts w:ascii="Arial" w:hAnsi="Arial" w:cs="Arial"/>
          <w:color w:val="auto"/>
          <w:lang w:val="en-AU"/>
        </w:rPr>
      </w:pPr>
      <w:r>
        <w:rPr>
          <w:rFonts w:ascii="Arial" w:hAnsi="Arial" w:cs="Arial"/>
          <w:color w:val="auto"/>
          <w:lang w:val="en-AU"/>
        </w:rPr>
        <w:t xml:space="preserve">Goods and Services Tax (GST), </w:t>
      </w:r>
    </w:p>
    <w:p w14:paraId="0B4E687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Governance Framework for the Development of the Admitted Care Classifications, </w:t>
      </w:r>
    </w:p>
    <w:p w14:paraId="5A09C9C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government policy orders, </w:t>
      </w:r>
    </w:p>
    <w:p w14:paraId="448E0A5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greenhouse gas emissions,</w:t>
      </w:r>
    </w:p>
    <w:p w14:paraId="182F96E8"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Gupta, Sandeep,</w:t>
      </w:r>
    </w:p>
    <w:p w14:paraId="74BCF9F3" w14:textId="77777777" w:rsidR="00A70381" w:rsidRPr="00CF336A" w:rsidRDefault="00A70381" w:rsidP="00A70381">
      <w:pPr>
        <w:pStyle w:val="Financialbodyleft"/>
        <w:spacing w:after="60"/>
        <w:rPr>
          <w:rFonts w:ascii="Arial" w:hAnsi="Arial" w:cs="Arial"/>
          <w:color w:val="auto"/>
          <w:lang w:val="en-AU"/>
        </w:rPr>
      </w:pPr>
    </w:p>
    <w:p w14:paraId="10CDDDE9"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H</w:t>
      </w:r>
    </w:p>
    <w:p w14:paraId="44C6E639"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Hall, Jane, </w:t>
      </w:r>
    </w:p>
    <w:p w14:paraId="1D7AE37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Haywood, Andrew,</w:t>
      </w:r>
    </w:p>
    <w:p w14:paraId="0E75F08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Health Chief Executives Forum (HCEF), </w:t>
      </w:r>
    </w:p>
    <w:p w14:paraId="5D9934C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Health of the Nation Outcome Scales,</w:t>
      </w:r>
    </w:p>
    <w:p w14:paraId="598A5F9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Health Ministers’ Meetings (HMM),</w:t>
      </w:r>
    </w:p>
    <w:p w14:paraId="2C818DD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health technologies,</w:t>
      </w:r>
    </w:p>
    <w:p w14:paraId="012AC86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hospital acquired complications, </w:t>
      </w:r>
    </w:p>
    <w:p w14:paraId="615798D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hospital costing, </w:t>
      </w:r>
    </w:p>
    <w:p w14:paraId="78908158"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hospital costs,</w:t>
      </w:r>
    </w:p>
    <w:p w14:paraId="5ABF0C92" w14:textId="77777777" w:rsidR="00A70381" w:rsidRPr="00CF336A" w:rsidRDefault="00A70381" w:rsidP="00A70381">
      <w:pPr>
        <w:pStyle w:val="Financialbodyleft"/>
        <w:spacing w:after="60"/>
        <w:rPr>
          <w:rFonts w:ascii="Arial" w:hAnsi="Arial" w:cs="Arial"/>
          <w:i/>
          <w:iCs/>
          <w:color w:val="auto"/>
          <w:lang w:val="en-AU"/>
        </w:rPr>
      </w:pPr>
      <w:r w:rsidRPr="00CF336A">
        <w:rPr>
          <w:rFonts w:ascii="Arial" w:hAnsi="Arial" w:cs="Arial"/>
          <w:color w:val="auto"/>
          <w:lang w:val="en-AU"/>
        </w:rPr>
        <w:tab/>
      </w:r>
      <w:r w:rsidRPr="00CF336A">
        <w:rPr>
          <w:rFonts w:ascii="Arial" w:hAnsi="Arial" w:cs="Arial"/>
          <w:i/>
          <w:iCs/>
          <w:color w:val="auto"/>
          <w:lang w:val="en-AU"/>
        </w:rPr>
        <w:t>see also national weighted activity units (NWAU)</w:t>
      </w:r>
    </w:p>
    <w:p w14:paraId="6E5223C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human resources,</w:t>
      </w:r>
    </w:p>
    <w:p w14:paraId="6032F12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advertising and market research,</w:t>
      </w:r>
    </w:p>
    <w:p w14:paraId="1D5AC5E1"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diversity of staff,</w:t>
      </w:r>
    </w:p>
    <w:p w14:paraId="3E66189D"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flexible working arrangements,</w:t>
      </w:r>
    </w:p>
    <w:p w14:paraId="6DCB0AA3"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key management personnel, </w:t>
      </w:r>
    </w:p>
    <w:p w14:paraId="2163F39F"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non-ongoing seconded employees, </w:t>
      </w:r>
    </w:p>
    <w:p w14:paraId="1285DD87"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non-salary benefits,</w:t>
      </w:r>
    </w:p>
    <w:p w14:paraId="34903173"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ongoing seconded employees, </w:t>
      </w:r>
    </w:p>
    <w:p w14:paraId="1AC5E577"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remuneration, </w:t>
      </w:r>
    </w:p>
    <w:p w14:paraId="3500D428"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staff development,</w:t>
      </w:r>
    </w:p>
    <w:p w14:paraId="7BD7D8C5"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work health and safety, </w:t>
      </w:r>
    </w:p>
    <w:p w14:paraId="22A40065" w14:textId="77777777" w:rsidR="00A70381" w:rsidRPr="00CF336A" w:rsidRDefault="00A70381" w:rsidP="00A70381">
      <w:pPr>
        <w:pStyle w:val="Financialbodyleft"/>
        <w:spacing w:after="60"/>
        <w:rPr>
          <w:rFonts w:ascii="Arial" w:hAnsi="Arial" w:cs="Arial"/>
          <w:color w:val="auto"/>
          <w:lang w:val="en-AU"/>
        </w:rPr>
      </w:pPr>
    </w:p>
    <w:p w14:paraId="08AFDBDE"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I</w:t>
      </w:r>
    </w:p>
    <w:p w14:paraId="5D92777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IHACPA</w:t>
      </w:r>
    </w:p>
    <w:p w14:paraId="56FDE35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 xml:space="preserve">about, </w:t>
      </w:r>
    </w:p>
    <w:p w14:paraId="6506D1D9"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functions, </w:t>
      </w:r>
    </w:p>
    <w:p w14:paraId="51AD64D9"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highlights, </w:t>
      </w:r>
    </w:p>
    <w:p w14:paraId="0402ABB5"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organisational structure, </w:t>
      </w:r>
    </w:p>
    <w:p w14:paraId="7581EE2E"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role in the care economy,</w:t>
      </w:r>
    </w:p>
    <w:p w14:paraId="149B5A18"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strategy,</w:t>
      </w:r>
    </w:p>
    <w:p w14:paraId="26DBF61B"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summit,</w:t>
      </w:r>
    </w:p>
    <w:p w14:paraId="5F7D23CD"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values,</w:t>
      </w:r>
    </w:p>
    <w:p w14:paraId="5ED35FF0" w14:textId="77777777" w:rsidR="00A70381" w:rsidRPr="00CF336A" w:rsidRDefault="00A70381" w:rsidP="00A70381">
      <w:pPr>
        <w:pStyle w:val="Financialbodyleft"/>
        <w:spacing w:after="60"/>
        <w:ind w:firstLine="720"/>
        <w:rPr>
          <w:rFonts w:ascii="Arial" w:hAnsi="Arial" w:cs="Arial"/>
          <w:color w:val="auto"/>
          <w:lang w:val="en-AU"/>
        </w:rPr>
      </w:pPr>
      <w:r>
        <w:rPr>
          <w:rFonts w:ascii="Arial" w:hAnsi="Arial" w:cs="Arial"/>
          <w:color w:val="auto"/>
          <w:lang w:val="en-AU"/>
        </w:rPr>
        <w:t>c</w:t>
      </w:r>
      <w:r w:rsidRPr="00CF336A">
        <w:rPr>
          <w:rFonts w:ascii="Arial" w:hAnsi="Arial" w:cs="Arial"/>
          <w:color w:val="auto"/>
          <w:lang w:val="en-AU"/>
        </w:rPr>
        <w:t xml:space="preserve">orporate </w:t>
      </w:r>
      <w:r>
        <w:rPr>
          <w:rFonts w:ascii="Arial" w:hAnsi="Arial" w:cs="Arial"/>
          <w:color w:val="auto"/>
          <w:lang w:val="en-AU"/>
        </w:rPr>
        <w:t>p</w:t>
      </w:r>
      <w:r w:rsidRPr="00CF336A">
        <w:rPr>
          <w:rFonts w:ascii="Arial" w:hAnsi="Arial" w:cs="Arial"/>
          <w:color w:val="auto"/>
          <w:lang w:val="en-AU"/>
        </w:rPr>
        <w:t>lan,</w:t>
      </w:r>
    </w:p>
    <w:p w14:paraId="6E146CAD" w14:textId="77777777" w:rsidR="00A70381" w:rsidRPr="00CF336A" w:rsidRDefault="00A70381" w:rsidP="00A70381">
      <w:pPr>
        <w:pStyle w:val="Financialbodyleft"/>
        <w:spacing w:after="60"/>
        <w:ind w:firstLine="720"/>
        <w:rPr>
          <w:rFonts w:ascii="Arial" w:hAnsi="Arial" w:cs="Arial"/>
          <w:color w:val="auto"/>
          <w:lang w:val="en-AU"/>
        </w:rPr>
      </w:pPr>
      <w:r>
        <w:rPr>
          <w:rFonts w:ascii="Arial" w:hAnsi="Arial" w:cs="Arial"/>
          <w:color w:val="auto"/>
          <w:lang w:val="en-AU"/>
        </w:rPr>
        <w:lastRenderedPageBreak/>
        <w:t>s</w:t>
      </w:r>
      <w:r w:rsidRPr="00CF336A">
        <w:rPr>
          <w:rFonts w:ascii="Arial" w:hAnsi="Arial" w:cs="Arial"/>
          <w:color w:val="auto"/>
          <w:lang w:val="en-AU"/>
        </w:rPr>
        <w:t xml:space="preserve">trategic </w:t>
      </w:r>
      <w:r>
        <w:rPr>
          <w:rFonts w:ascii="Arial" w:hAnsi="Arial" w:cs="Arial"/>
          <w:color w:val="auto"/>
          <w:lang w:val="en-AU"/>
        </w:rPr>
        <w:t>p</w:t>
      </w:r>
      <w:r w:rsidRPr="00CF336A">
        <w:rPr>
          <w:rFonts w:ascii="Arial" w:hAnsi="Arial" w:cs="Arial"/>
          <w:color w:val="auto"/>
          <w:lang w:val="en-AU"/>
        </w:rPr>
        <w:t>lan</w:t>
      </w:r>
      <w:r w:rsidRPr="00CF336A">
        <w:rPr>
          <w:rFonts w:ascii="Arial" w:hAnsi="Arial" w:cs="Arial"/>
          <w:color w:val="auto"/>
          <w:lang w:val="en-AU"/>
        </w:rPr>
        <w:tab/>
      </w:r>
    </w:p>
    <w:p w14:paraId="209A17AB" w14:textId="77777777" w:rsidR="00A70381" w:rsidRPr="00CF336A" w:rsidRDefault="00A70381" w:rsidP="00A70381">
      <w:pPr>
        <w:pStyle w:val="Financialbodyleft"/>
        <w:spacing w:after="60"/>
        <w:ind w:firstLine="720"/>
        <w:rPr>
          <w:rFonts w:ascii="Arial" w:hAnsi="Arial" w:cs="Arial"/>
          <w:color w:val="auto"/>
          <w:lang w:val="en-AU"/>
        </w:rPr>
      </w:pPr>
      <w:r>
        <w:rPr>
          <w:rFonts w:ascii="Arial" w:hAnsi="Arial" w:cs="Arial"/>
          <w:color w:val="auto"/>
          <w:lang w:val="en-AU"/>
        </w:rPr>
        <w:t>w</w:t>
      </w:r>
      <w:r w:rsidRPr="00CF336A">
        <w:rPr>
          <w:rFonts w:ascii="Arial" w:hAnsi="Arial" w:cs="Arial"/>
          <w:color w:val="auto"/>
          <w:lang w:val="en-AU"/>
        </w:rPr>
        <w:t xml:space="preserve">ork </w:t>
      </w:r>
      <w:r>
        <w:rPr>
          <w:rFonts w:ascii="Arial" w:hAnsi="Arial" w:cs="Arial"/>
          <w:color w:val="auto"/>
          <w:lang w:val="en-AU"/>
        </w:rPr>
        <w:t>p</w:t>
      </w:r>
      <w:r w:rsidRPr="00CF336A">
        <w:rPr>
          <w:rFonts w:ascii="Arial" w:hAnsi="Arial" w:cs="Arial"/>
          <w:color w:val="auto"/>
          <w:lang w:val="en-AU"/>
        </w:rPr>
        <w:t>rogram,</w:t>
      </w:r>
    </w:p>
    <w:p w14:paraId="528AC779"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Inacio, Maria,</w:t>
      </w:r>
    </w:p>
    <w:p w14:paraId="31134A52"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Independent </w:t>
      </w:r>
      <w:r>
        <w:rPr>
          <w:rFonts w:ascii="Arial" w:hAnsi="Arial" w:cs="Arial"/>
          <w:color w:val="auto"/>
          <w:lang w:val="en-AU"/>
        </w:rPr>
        <w:t>a</w:t>
      </w:r>
      <w:r w:rsidRPr="00CF336A">
        <w:rPr>
          <w:rFonts w:ascii="Arial" w:hAnsi="Arial" w:cs="Arial"/>
          <w:color w:val="auto"/>
          <w:lang w:val="en-AU"/>
        </w:rPr>
        <w:t xml:space="preserve">uditor’s </w:t>
      </w:r>
      <w:r>
        <w:rPr>
          <w:rFonts w:ascii="Arial" w:hAnsi="Arial" w:cs="Arial"/>
          <w:color w:val="auto"/>
          <w:lang w:val="en-AU"/>
        </w:rPr>
        <w:t>r</w:t>
      </w:r>
      <w:r w:rsidRPr="00CF336A">
        <w:rPr>
          <w:rFonts w:ascii="Arial" w:hAnsi="Arial" w:cs="Arial"/>
          <w:color w:val="auto"/>
          <w:lang w:val="en-AU"/>
        </w:rPr>
        <w:t>eport,</w:t>
      </w:r>
    </w:p>
    <w:p w14:paraId="4C16EBB4" w14:textId="77777777" w:rsidR="00A70381" w:rsidRPr="00CF336A"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Independent Financial Review, </w:t>
      </w:r>
    </w:p>
    <w:p w14:paraId="265D2FE9"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index admission,</w:t>
      </w:r>
    </w:p>
    <w:p w14:paraId="6003B71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in-home aged care services,</w:t>
      </w:r>
    </w:p>
    <w:p w14:paraId="0994B99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innovative funding models,</w:t>
      </w:r>
    </w:p>
    <w:p w14:paraId="29A09878"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innovative models of care,</w:t>
      </w:r>
    </w:p>
    <w:p w14:paraId="1105F96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intensive care unit,</w:t>
      </w:r>
    </w:p>
    <w:p w14:paraId="2D3EAF8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inter-agency financial activity,</w:t>
      </w:r>
    </w:p>
    <w:p w14:paraId="58E09B38"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szCs w:val="18"/>
        </w:rPr>
        <w:t>International Classification of Diseases 11th Revision</w:t>
      </w:r>
      <w:r w:rsidRPr="00CF336A">
        <w:rPr>
          <w:rFonts w:ascii="Arial" w:hAnsi="Arial" w:cs="Arial"/>
          <w:color w:val="auto"/>
          <w:lang w:val="en-AU"/>
        </w:rPr>
        <w:t xml:space="preserve"> (ICD-11),</w:t>
      </w:r>
    </w:p>
    <w:p w14:paraId="3BAF90A1"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International Classification of Disease Technical Group,</w:t>
      </w:r>
    </w:p>
    <w:p w14:paraId="594C4FC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International Statistical Classification of Diseases and Related Health Problems, Tenth Revision, Australian Modification (ICD-10-AM),</w:t>
      </w:r>
    </w:p>
    <w:p w14:paraId="5F9E20BF" w14:textId="77777777" w:rsidR="00A70381" w:rsidRPr="00CF336A" w:rsidRDefault="00A70381" w:rsidP="00A70381">
      <w:pPr>
        <w:pStyle w:val="Financialbodyleft"/>
        <w:spacing w:after="60"/>
        <w:rPr>
          <w:rFonts w:ascii="Arial" w:hAnsi="Arial" w:cs="Arial"/>
          <w:color w:val="auto"/>
          <w:lang w:val="en-AU"/>
        </w:rPr>
      </w:pPr>
    </w:p>
    <w:p w14:paraId="505B1ED8"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J</w:t>
      </w:r>
    </w:p>
    <w:p w14:paraId="52BB2E0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Jacobi, Skye,</w:t>
      </w:r>
    </w:p>
    <w:p w14:paraId="71E2333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Judd, Stephen,</w:t>
      </w:r>
    </w:p>
    <w:p w14:paraId="0DD388F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Jurisdictional Advisory Committee,</w:t>
      </w:r>
    </w:p>
    <w:p w14:paraId="073955CE" w14:textId="77777777" w:rsidR="00A70381" w:rsidRPr="00CF336A" w:rsidRDefault="00A70381" w:rsidP="00A70381">
      <w:pPr>
        <w:pStyle w:val="Financialbodyleft"/>
        <w:spacing w:after="60"/>
        <w:rPr>
          <w:rFonts w:ascii="Arial" w:hAnsi="Arial" w:cs="Arial"/>
          <w:b/>
          <w:bCs/>
          <w:color w:val="auto"/>
          <w:sz w:val="22"/>
          <w:szCs w:val="28"/>
          <w:lang w:val="en-AU"/>
        </w:rPr>
      </w:pPr>
    </w:p>
    <w:p w14:paraId="3D9D618E"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K</w:t>
      </w:r>
    </w:p>
    <w:p w14:paraId="59B4546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Kelly, Lisa,</w:t>
      </w:r>
    </w:p>
    <w:p w14:paraId="76161E99"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Kurrle, Susan,</w:t>
      </w:r>
    </w:p>
    <w:p w14:paraId="49A0BC1B" w14:textId="77777777" w:rsidR="00A70381" w:rsidRPr="00CF336A" w:rsidRDefault="00A70381" w:rsidP="00A70381">
      <w:pPr>
        <w:pStyle w:val="Financialbodyleft"/>
        <w:spacing w:after="60"/>
        <w:rPr>
          <w:rFonts w:ascii="Arial" w:hAnsi="Arial" w:cs="Arial"/>
          <w:color w:val="auto"/>
          <w:lang w:val="en-AU"/>
        </w:rPr>
      </w:pPr>
    </w:p>
    <w:p w14:paraId="365D40A2"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L</w:t>
      </w:r>
    </w:p>
    <w:p w14:paraId="3285651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Laverty, Martin,</w:t>
      </w:r>
    </w:p>
    <w:p w14:paraId="4284D058"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legislation,</w:t>
      </w:r>
    </w:p>
    <w:p w14:paraId="7C398C6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legitimate and unavoidable cost variations,</w:t>
      </w:r>
    </w:p>
    <w:p w14:paraId="46CBE30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Lenarduzzi, John, </w:t>
      </w:r>
    </w:p>
    <w:p w14:paraId="16D1190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letter of transmittal,</w:t>
      </w:r>
    </w:p>
    <w:p w14:paraId="6EBAC03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Lu, Andric,</w:t>
      </w:r>
    </w:p>
    <w:p w14:paraId="0D6CFC8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Lucas, Alisha,</w:t>
      </w:r>
    </w:p>
    <w:p w14:paraId="2920E5AB" w14:textId="77777777" w:rsidR="00A70381" w:rsidRPr="00CF336A" w:rsidRDefault="00A70381" w:rsidP="00A70381">
      <w:pPr>
        <w:pStyle w:val="Financialbodyleft"/>
        <w:spacing w:after="60"/>
        <w:rPr>
          <w:rFonts w:ascii="Arial" w:hAnsi="Arial" w:cs="Arial"/>
          <w:color w:val="auto"/>
          <w:lang w:val="en-AU"/>
        </w:rPr>
      </w:pPr>
    </w:p>
    <w:p w14:paraId="6E17990D"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M</w:t>
      </w:r>
    </w:p>
    <w:p w14:paraId="1A576FF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management and accountability, </w:t>
      </w:r>
    </w:p>
    <w:p w14:paraId="276E8A3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mental health care, </w:t>
      </w:r>
    </w:p>
    <w:p w14:paraId="56B9C1D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Mersiades, Nicolas</w:t>
      </w:r>
    </w:p>
    <w:p w14:paraId="2F4D343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ministerial directions,</w:t>
      </w:r>
    </w:p>
    <w:p w14:paraId="3FD9BC5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Minister for Aged Care</w:t>
      </w:r>
      <w:r>
        <w:rPr>
          <w:rFonts w:ascii="Arial" w:hAnsi="Arial" w:cs="Arial"/>
          <w:color w:val="auto"/>
          <w:lang w:val="en-AU"/>
        </w:rPr>
        <w:t xml:space="preserve"> and Seniors </w:t>
      </w:r>
    </w:p>
    <w:p w14:paraId="1F1A0CBA" w14:textId="77777777" w:rsidR="00A70381" w:rsidRPr="00CF336A" w:rsidRDefault="00A70381" w:rsidP="00A70381">
      <w:pPr>
        <w:pStyle w:val="Financialbodyleft"/>
        <w:spacing w:after="60"/>
        <w:rPr>
          <w:rFonts w:ascii="Arial" w:hAnsi="Arial" w:cs="Arial"/>
          <w:i/>
          <w:iCs/>
          <w:color w:val="auto"/>
          <w:lang w:val="en-AU"/>
        </w:rPr>
      </w:pPr>
      <w:r w:rsidRPr="00CF336A">
        <w:rPr>
          <w:rFonts w:ascii="Arial" w:hAnsi="Arial" w:cs="Arial"/>
          <w:i/>
          <w:iCs/>
          <w:color w:val="auto"/>
          <w:lang w:val="en-AU"/>
        </w:rPr>
        <w:tab/>
        <w:t>see Sam Rae</w:t>
      </w:r>
    </w:p>
    <w:p w14:paraId="4566EFD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Minister for Health and Ageing, </w:t>
      </w:r>
    </w:p>
    <w:p w14:paraId="190D0F9D" w14:textId="77777777" w:rsidR="00A70381" w:rsidRPr="00CF336A" w:rsidRDefault="00A70381" w:rsidP="00A70381">
      <w:pPr>
        <w:pStyle w:val="Financialbodyleft"/>
        <w:spacing w:after="60"/>
        <w:ind w:firstLine="720"/>
        <w:rPr>
          <w:rFonts w:ascii="Arial" w:hAnsi="Arial" w:cs="Arial"/>
          <w:i/>
          <w:iCs/>
          <w:color w:val="auto"/>
          <w:lang w:val="en-AU"/>
        </w:rPr>
      </w:pPr>
      <w:r w:rsidRPr="00CF336A">
        <w:rPr>
          <w:rFonts w:ascii="Arial" w:hAnsi="Arial" w:cs="Arial"/>
          <w:i/>
          <w:iCs/>
          <w:color w:val="auto"/>
          <w:lang w:val="en-AU"/>
        </w:rPr>
        <w:t>see Mark Butler</w:t>
      </w:r>
    </w:p>
    <w:p w14:paraId="251CA618"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model of care,</w:t>
      </w:r>
    </w:p>
    <w:p w14:paraId="571CB91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Moloney, Susan,</w:t>
      </w:r>
    </w:p>
    <w:p w14:paraId="03F48C8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Multi-Purpose Services Program (MPSP),  </w:t>
      </w:r>
    </w:p>
    <w:p w14:paraId="57C0F315" w14:textId="77777777" w:rsidR="00A70381" w:rsidRPr="00CF336A" w:rsidRDefault="00A70381" w:rsidP="00A70381">
      <w:pPr>
        <w:pStyle w:val="Financialbodyleft"/>
        <w:spacing w:after="60"/>
        <w:rPr>
          <w:rFonts w:ascii="Arial" w:hAnsi="Arial" w:cs="Arial"/>
          <w:color w:val="auto"/>
          <w:lang w:val="en-AU"/>
        </w:rPr>
      </w:pPr>
    </w:p>
    <w:p w14:paraId="203A621E"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N</w:t>
      </w:r>
    </w:p>
    <w:p w14:paraId="7AD2EB8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lastRenderedPageBreak/>
        <w:t xml:space="preserve">National Aboriginal and Torres Strait Islander Flexible Aged Care Program (NATSIFACP), </w:t>
      </w:r>
    </w:p>
    <w:p w14:paraId="08A31AC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National Agreement on Closing the Gap, </w:t>
      </w:r>
    </w:p>
    <w:p w14:paraId="7445F6E9"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National Benchmarking Portal,</w:t>
      </w:r>
    </w:p>
    <w:p w14:paraId="3B1E4D91"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national best endeavours data set, </w:t>
      </w:r>
    </w:p>
    <w:p w14:paraId="1492968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national efficient cost, </w:t>
      </w:r>
    </w:p>
    <w:p w14:paraId="56A4C31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National </w:t>
      </w:r>
      <w:r>
        <w:rPr>
          <w:rFonts w:ascii="Arial" w:hAnsi="Arial" w:cs="Arial"/>
          <w:color w:val="auto"/>
          <w:lang w:val="en-AU"/>
        </w:rPr>
        <w:t>e</w:t>
      </w:r>
      <w:r w:rsidRPr="00CF336A">
        <w:rPr>
          <w:rFonts w:ascii="Arial" w:hAnsi="Arial" w:cs="Arial"/>
          <w:color w:val="auto"/>
          <w:lang w:val="en-AU"/>
        </w:rPr>
        <w:t xml:space="preserve">fficient </w:t>
      </w:r>
      <w:r>
        <w:rPr>
          <w:rFonts w:ascii="Arial" w:hAnsi="Arial" w:cs="Arial"/>
          <w:color w:val="auto"/>
          <w:lang w:val="en-AU"/>
        </w:rPr>
        <w:t>c</w:t>
      </w:r>
      <w:r w:rsidRPr="00CF336A">
        <w:rPr>
          <w:rFonts w:ascii="Arial" w:hAnsi="Arial" w:cs="Arial"/>
          <w:color w:val="auto"/>
          <w:lang w:val="en-AU"/>
        </w:rPr>
        <w:t xml:space="preserve">ost </w:t>
      </w:r>
      <w:r>
        <w:rPr>
          <w:rFonts w:ascii="Arial" w:hAnsi="Arial" w:cs="Arial"/>
          <w:color w:val="auto"/>
          <w:lang w:val="en-AU"/>
        </w:rPr>
        <w:t>d</w:t>
      </w:r>
      <w:r w:rsidRPr="00CF336A">
        <w:rPr>
          <w:rFonts w:ascii="Arial" w:hAnsi="Arial" w:cs="Arial"/>
          <w:color w:val="auto"/>
          <w:lang w:val="en-AU"/>
        </w:rPr>
        <w:t>etermination,</w:t>
      </w:r>
    </w:p>
    <w:p w14:paraId="09DDC06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national efficient price,</w:t>
      </w:r>
    </w:p>
    <w:p w14:paraId="1B2AB78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National </w:t>
      </w:r>
      <w:r>
        <w:rPr>
          <w:rFonts w:ascii="Arial" w:hAnsi="Arial" w:cs="Arial"/>
          <w:color w:val="auto"/>
          <w:lang w:val="en-AU"/>
        </w:rPr>
        <w:t>e</w:t>
      </w:r>
      <w:r w:rsidRPr="00CF336A">
        <w:rPr>
          <w:rFonts w:ascii="Arial" w:hAnsi="Arial" w:cs="Arial"/>
          <w:color w:val="auto"/>
          <w:lang w:val="en-AU"/>
        </w:rPr>
        <w:t xml:space="preserve">fficient </w:t>
      </w:r>
      <w:r>
        <w:rPr>
          <w:rFonts w:ascii="Arial" w:hAnsi="Arial" w:cs="Arial"/>
          <w:color w:val="auto"/>
          <w:lang w:val="en-AU"/>
        </w:rPr>
        <w:t>p</w:t>
      </w:r>
      <w:r w:rsidRPr="00CF336A">
        <w:rPr>
          <w:rFonts w:ascii="Arial" w:hAnsi="Arial" w:cs="Arial"/>
          <w:color w:val="auto"/>
          <w:lang w:val="en-AU"/>
        </w:rPr>
        <w:t xml:space="preserve">rice </w:t>
      </w:r>
      <w:r>
        <w:rPr>
          <w:rFonts w:ascii="Arial" w:hAnsi="Arial" w:cs="Arial"/>
          <w:color w:val="auto"/>
          <w:lang w:val="en-AU"/>
        </w:rPr>
        <w:t>d</w:t>
      </w:r>
      <w:r w:rsidRPr="00CF336A">
        <w:rPr>
          <w:rFonts w:ascii="Arial" w:hAnsi="Arial" w:cs="Arial"/>
          <w:color w:val="auto"/>
          <w:lang w:val="en-AU"/>
        </w:rPr>
        <w:t>etermination,</w:t>
      </w:r>
    </w:p>
    <w:p w14:paraId="50CEE7B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National Health Data and Information Standards Committee, </w:t>
      </w:r>
    </w:p>
    <w:p w14:paraId="2C9D44F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National Health Funding Body,</w:t>
      </w:r>
    </w:p>
    <w:p w14:paraId="286C2CA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National Health Funding Pool,</w:t>
      </w:r>
    </w:p>
    <w:p w14:paraId="58FA9401"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i/>
          <w:iCs/>
          <w:color w:val="auto"/>
          <w:lang w:val="en-AU"/>
        </w:rPr>
        <w:t>National Health Reform Act 2011</w:t>
      </w:r>
      <w:r w:rsidRPr="00CF336A">
        <w:rPr>
          <w:rFonts w:ascii="Arial" w:hAnsi="Arial" w:cs="Arial"/>
          <w:color w:val="auto"/>
          <w:lang w:val="en-AU"/>
        </w:rPr>
        <w:t>,</w:t>
      </w:r>
    </w:p>
    <w:p w14:paraId="200CDC2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National Health Reform Agreement (NHRA),</w:t>
      </w:r>
    </w:p>
    <w:p w14:paraId="2867A72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 xml:space="preserve">Addendum to the National Health Reform Agreement 2020–2026, </w:t>
      </w:r>
    </w:p>
    <w:p w14:paraId="2B855AB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Addendum to the National Health Reform Agreement 2026–2031,</w:t>
      </w:r>
    </w:p>
    <w:p w14:paraId="35F5F181"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National Hospital Cost Data Collection (NHCDC),</w:t>
      </w:r>
    </w:p>
    <w:p w14:paraId="373E9F3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national minimum data set,</w:t>
      </w:r>
    </w:p>
    <w:p w14:paraId="786F6B3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National Minimum Wage Order,</w:t>
      </w:r>
    </w:p>
    <w:p w14:paraId="6570A2BF"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national weighted activity unit (NWAU),</w:t>
      </w:r>
    </w:p>
    <w:p w14:paraId="2D207924" w14:textId="77777777" w:rsidR="00A70381" w:rsidRPr="00CF336A"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Nelson, Timothy, </w:t>
      </w:r>
    </w:p>
    <w:p w14:paraId="51D4284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Nguyen, Nhi,</w:t>
      </w:r>
    </w:p>
    <w:p w14:paraId="531B041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non-admitted care classification, </w:t>
      </w:r>
    </w:p>
    <w:p w14:paraId="4E78B255" w14:textId="77777777" w:rsidR="00A70381" w:rsidRPr="00CF336A" w:rsidRDefault="00A70381" w:rsidP="00A70381">
      <w:pPr>
        <w:pStyle w:val="Financialbodyleft"/>
        <w:spacing w:after="60"/>
        <w:rPr>
          <w:rFonts w:ascii="Arial" w:hAnsi="Arial" w:cs="Arial"/>
          <w:i/>
          <w:iCs/>
          <w:color w:val="auto"/>
          <w:lang w:val="en-AU"/>
        </w:rPr>
      </w:pPr>
      <w:r w:rsidRPr="00CF336A">
        <w:rPr>
          <w:rFonts w:ascii="Arial" w:hAnsi="Arial" w:cs="Arial"/>
          <w:color w:val="auto"/>
          <w:lang w:val="en-AU"/>
        </w:rPr>
        <w:tab/>
      </w:r>
      <w:r w:rsidRPr="00CF336A">
        <w:rPr>
          <w:rFonts w:ascii="Arial" w:hAnsi="Arial" w:cs="Arial"/>
          <w:i/>
          <w:iCs/>
          <w:color w:val="auto"/>
          <w:lang w:val="en-AU"/>
        </w:rPr>
        <w:t>see Tier 2 Non-Admitted Care Classification</w:t>
      </w:r>
    </w:p>
    <w:p w14:paraId="075E47C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notifiable incidents,</w:t>
      </w:r>
    </w:p>
    <w:p w14:paraId="46F3D85C" w14:textId="77777777" w:rsidR="00A70381" w:rsidRPr="00CF336A" w:rsidRDefault="00A70381" w:rsidP="00A70381">
      <w:pPr>
        <w:pStyle w:val="Financialbodyleft"/>
        <w:spacing w:after="60"/>
        <w:rPr>
          <w:rFonts w:ascii="Arial" w:hAnsi="Arial" w:cs="Arial"/>
          <w:color w:val="auto"/>
          <w:lang w:val="en-AU"/>
        </w:rPr>
      </w:pPr>
    </w:p>
    <w:p w14:paraId="13C01711"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O</w:t>
      </w:r>
    </w:p>
    <w:p w14:paraId="4B41B241" w14:textId="77777777" w:rsidR="00A70381"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O’Brien, Caitlin, </w:t>
      </w:r>
    </w:p>
    <w:p w14:paraId="3260419A" w14:textId="77777777" w:rsidR="00A70381"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O’Donnell, Christopher, </w:t>
      </w:r>
    </w:p>
    <w:p w14:paraId="31C1908E"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organ donation, </w:t>
      </w:r>
    </w:p>
    <w:p w14:paraId="69D368BB" w14:textId="77777777" w:rsidR="00A70381" w:rsidRPr="00CF336A" w:rsidRDefault="00A70381" w:rsidP="00A70381">
      <w:pPr>
        <w:pStyle w:val="Financialbodyleft"/>
        <w:spacing w:after="60"/>
        <w:ind w:firstLine="720"/>
        <w:rPr>
          <w:rFonts w:ascii="Arial" w:hAnsi="Arial" w:cs="Arial"/>
          <w:color w:val="auto"/>
          <w:lang w:val="en-AU"/>
        </w:rPr>
      </w:pPr>
      <w:r>
        <w:rPr>
          <w:rFonts w:ascii="Arial" w:hAnsi="Arial" w:cs="Arial"/>
          <w:color w:val="auto"/>
          <w:lang w:val="en-AU"/>
        </w:rPr>
        <w:t xml:space="preserve">Organ and Tissue Donation and Transplantation Project, </w:t>
      </w:r>
    </w:p>
    <w:p w14:paraId="6E65C34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organisational structure, </w:t>
      </w:r>
      <w:r w:rsidRPr="00CF336A">
        <w:rPr>
          <w:rFonts w:ascii="Arial" w:hAnsi="Arial" w:cs="Arial"/>
          <w:i/>
          <w:iCs/>
          <w:color w:val="auto"/>
          <w:lang w:val="en-AU"/>
        </w:rPr>
        <w:t>see IHACPA</w:t>
      </w:r>
    </w:p>
    <w:p w14:paraId="51011923" w14:textId="77777777" w:rsidR="00A70381" w:rsidRPr="00CF336A" w:rsidRDefault="00A70381" w:rsidP="00A70381">
      <w:pPr>
        <w:pStyle w:val="Financialbodyleft"/>
        <w:spacing w:after="60"/>
        <w:rPr>
          <w:rFonts w:ascii="Arial" w:hAnsi="Arial" w:cs="Arial"/>
          <w:color w:val="auto"/>
          <w:lang w:val="en-AU"/>
        </w:rPr>
      </w:pPr>
    </w:p>
    <w:p w14:paraId="322E4349"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P</w:t>
      </w:r>
    </w:p>
    <w:p w14:paraId="33D80CC1"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Palmer, Didier,</w:t>
      </w:r>
    </w:p>
    <w:p w14:paraId="026E1BAA" w14:textId="77777777" w:rsidR="00A70381" w:rsidRDefault="00A70381" w:rsidP="00A70381">
      <w:pPr>
        <w:pStyle w:val="Financialbodyleft"/>
        <w:spacing w:after="60"/>
        <w:rPr>
          <w:rFonts w:ascii="Arial" w:hAnsi="Arial" w:cs="Arial"/>
          <w:i/>
          <w:iCs/>
          <w:color w:val="auto"/>
          <w:lang w:val="en-AU"/>
        </w:rPr>
      </w:pPr>
      <w:r w:rsidRPr="00CF336A">
        <w:rPr>
          <w:rFonts w:ascii="Arial" w:hAnsi="Arial" w:cs="Arial"/>
          <w:color w:val="auto"/>
          <w:lang w:val="en-AU"/>
        </w:rPr>
        <w:t xml:space="preserve">Pervan, Michael, </w:t>
      </w:r>
      <w:r w:rsidRPr="00CF336A">
        <w:rPr>
          <w:rFonts w:ascii="Arial" w:hAnsi="Arial" w:cs="Arial"/>
          <w:i/>
          <w:iCs/>
          <w:color w:val="auto"/>
          <w:lang w:val="en-AU"/>
        </w:rPr>
        <w:t xml:space="preserve">see Chief Executive Officer </w:t>
      </w:r>
    </w:p>
    <w:p w14:paraId="5527EA2D" w14:textId="77777777" w:rsidR="00A70381"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Phillips, Nicole, </w:t>
      </w:r>
    </w:p>
    <w:p w14:paraId="774F9AA3" w14:textId="77777777" w:rsidR="00A70381"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Phoon, Richard, </w:t>
      </w:r>
    </w:p>
    <w:p w14:paraId="43EC4B56" w14:textId="77777777" w:rsidR="00A70381"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Plummer, Virginia, </w:t>
      </w:r>
    </w:p>
    <w:p w14:paraId="5B130047" w14:textId="77777777" w:rsidR="00A70381"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Polles, Amber, </w:t>
      </w:r>
    </w:p>
    <w:p w14:paraId="02FE7C10" w14:textId="77777777" w:rsidR="00A70381" w:rsidRPr="008C6FC5"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Portfolio </w:t>
      </w:r>
      <w:r>
        <w:rPr>
          <w:rFonts w:ascii="Arial" w:hAnsi="Arial" w:cs="Arial"/>
          <w:color w:val="auto"/>
          <w:lang w:val="en-AU"/>
        </w:rPr>
        <w:t>B</w:t>
      </w:r>
      <w:r w:rsidRPr="00CF336A">
        <w:rPr>
          <w:rFonts w:ascii="Arial" w:hAnsi="Arial" w:cs="Arial"/>
          <w:color w:val="auto"/>
          <w:lang w:val="en-AU"/>
        </w:rPr>
        <w:t xml:space="preserve">udget </w:t>
      </w:r>
      <w:r>
        <w:rPr>
          <w:rFonts w:ascii="Arial" w:hAnsi="Arial" w:cs="Arial"/>
          <w:color w:val="auto"/>
          <w:lang w:val="en-AU"/>
        </w:rPr>
        <w:t>S</w:t>
      </w:r>
      <w:r w:rsidRPr="00CF336A">
        <w:rPr>
          <w:rFonts w:ascii="Arial" w:hAnsi="Arial" w:cs="Arial"/>
          <w:color w:val="auto"/>
          <w:lang w:val="en-AU"/>
        </w:rPr>
        <w:t xml:space="preserve">tatements, </w:t>
      </w:r>
    </w:p>
    <w:p w14:paraId="77EA243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Pricing Authority (board),</w:t>
      </w:r>
    </w:p>
    <w:p w14:paraId="6C7D1B5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about</w:t>
      </w:r>
    </w:p>
    <w:p w14:paraId="168FC29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meetings,</w:t>
      </w:r>
    </w:p>
    <w:p w14:paraId="2428BB7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members,</w:t>
      </w:r>
    </w:p>
    <w:p w14:paraId="49AC052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Pricing Framework for Australian Public Hospital Services,</w:t>
      </w:r>
    </w:p>
    <w:p w14:paraId="674E122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Pricing Framework for Australian Support at Home Aged Care Services,</w:t>
      </w:r>
    </w:p>
    <w:p w14:paraId="391BB82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Pricing Framework for Residential Aged Care Services,</w:t>
      </w:r>
    </w:p>
    <w:p w14:paraId="7774F41A"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pricing functions,</w:t>
      </w:r>
    </w:p>
    <w:p w14:paraId="5CC5894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pricing advice,</w:t>
      </w:r>
    </w:p>
    <w:p w14:paraId="213017C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lastRenderedPageBreak/>
        <w:tab/>
        <w:t xml:space="preserve">Residential </w:t>
      </w:r>
      <w:r>
        <w:rPr>
          <w:rFonts w:ascii="Arial" w:hAnsi="Arial" w:cs="Arial"/>
          <w:color w:val="auto"/>
          <w:lang w:val="en-AU"/>
        </w:rPr>
        <w:t>a</w:t>
      </w:r>
      <w:r w:rsidRPr="00CF336A">
        <w:rPr>
          <w:rFonts w:ascii="Arial" w:hAnsi="Arial" w:cs="Arial"/>
          <w:color w:val="auto"/>
          <w:lang w:val="en-AU"/>
        </w:rPr>
        <w:t xml:space="preserve">ged </w:t>
      </w:r>
      <w:r>
        <w:rPr>
          <w:rFonts w:ascii="Arial" w:hAnsi="Arial" w:cs="Arial"/>
          <w:color w:val="auto"/>
          <w:lang w:val="en-AU"/>
        </w:rPr>
        <w:t>c</w:t>
      </w:r>
      <w:r w:rsidRPr="00CF336A">
        <w:rPr>
          <w:rFonts w:ascii="Arial" w:hAnsi="Arial" w:cs="Arial"/>
          <w:color w:val="auto"/>
          <w:lang w:val="en-AU"/>
        </w:rPr>
        <w:t xml:space="preserve">are </w:t>
      </w:r>
      <w:r>
        <w:rPr>
          <w:rFonts w:ascii="Arial" w:hAnsi="Arial" w:cs="Arial"/>
          <w:color w:val="auto"/>
          <w:lang w:val="en-AU"/>
        </w:rPr>
        <w:t>p</w:t>
      </w:r>
      <w:r w:rsidRPr="00CF336A">
        <w:rPr>
          <w:rFonts w:ascii="Arial" w:hAnsi="Arial" w:cs="Arial"/>
          <w:color w:val="auto"/>
          <w:lang w:val="en-AU"/>
        </w:rPr>
        <w:t xml:space="preserve">ricing </w:t>
      </w:r>
      <w:r>
        <w:rPr>
          <w:rFonts w:ascii="Arial" w:hAnsi="Arial" w:cs="Arial"/>
          <w:color w:val="auto"/>
          <w:lang w:val="en-AU"/>
        </w:rPr>
        <w:t>a</w:t>
      </w:r>
      <w:r w:rsidRPr="00CF336A">
        <w:rPr>
          <w:rFonts w:ascii="Arial" w:hAnsi="Arial" w:cs="Arial"/>
          <w:color w:val="auto"/>
          <w:lang w:val="en-AU"/>
        </w:rPr>
        <w:t>dvice,</w:t>
      </w:r>
    </w:p>
    <w:p w14:paraId="4D0CDC7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 xml:space="preserve">Support at Home </w:t>
      </w:r>
      <w:r>
        <w:rPr>
          <w:rFonts w:ascii="Arial" w:hAnsi="Arial" w:cs="Arial"/>
          <w:color w:val="auto"/>
          <w:lang w:val="en-AU"/>
        </w:rPr>
        <w:t>p</w:t>
      </w:r>
      <w:r w:rsidRPr="00CF336A">
        <w:rPr>
          <w:rFonts w:ascii="Arial" w:hAnsi="Arial" w:cs="Arial"/>
          <w:color w:val="auto"/>
          <w:lang w:val="en-AU"/>
        </w:rPr>
        <w:t xml:space="preserve">ricing </w:t>
      </w:r>
      <w:r>
        <w:rPr>
          <w:rFonts w:ascii="Arial" w:hAnsi="Arial" w:cs="Arial"/>
          <w:color w:val="auto"/>
          <w:lang w:val="en-AU"/>
        </w:rPr>
        <w:t>a</w:t>
      </w:r>
      <w:r w:rsidRPr="00CF336A">
        <w:rPr>
          <w:rFonts w:ascii="Arial" w:hAnsi="Arial" w:cs="Arial"/>
          <w:color w:val="auto"/>
          <w:lang w:val="en-AU"/>
        </w:rPr>
        <w:t>dvice,</w:t>
      </w:r>
    </w:p>
    <w:p w14:paraId="0173DE9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privacy threshold assessment tool, </w:t>
      </w:r>
    </w:p>
    <w:p w14:paraId="552FE4C8"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private patient correction factor,</w:t>
      </w:r>
    </w:p>
    <w:p w14:paraId="2968ABE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Program 1.1 Development of Pricing Advice and Annual Determinations,</w:t>
      </w:r>
      <w:r w:rsidRPr="00CF336A">
        <w:rPr>
          <w:rFonts w:ascii="Arial" w:hAnsi="Arial" w:cs="Arial"/>
          <w:color w:val="auto"/>
          <w:lang w:val="en-AU"/>
        </w:rPr>
        <w:tab/>
      </w:r>
    </w:p>
    <w:p w14:paraId="2F9729F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i/>
          <w:iCs/>
          <w:color w:val="auto"/>
          <w:lang w:val="en-AU"/>
        </w:rPr>
        <w:t>Public Governance, Performance and Accountability Act 2013</w:t>
      </w:r>
      <w:r w:rsidRPr="00CF336A">
        <w:rPr>
          <w:rFonts w:ascii="Arial" w:hAnsi="Arial" w:cs="Arial"/>
          <w:color w:val="auto"/>
          <w:lang w:val="en-AU"/>
        </w:rPr>
        <w:t>,</w:t>
      </w:r>
    </w:p>
    <w:p w14:paraId="55319DEE"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Public Governance, Performance and Accountability Rule 2014,</w:t>
      </w:r>
    </w:p>
    <w:p w14:paraId="11DB107A" w14:textId="05D0582A" w:rsidR="00185EDF" w:rsidRPr="00CF336A" w:rsidRDefault="00185EDF" w:rsidP="00A70381">
      <w:pPr>
        <w:pStyle w:val="Financialbodyleft"/>
        <w:spacing w:after="60"/>
        <w:rPr>
          <w:rFonts w:ascii="Arial" w:hAnsi="Arial" w:cs="Arial"/>
          <w:color w:val="auto"/>
          <w:lang w:val="en-AU"/>
        </w:rPr>
      </w:pPr>
      <w:r w:rsidRPr="00185EDF">
        <w:rPr>
          <w:rFonts w:ascii="Arial" w:hAnsi="Arial" w:cs="Arial"/>
          <w:color w:val="auto"/>
          <w:lang w:val="en-AU"/>
        </w:rPr>
        <w:t>Public Governance, Performance and Accountability (Financial Reporting) Rule 2015 (FFR)</w:t>
      </w:r>
      <w:r>
        <w:rPr>
          <w:rFonts w:ascii="Arial" w:hAnsi="Arial" w:cs="Arial"/>
          <w:color w:val="auto"/>
          <w:lang w:val="en-AU"/>
        </w:rPr>
        <w:t xml:space="preserve">, </w:t>
      </w:r>
    </w:p>
    <w:p w14:paraId="6B848BF3" w14:textId="77777777" w:rsidR="00A70381" w:rsidRPr="00CF336A" w:rsidRDefault="00A70381" w:rsidP="00A70381">
      <w:pPr>
        <w:pStyle w:val="Financialbodyleft"/>
        <w:spacing w:after="60"/>
        <w:rPr>
          <w:rFonts w:ascii="Arial" w:hAnsi="Arial" w:cs="Arial"/>
          <w:color w:val="auto"/>
          <w:lang w:val="en-AU"/>
        </w:rPr>
      </w:pPr>
    </w:p>
    <w:p w14:paraId="56F9D6F9"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R</w:t>
      </w:r>
    </w:p>
    <w:p w14:paraId="49B8E54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Rae, Sam, </w:t>
      </w:r>
    </w:p>
    <w:p w14:paraId="5541827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radiation oncology, </w:t>
      </w:r>
    </w:p>
    <w:p w14:paraId="4D3680E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Ratcliffe, Julie,</w:t>
      </w:r>
    </w:p>
    <w:p w14:paraId="3EFC9CF9"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refundable accommodation deposits (RAD), </w:t>
      </w:r>
    </w:p>
    <w:p w14:paraId="7C1EE1FB" w14:textId="77777777" w:rsidR="00A70381" w:rsidRPr="007E025F" w:rsidRDefault="00A70381" w:rsidP="00A70381">
      <w:pPr>
        <w:pStyle w:val="Financialbodyleft"/>
        <w:spacing w:after="60"/>
        <w:ind w:firstLine="720"/>
        <w:rPr>
          <w:rFonts w:ascii="Arial" w:hAnsi="Arial" w:cs="Arial"/>
          <w:i/>
          <w:color w:val="auto"/>
          <w:lang w:val="en-AU"/>
        </w:rPr>
      </w:pPr>
      <w:r w:rsidRPr="007E025F">
        <w:rPr>
          <w:rFonts w:ascii="Arial" w:hAnsi="Arial" w:cs="Arial"/>
          <w:i/>
          <w:color w:val="auto"/>
          <w:lang w:val="en-AU"/>
        </w:rPr>
        <w:t xml:space="preserve">see also accommodation payments </w:t>
      </w:r>
    </w:p>
    <w:p w14:paraId="1FDD71A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Residential aged care,</w:t>
      </w:r>
    </w:p>
    <w:p w14:paraId="0D5D6A76"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Pricing Framework for Residential Aged Care Services,</w:t>
      </w:r>
    </w:p>
    <w:p w14:paraId="53C9E817"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Residential Aged Care Cost Collection, </w:t>
      </w:r>
    </w:p>
    <w:p w14:paraId="03D98F2E"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Residential Aged Care Cost Collection Report,</w:t>
      </w:r>
    </w:p>
    <w:p w14:paraId="4C567C80"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Residential Aged Care Costing Study,</w:t>
      </w:r>
    </w:p>
    <w:p w14:paraId="2CF31B75"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Residential Aged Care Pricing Advice,</w:t>
      </w:r>
    </w:p>
    <w:p w14:paraId="057132FF"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Residential Aged Care Supplementary Pricing Advice,</w:t>
      </w:r>
    </w:p>
    <w:p w14:paraId="62BE0BC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responsible minister, </w:t>
      </w:r>
    </w:p>
    <w:p w14:paraId="2FD75C9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risk management, </w:t>
      </w:r>
    </w:p>
    <w:p w14:paraId="7406D6C7" w14:textId="77777777" w:rsidR="00A70381" w:rsidRPr="00CF336A" w:rsidRDefault="00A70381" w:rsidP="00A70381">
      <w:pPr>
        <w:pStyle w:val="Financialbodyleft"/>
        <w:spacing w:after="60"/>
        <w:rPr>
          <w:rFonts w:ascii="Arial" w:hAnsi="Arial" w:cs="Arial"/>
          <w:color w:val="auto"/>
          <w:lang w:val="en-AU"/>
        </w:rPr>
      </w:pPr>
    </w:p>
    <w:p w14:paraId="456A81A9"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S</w:t>
      </w:r>
    </w:p>
    <w:p w14:paraId="21FD037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safety and quality in hospitals, </w:t>
      </w:r>
    </w:p>
    <w:p w14:paraId="027BBD1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Secretary of the Department of Health, Disability and Ageing, </w:t>
      </w:r>
    </w:p>
    <w:p w14:paraId="6012A7D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Secure Data Management System, </w:t>
      </w:r>
    </w:p>
    <w:p w14:paraId="46BD1C86"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sentinel events, </w:t>
      </w:r>
    </w:p>
    <w:p w14:paraId="5FFC2D79"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shadow pricing,</w:t>
      </w:r>
    </w:p>
    <w:p w14:paraId="68697144"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shared services, </w:t>
      </w:r>
    </w:p>
    <w:p w14:paraId="302B36A4" w14:textId="77777777" w:rsidR="00A70381" w:rsidRPr="00CF336A"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Shetty, Amithy, </w:t>
      </w:r>
    </w:p>
    <w:p w14:paraId="04DBEB8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Smith, Tracy, </w:t>
      </w:r>
    </w:p>
    <w:p w14:paraId="03E650A4"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staff, </w:t>
      </w:r>
      <w:r w:rsidRPr="00CF336A">
        <w:rPr>
          <w:rFonts w:ascii="Arial" w:hAnsi="Arial" w:cs="Arial"/>
          <w:i/>
          <w:iCs/>
          <w:color w:val="auto"/>
          <w:lang w:val="en-AU"/>
        </w:rPr>
        <w:t>see human resources</w:t>
      </w:r>
      <w:r w:rsidRPr="00CF336A">
        <w:rPr>
          <w:rFonts w:ascii="Arial" w:hAnsi="Arial" w:cs="Arial"/>
          <w:color w:val="auto"/>
          <w:lang w:val="en-AU"/>
        </w:rPr>
        <w:t xml:space="preserve"> </w:t>
      </w:r>
    </w:p>
    <w:p w14:paraId="35B04D77"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stakeholder engagement,</w:t>
      </w:r>
    </w:p>
    <w:p w14:paraId="4798965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First Nations Engagement Strategy,</w:t>
      </w:r>
    </w:p>
    <w:p w14:paraId="43CB4ADC"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ab/>
        <w:t>Stakeholder Engagement Plan,</w:t>
      </w:r>
    </w:p>
    <w:p w14:paraId="6903C4E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strategic objectives, </w:t>
      </w:r>
      <w:r w:rsidRPr="00CF336A">
        <w:rPr>
          <w:rFonts w:ascii="Arial" w:hAnsi="Arial" w:cs="Arial"/>
          <w:i/>
          <w:iCs/>
          <w:color w:val="auto"/>
          <w:lang w:val="en-AU"/>
        </w:rPr>
        <w:t>see annual performance statements</w:t>
      </w:r>
      <w:r w:rsidRPr="00CF336A">
        <w:rPr>
          <w:rFonts w:ascii="Arial" w:hAnsi="Arial" w:cs="Arial"/>
          <w:color w:val="auto"/>
          <w:lang w:val="en-AU"/>
        </w:rPr>
        <w:t xml:space="preserve"> </w:t>
      </w:r>
    </w:p>
    <w:p w14:paraId="50A653E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Strategic Commissioning Framework, see </w:t>
      </w:r>
      <w:r w:rsidRPr="00CF336A">
        <w:rPr>
          <w:rFonts w:ascii="Arial" w:hAnsi="Arial" w:cs="Arial"/>
          <w:i/>
          <w:iCs/>
          <w:color w:val="auto"/>
          <w:lang w:val="en-AU"/>
        </w:rPr>
        <w:t>Australian Public Service</w:t>
      </w:r>
    </w:p>
    <w:p w14:paraId="17ED60F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Strategic Risk Register,</w:t>
      </w:r>
    </w:p>
    <w:p w14:paraId="08ACD4D9"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Strategic Plan, </w:t>
      </w:r>
      <w:r w:rsidRPr="00CF336A">
        <w:rPr>
          <w:rFonts w:ascii="Arial" w:hAnsi="Arial" w:cs="Arial"/>
          <w:i/>
          <w:iCs/>
          <w:color w:val="auto"/>
          <w:lang w:val="en-AU"/>
        </w:rPr>
        <w:t>see</w:t>
      </w:r>
      <w:r>
        <w:rPr>
          <w:rFonts w:ascii="Arial" w:hAnsi="Arial" w:cs="Arial"/>
          <w:i/>
          <w:iCs/>
          <w:color w:val="auto"/>
          <w:lang w:val="en-AU"/>
        </w:rPr>
        <w:t xml:space="preserve"> also</w:t>
      </w:r>
      <w:r w:rsidRPr="00CF336A">
        <w:rPr>
          <w:rFonts w:ascii="Arial" w:hAnsi="Arial" w:cs="Arial"/>
          <w:i/>
          <w:iCs/>
          <w:color w:val="auto"/>
          <w:lang w:val="en-AU"/>
        </w:rPr>
        <w:t xml:space="preserve"> IHACPA</w:t>
      </w:r>
    </w:p>
    <w:p w14:paraId="696E2D6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Support at home,</w:t>
      </w:r>
    </w:p>
    <w:p w14:paraId="42D06E1B"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 xml:space="preserve">Consultation Paper on the Pricing Framework for Australian Support at Home Aged Care Services, </w:t>
      </w:r>
    </w:p>
    <w:p w14:paraId="511CE9A9"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Pricing Framework for Australian Support at Home Aged Care Services,</w:t>
      </w:r>
    </w:p>
    <w:p w14:paraId="5D3CC8CB"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Support at Home Cost Collection,</w:t>
      </w:r>
    </w:p>
    <w:p w14:paraId="7FEFE9C3"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Support at Home Cost Collection Report,</w:t>
      </w:r>
    </w:p>
    <w:p w14:paraId="31E7CBC3"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Support at Home Costing Study,</w:t>
      </w:r>
    </w:p>
    <w:p w14:paraId="2480BD4D"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t>Support at Home Pricing Advice,</w:t>
      </w:r>
    </w:p>
    <w:p w14:paraId="79EAF50E" w14:textId="77777777" w:rsidR="00A70381" w:rsidRPr="00CF336A" w:rsidRDefault="00A70381" w:rsidP="00A70381">
      <w:pPr>
        <w:pStyle w:val="Financialbodyleft"/>
        <w:spacing w:after="60"/>
        <w:ind w:firstLine="720"/>
        <w:rPr>
          <w:rFonts w:ascii="Arial" w:hAnsi="Arial" w:cs="Arial"/>
          <w:color w:val="auto"/>
          <w:lang w:val="en-AU"/>
        </w:rPr>
      </w:pPr>
      <w:r w:rsidRPr="00CF336A">
        <w:rPr>
          <w:rFonts w:ascii="Arial" w:hAnsi="Arial" w:cs="Arial"/>
          <w:color w:val="auto"/>
          <w:lang w:val="en-AU"/>
        </w:rPr>
        <w:lastRenderedPageBreak/>
        <w:t>Support at Home service list,</w:t>
      </w:r>
    </w:p>
    <w:p w14:paraId="45C8223B" w14:textId="77777777" w:rsidR="00A70381" w:rsidRPr="00CF336A" w:rsidRDefault="00A70381" w:rsidP="00A70381">
      <w:pPr>
        <w:pStyle w:val="Financialbodyleft"/>
        <w:spacing w:after="60"/>
        <w:rPr>
          <w:rFonts w:ascii="Arial" w:hAnsi="Arial" w:cs="Arial"/>
          <w:color w:val="auto"/>
          <w:lang w:val="en-AU"/>
        </w:rPr>
      </w:pPr>
    </w:p>
    <w:p w14:paraId="29D60CEC"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T</w:t>
      </w:r>
    </w:p>
    <w:p w14:paraId="13BA8B42"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tactical risk tool, </w:t>
      </w:r>
    </w:p>
    <w:p w14:paraId="767D2E6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Technical Advisory Committee, </w:t>
      </w:r>
    </w:p>
    <w:p w14:paraId="3B6B086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TePohe, Julienne, </w:t>
      </w:r>
    </w:p>
    <w:p w14:paraId="142F2F1E"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Three Year Data Plan, </w:t>
      </w:r>
    </w:p>
    <w:p w14:paraId="712F4C7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Tier 2 Non-Admitted Services Classification </w:t>
      </w:r>
    </w:p>
    <w:p w14:paraId="3E96594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Tune, David,</w:t>
      </w:r>
    </w:p>
    <w:p w14:paraId="28EB30F0" w14:textId="77777777" w:rsidR="00A70381" w:rsidRPr="00CF336A" w:rsidRDefault="00A70381" w:rsidP="00A70381">
      <w:pPr>
        <w:pStyle w:val="Financialbodyleft"/>
        <w:spacing w:after="60"/>
        <w:rPr>
          <w:rFonts w:ascii="Arial" w:hAnsi="Arial" w:cs="Arial"/>
          <w:color w:val="auto"/>
          <w:lang w:val="en-AU"/>
        </w:rPr>
      </w:pPr>
    </w:p>
    <w:p w14:paraId="61C1399B"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U</w:t>
      </w:r>
    </w:p>
    <w:p w14:paraId="4CCBE805"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University of Sydney Leeder Centre for Health Policy, Economics and Data,</w:t>
      </w:r>
    </w:p>
    <w:p w14:paraId="4590D332" w14:textId="77777777" w:rsidR="00A70381" w:rsidRPr="00CF336A" w:rsidRDefault="00A70381" w:rsidP="00A70381">
      <w:pPr>
        <w:pStyle w:val="Financialbodyleft"/>
        <w:spacing w:after="60"/>
        <w:rPr>
          <w:rFonts w:ascii="Arial" w:hAnsi="Arial" w:cs="Arial"/>
          <w:color w:val="auto"/>
          <w:lang w:val="en-AU"/>
        </w:rPr>
      </w:pPr>
    </w:p>
    <w:p w14:paraId="6002F4A9"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V</w:t>
      </w:r>
    </w:p>
    <w:p w14:paraId="6C70ECE1"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values,</w:t>
      </w:r>
    </w:p>
    <w:p w14:paraId="433C6CBF"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Virtual </w:t>
      </w:r>
      <w:r>
        <w:rPr>
          <w:rFonts w:ascii="Arial" w:hAnsi="Arial" w:cs="Arial"/>
          <w:color w:val="auto"/>
          <w:lang w:val="en-AU"/>
        </w:rPr>
        <w:t>c</w:t>
      </w:r>
      <w:r w:rsidRPr="00CF336A">
        <w:rPr>
          <w:rFonts w:ascii="Arial" w:hAnsi="Arial" w:cs="Arial"/>
          <w:color w:val="auto"/>
          <w:lang w:val="en-AU"/>
        </w:rPr>
        <w:t xml:space="preserve">are </w:t>
      </w:r>
      <w:r>
        <w:rPr>
          <w:rFonts w:ascii="Arial" w:hAnsi="Arial" w:cs="Arial"/>
          <w:color w:val="auto"/>
          <w:lang w:val="en-AU"/>
        </w:rPr>
        <w:t>p</w:t>
      </w:r>
      <w:r w:rsidRPr="00CF336A">
        <w:rPr>
          <w:rFonts w:ascii="Arial" w:hAnsi="Arial" w:cs="Arial"/>
          <w:color w:val="auto"/>
          <w:lang w:val="en-AU"/>
        </w:rPr>
        <w:t xml:space="preserve">roject, </w:t>
      </w:r>
    </w:p>
    <w:p w14:paraId="0024C2B8" w14:textId="77777777" w:rsidR="00A70381" w:rsidRPr="00CF336A" w:rsidRDefault="00A70381" w:rsidP="00A70381">
      <w:pPr>
        <w:pStyle w:val="Financialbodyleft"/>
        <w:spacing w:after="60"/>
        <w:rPr>
          <w:rFonts w:ascii="Arial" w:hAnsi="Arial" w:cs="Arial"/>
          <w:color w:val="auto"/>
          <w:lang w:val="en-AU"/>
        </w:rPr>
      </w:pPr>
    </w:p>
    <w:p w14:paraId="1D4EAC77" w14:textId="77777777" w:rsidR="00A70381" w:rsidRPr="00CF336A" w:rsidRDefault="00A70381" w:rsidP="00A70381">
      <w:pPr>
        <w:pStyle w:val="Financialbodyleft"/>
        <w:spacing w:after="60"/>
        <w:rPr>
          <w:rFonts w:ascii="Arial" w:hAnsi="Arial" w:cs="Arial"/>
          <w:b/>
          <w:bCs/>
          <w:color w:val="auto"/>
          <w:sz w:val="22"/>
          <w:szCs w:val="28"/>
          <w:lang w:val="en-AU"/>
        </w:rPr>
      </w:pPr>
      <w:r w:rsidRPr="00CF336A">
        <w:rPr>
          <w:rFonts w:ascii="Arial" w:hAnsi="Arial" w:cs="Arial"/>
          <w:b/>
          <w:bCs/>
          <w:color w:val="auto"/>
          <w:sz w:val="22"/>
          <w:szCs w:val="28"/>
          <w:lang w:val="en-AU"/>
        </w:rPr>
        <w:t>W</w:t>
      </w:r>
    </w:p>
    <w:p w14:paraId="6E3B1DBB"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Williams, Jennifer, </w:t>
      </w:r>
    </w:p>
    <w:p w14:paraId="6CF0889D"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Wood, Elizabeth,</w:t>
      </w:r>
    </w:p>
    <w:p w14:paraId="62B5EEA3"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Woods, Michael,</w:t>
      </w:r>
    </w:p>
    <w:p w14:paraId="7890C9F0" w14:textId="77777777" w:rsidR="00A70381" w:rsidRPr="00CF336A" w:rsidRDefault="00A70381" w:rsidP="00A70381">
      <w:pPr>
        <w:pStyle w:val="Financialbodyleft"/>
        <w:spacing w:after="60"/>
        <w:rPr>
          <w:rFonts w:ascii="Arial" w:hAnsi="Arial" w:cs="Arial"/>
          <w:color w:val="auto"/>
          <w:lang w:val="en-AU"/>
        </w:rPr>
      </w:pPr>
      <w:r w:rsidRPr="00CF336A">
        <w:rPr>
          <w:rFonts w:ascii="Arial" w:hAnsi="Arial" w:cs="Arial"/>
          <w:i/>
          <w:iCs/>
          <w:color w:val="auto"/>
          <w:lang w:val="en-AU"/>
        </w:rPr>
        <w:t>Work Health and Safety Act 2011</w:t>
      </w:r>
      <w:r w:rsidRPr="00CF336A">
        <w:rPr>
          <w:rFonts w:ascii="Arial" w:hAnsi="Arial" w:cs="Arial"/>
          <w:color w:val="auto"/>
          <w:lang w:val="en-AU"/>
        </w:rPr>
        <w:t xml:space="preserve">, </w:t>
      </w:r>
    </w:p>
    <w:p w14:paraId="659FFD83" w14:textId="77777777" w:rsid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Work Health and Safety Committee, </w:t>
      </w:r>
    </w:p>
    <w:p w14:paraId="45CD7836" w14:textId="77777777" w:rsidR="00A70381" w:rsidRPr="00CF336A" w:rsidRDefault="00A70381" w:rsidP="00A70381">
      <w:pPr>
        <w:pStyle w:val="Financialbodyleft"/>
        <w:spacing w:after="60"/>
        <w:rPr>
          <w:rFonts w:ascii="Arial" w:hAnsi="Arial" w:cs="Arial"/>
          <w:color w:val="auto"/>
          <w:lang w:val="en-AU"/>
        </w:rPr>
      </w:pPr>
      <w:r>
        <w:rPr>
          <w:rFonts w:ascii="Arial" w:hAnsi="Arial" w:cs="Arial"/>
          <w:color w:val="auto"/>
          <w:lang w:val="en-AU"/>
        </w:rPr>
        <w:t xml:space="preserve">Wright, Jo, </w:t>
      </w:r>
    </w:p>
    <w:p w14:paraId="76897F7D" w14:textId="77777777" w:rsidR="00A70381" w:rsidRPr="00CF336A" w:rsidRDefault="00A70381" w:rsidP="00A70381">
      <w:pPr>
        <w:pStyle w:val="Financialbodyleft"/>
        <w:spacing w:after="60"/>
        <w:rPr>
          <w:rFonts w:ascii="Arial" w:hAnsi="Arial" w:cs="Arial"/>
          <w:i/>
          <w:iCs/>
          <w:color w:val="auto"/>
          <w:lang w:val="en-AU"/>
        </w:rPr>
      </w:pPr>
    </w:p>
    <w:p w14:paraId="13ECD061" w14:textId="77777777" w:rsidR="00A70381" w:rsidRPr="00CF336A" w:rsidRDefault="00A70381" w:rsidP="00A70381">
      <w:pPr>
        <w:pStyle w:val="Financialbodyleft"/>
        <w:spacing w:after="60"/>
        <w:rPr>
          <w:rFonts w:ascii="Arial" w:hAnsi="Arial" w:cs="Arial"/>
          <w:b/>
          <w:bCs/>
          <w:color w:val="auto"/>
          <w:lang w:val="en-AU"/>
        </w:rPr>
      </w:pPr>
      <w:r w:rsidRPr="00CF336A">
        <w:rPr>
          <w:rFonts w:ascii="Arial" w:hAnsi="Arial" w:cs="Arial"/>
          <w:b/>
          <w:bCs/>
          <w:color w:val="auto"/>
          <w:lang w:val="en-AU"/>
        </w:rPr>
        <w:t>Z</w:t>
      </w:r>
    </w:p>
    <w:p w14:paraId="1AC22009" w14:textId="0E90D083" w:rsidR="00A70381" w:rsidRPr="00A70381" w:rsidRDefault="00A70381" w:rsidP="00A70381">
      <w:pPr>
        <w:pStyle w:val="Financialbodyleft"/>
        <w:spacing w:after="60"/>
        <w:rPr>
          <w:rFonts w:ascii="Arial" w:hAnsi="Arial" w:cs="Arial"/>
          <w:color w:val="auto"/>
          <w:lang w:val="en-AU"/>
        </w:rPr>
      </w:pPr>
      <w:r w:rsidRPr="00CF336A">
        <w:rPr>
          <w:rFonts w:ascii="Arial" w:hAnsi="Arial" w:cs="Arial"/>
          <w:color w:val="auto"/>
          <w:lang w:val="en-AU"/>
        </w:rPr>
        <w:t xml:space="preserve">Zeitz, Kathryn, </w:t>
      </w:r>
    </w:p>
    <w:p w14:paraId="33519864" w14:textId="77777777" w:rsidR="00EB0D85" w:rsidRDefault="00EB0D85" w:rsidP="00EB0D85">
      <w:pPr>
        <w:pStyle w:val="TableFigureheading"/>
        <w:rPr>
          <w:b/>
          <w:bCs/>
          <w:color w:val="15272F" w:themeColor="text1"/>
        </w:rPr>
      </w:pPr>
    </w:p>
    <w:p w14:paraId="761266E2" w14:textId="77777777" w:rsidR="00EB0D85" w:rsidRDefault="00EB0D85" w:rsidP="00EB0D85">
      <w:pPr>
        <w:pStyle w:val="TableFigureheading"/>
        <w:rPr>
          <w:b/>
          <w:bCs/>
          <w:color w:val="15272F" w:themeColor="text1"/>
        </w:rPr>
      </w:pPr>
    </w:p>
    <w:p w14:paraId="5091A396" w14:textId="77777777" w:rsidR="00EB0D85" w:rsidRDefault="00EB0D85" w:rsidP="00EB0D85">
      <w:pPr>
        <w:pStyle w:val="TableFigureheading"/>
        <w:rPr>
          <w:b/>
          <w:bCs/>
          <w:color w:val="15272F" w:themeColor="text1"/>
        </w:rPr>
      </w:pPr>
    </w:p>
    <w:p w14:paraId="1BF15837" w14:textId="77777777" w:rsidR="00EB0D85" w:rsidRDefault="00EB0D85" w:rsidP="00EB0D85">
      <w:pPr>
        <w:pStyle w:val="TableFigureheading"/>
        <w:rPr>
          <w:b/>
          <w:bCs/>
          <w:color w:val="15272F" w:themeColor="text1"/>
        </w:rPr>
      </w:pPr>
    </w:p>
    <w:p w14:paraId="557CED96" w14:textId="77777777" w:rsidR="00EB0D85" w:rsidRDefault="00EB0D85" w:rsidP="00EB0D85">
      <w:pPr>
        <w:pStyle w:val="TableFigureheading"/>
        <w:rPr>
          <w:b/>
          <w:bCs/>
          <w:color w:val="15272F" w:themeColor="text1"/>
        </w:rPr>
      </w:pPr>
    </w:p>
    <w:p w14:paraId="64A3CE76" w14:textId="77777777" w:rsidR="00EB0D85" w:rsidRPr="004360D5" w:rsidRDefault="00EB0D85" w:rsidP="00EB0D85">
      <w:pPr>
        <w:pStyle w:val="TableFigureheading"/>
        <w:rPr>
          <w:b/>
          <w:bCs/>
          <w:color w:val="15272F" w:themeColor="text1"/>
        </w:rPr>
      </w:pPr>
    </w:p>
    <w:p w14:paraId="01F42E26" w14:textId="77777777" w:rsidR="00EB0D85" w:rsidRDefault="00EB0D85" w:rsidP="00EB0D85">
      <w:pPr>
        <w:rPr>
          <w:rFonts w:cs="Arial"/>
          <w:color w:val="auto"/>
        </w:rPr>
      </w:pPr>
    </w:p>
    <w:p w14:paraId="14AC6F26" w14:textId="49130952" w:rsidR="00EB0D85" w:rsidRPr="00EB0D85" w:rsidRDefault="00EB0D85" w:rsidP="00F95700">
      <w:pPr>
        <w:spacing w:after="360"/>
        <w:sectPr w:rsidR="00EB0D85" w:rsidRPr="00EB0D85" w:rsidSect="001A5C57">
          <w:pgSz w:w="11906" w:h="16838"/>
          <w:pgMar w:top="1440" w:right="1077" w:bottom="1440" w:left="1077" w:header="709" w:footer="709" w:gutter="0"/>
          <w:cols w:space="708"/>
          <w:docGrid w:linePitch="360"/>
        </w:sectPr>
      </w:pPr>
    </w:p>
    <w:p w14:paraId="3630B296" w14:textId="77777777" w:rsidR="00502A09" w:rsidRPr="00EB0D85" w:rsidRDefault="00502A09" w:rsidP="00502A09">
      <w:pPr>
        <w:spacing w:after="360"/>
        <w:rPr>
          <w:color w:val="FFFFFF" w:themeColor="background2"/>
        </w:rPr>
      </w:pPr>
      <w:r w:rsidRPr="00EB0D85">
        <w:rPr>
          <w:noProof/>
          <w:color w:val="FFFFFF" w:themeColor="background2"/>
        </w:rPr>
        <w:lastRenderedPageBreak/>
        <w:drawing>
          <wp:inline distT="0" distB="0" distL="0" distR="0" wp14:anchorId="67D48011" wp14:editId="5E420D33">
            <wp:extent cx="1764880" cy="396484"/>
            <wp:effectExtent l="0" t="0" r="6985" b="3810"/>
            <wp:docPr id="107" name="Picture 107" descr="Independent Health and Aged Care Pricing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Independent Health and Aged Care Pricing Authority logo"/>
                    <pic:cNvPicPr>
                      <a:picLocks noChangeAspect="1" noChangeArrowheads="1"/>
                    </pic:cNvPicPr>
                  </pic:nvPicPr>
                  <pic:blipFill>
                    <a:blip r:embed="rId76" cstate="print">
                      <a:extLst>
                        <a:ext uri="{28A0092B-C50C-407E-A947-70E740481C1C}">
                          <a14:useLocalDpi xmlns:a14="http://schemas.microsoft.com/office/drawing/2010/main" val="0"/>
                        </a:ext>
                        <a:ext uri="{96DAC541-7B7A-43D3-8B79-37D633B846F1}">
                          <asvg:svgBlip xmlns:asvg="http://schemas.microsoft.com/office/drawing/2016/SVG/main" r:embed="rId77"/>
                        </a:ext>
                      </a:extLst>
                    </a:blip>
                    <a:stretch>
                      <a:fillRect/>
                    </a:stretch>
                  </pic:blipFill>
                  <pic:spPr bwMode="auto">
                    <a:xfrm>
                      <a:off x="0" y="0"/>
                      <a:ext cx="1764880" cy="396484"/>
                    </a:xfrm>
                    <a:prstGeom prst="rect">
                      <a:avLst/>
                    </a:prstGeom>
                  </pic:spPr>
                </pic:pic>
              </a:graphicData>
            </a:graphic>
          </wp:inline>
        </w:drawing>
      </w:r>
    </w:p>
    <w:p w14:paraId="053FFDA9" w14:textId="77777777" w:rsidR="00502A09" w:rsidRPr="00EB0D85" w:rsidRDefault="00502A09" w:rsidP="00502A09">
      <w:pPr>
        <w:spacing w:after="360"/>
        <w:rPr>
          <w:color w:val="FFFFFF" w:themeColor="background2"/>
        </w:rPr>
      </w:pPr>
      <w:r w:rsidRPr="00EB0D85">
        <w:rPr>
          <w:color w:val="FFFFFF" w:themeColor="background2"/>
        </w:rPr>
        <w:t>Independent Health and Aged Care Pricing Authority</w:t>
      </w:r>
    </w:p>
    <w:p w14:paraId="02F2F5B8" w14:textId="77777777" w:rsidR="00502A09" w:rsidRPr="00EB0D85" w:rsidRDefault="00183129" w:rsidP="00502A09">
      <w:pPr>
        <w:spacing w:after="360"/>
        <w:rPr>
          <w:color w:val="54C1AF" w:themeColor="background1"/>
        </w:rPr>
      </w:pPr>
      <w:r w:rsidRPr="00EB0D85">
        <w:rPr>
          <w:color w:val="54C1AF" w:themeColor="background1"/>
        </w:rPr>
        <w:t xml:space="preserve">Eora Nation, </w:t>
      </w:r>
      <w:r w:rsidR="00502A09" w:rsidRPr="00EB0D85">
        <w:rPr>
          <w:color w:val="54C1AF" w:themeColor="background1"/>
        </w:rPr>
        <w:t xml:space="preserve">Level </w:t>
      </w:r>
      <w:r w:rsidR="007403BC" w:rsidRPr="00EB0D85">
        <w:rPr>
          <w:color w:val="54C1AF" w:themeColor="background1"/>
        </w:rPr>
        <w:t>12</w:t>
      </w:r>
      <w:r w:rsidR="00502A09" w:rsidRPr="00EB0D85">
        <w:rPr>
          <w:color w:val="54C1AF" w:themeColor="background1"/>
        </w:rPr>
        <w:t>, 1 Oxford Street</w:t>
      </w:r>
      <w:r w:rsidR="00502A09" w:rsidRPr="00EB0D85">
        <w:rPr>
          <w:color w:val="54C1AF" w:themeColor="background1"/>
        </w:rPr>
        <w:br/>
        <w:t>Sydney NSW 2000</w:t>
      </w:r>
    </w:p>
    <w:p w14:paraId="3DC94599" w14:textId="77777777" w:rsidR="00502A09" w:rsidRPr="00EB0D85" w:rsidRDefault="00502A09" w:rsidP="00502A09">
      <w:pPr>
        <w:spacing w:after="360"/>
        <w:rPr>
          <w:color w:val="FFFFFF" w:themeColor="background2"/>
        </w:rPr>
      </w:pPr>
      <w:r w:rsidRPr="00EB0D85">
        <w:rPr>
          <w:color w:val="FFFFFF" w:themeColor="background2"/>
        </w:rPr>
        <w:t xml:space="preserve">Phone </w:t>
      </w:r>
      <w:r w:rsidRPr="00EB0D85">
        <w:rPr>
          <w:color w:val="54C1AF" w:themeColor="background1"/>
        </w:rPr>
        <w:t>02 8215 1100</w:t>
      </w:r>
      <w:r w:rsidRPr="00EB0D85">
        <w:rPr>
          <w:color w:val="FFFFFF" w:themeColor="background2"/>
        </w:rPr>
        <w:br/>
        <w:t xml:space="preserve">Email </w:t>
      </w:r>
      <w:hyperlink r:id="rId78" w:history="1">
        <w:r w:rsidR="00276510" w:rsidRPr="00EB0D85">
          <w:rPr>
            <w:rStyle w:val="Hyperlink"/>
            <w:color w:val="FFFFFF" w:themeColor="background2"/>
          </w:rPr>
          <w:t>enquiries.ihacpa@ihacpa.gov.au</w:t>
        </w:r>
      </w:hyperlink>
    </w:p>
    <w:p w14:paraId="5A5FA9C6" w14:textId="76BC9BD2" w:rsidR="00502A09" w:rsidRPr="00A70381" w:rsidRDefault="00502A09" w:rsidP="00F95700">
      <w:pPr>
        <w:spacing w:after="360"/>
        <w:rPr>
          <w:color w:val="FFFFFF" w:themeColor="background2"/>
        </w:rPr>
        <w:sectPr w:rsidR="00502A09" w:rsidRPr="00A70381" w:rsidSect="001A5C57">
          <w:headerReference w:type="default" r:id="rId79"/>
          <w:footerReference w:type="default" r:id="rId80"/>
          <w:pgSz w:w="11906" w:h="16838"/>
          <w:pgMar w:top="1440" w:right="1077" w:bottom="1440" w:left="1077" w:header="709" w:footer="709" w:gutter="0"/>
          <w:cols w:space="708"/>
          <w:docGrid w:linePitch="360"/>
        </w:sectPr>
      </w:pPr>
      <w:hyperlink r:id="rId81" w:history="1">
        <w:r w:rsidRPr="00EB0D85">
          <w:rPr>
            <w:rStyle w:val="Hyperlink"/>
            <w:color w:val="FFFFFF" w:themeColor="background2"/>
          </w:rPr>
          <w:t>www.ih</w:t>
        </w:r>
        <w:r w:rsidR="007403BC" w:rsidRPr="00EB0D85">
          <w:rPr>
            <w:rStyle w:val="Hyperlink"/>
            <w:color w:val="FFFFFF" w:themeColor="background2"/>
          </w:rPr>
          <w:t>ac</w:t>
        </w:r>
        <w:r w:rsidRPr="00EB0D85">
          <w:rPr>
            <w:rStyle w:val="Hyperlink"/>
            <w:color w:val="FFFFFF" w:themeColor="background2"/>
          </w:rPr>
          <w:t>pa.gov.au</w:t>
        </w:r>
      </w:hyperlink>
    </w:p>
    <w:p w14:paraId="778645DB" w14:textId="77777777" w:rsidR="00502A09" w:rsidRPr="00502A09" w:rsidRDefault="00502A09" w:rsidP="007F0839">
      <w:pPr>
        <w:spacing w:after="360"/>
        <w:rPr>
          <w:color w:val="104F99" w:themeColor="accent2"/>
        </w:rPr>
      </w:pPr>
    </w:p>
    <w:sectPr w:rsidR="00502A09" w:rsidRPr="00502A09" w:rsidSect="007F0839">
      <w:headerReference w:type="default" r:id="rId82"/>
      <w:type w:val="continuous"/>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1699C" w14:textId="77777777" w:rsidR="0043583A" w:rsidRPr="00EB0D85" w:rsidRDefault="0043583A" w:rsidP="00DC0458">
      <w:pPr>
        <w:spacing w:after="0" w:line="240" w:lineRule="auto"/>
      </w:pPr>
      <w:r w:rsidRPr="00EB0D85">
        <w:separator/>
      </w:r>
    </w:p>
  </w:endnote>
  <w:endnote w:type="continuationSeparator" w:id="0">
    <w:p w14:paraId="12134C4F" w14:textId="77777777" w:rsidR="0043583A" w:rsidRPr="00EB0D85" w:rsidRDefault="0043583A" w:rsidP="00DC0458">
      <w:pPr>
        <w:spacing w:after="0" w:line="240" w:lineRule="auto"/>
      </w:pPr>
      <w:r w:rsidRPr="00EB0D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regular">
    <w:altName w:val="Calibri"/>
    <w:charset w:val="00"/>
    <w:family w:val="swiss"/>
    <w:pitch w:val="variable"/>
    <w:sig w:usb0="600002FF"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 w:name="Josefin Sans Light">
    <w:charset w:val="00"/>
    <w:family w:val="auto"/>
    <w:pitch w:val="variable"/>
    <w:sig w:usb0="A00000FF" w:usb1="4000204B" w:usb2="00000000" w:usb3="00000000" w:csb0="00000193" w:csb1="00000000"/>
  </w:font>
  <w:font w:name="Josefin Sans SemiBold">
    <w:charset w:val="00"/>
    <w:family w:val="auto"/>
    <w:pitch w:val="variable"/>
    <w:sig w:usb0="A00000FF" w:usb1="4000204B" w:usb2="00000000" w:usb3="00000000" w:csb0="00000193"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Josefin Sans Bold">
    <w:charset w:val="00"/>
    <w:family w:val="auto"/>
    <w:pitch w:val="variable"/>
    <w:sig w:usb0="A00000FF" w:usb1="40002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9E5C" w14:textId="77777777" w:rsidR="004A6D92" w:rsidRPr="00EB0D85" w:rsidRDefault="004A6D92">
    <w:pPr>
      <w:pStyle w:val="Footer"/>
    </w:pPr>
    <w:r w:rsidRPr="00EB0D85">
      <w:rPr>
        <w:noProof/>
      </w:rPr>
      <mc:AlternateContent>
        <mc:Choice Requires="wps">
          <w:drawing>
            <wp:anchor distT="0" distB="0" distL="0" distR="0" simplePos="0" relativeHeight="251679744" behindDoc="0" locked="0" layoutInCell="1" allowOverlap="1" wp14:anchorId="683E87CC" wp14:editId="093DCA7B">
              <wp:simplePos x="635" y="635"/>
              <wp:positionH relativeFrom="page">
                <wp:align>center</wp:align>
              </wp:positionH>
              <wp:positionV relativeFrom="page">
                <wp:align>bottom</wp:align>
              </wp:positionV>
              <wp:extent cx="622300" cy="414020"/>
              <wp:effectExtent l="0" t="0" r="6350" b="0"/>
              <wp:wrapNone/>
              <wp:docPr id="167735888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4BD9EB86"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3E87CC" id="_x0000_t202" coordsize="21600,21600" o:spt="202" path="m,l,21600r21600,l21600,xe">
              <v:stroke joinstyle="miter"/>
              <v:path gradientshapeok="t" o:connecttype="rect"/>
            </v:shapetype>
            <v:shape id="Text Box 10" o:spid="_x0000_s1047" type="#_x0000_t202" alt="OFFICIAL" style="position:absolute;margin-left:0;margin-top:0;width:49pt;height:32.6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" filled="f" stroked="f">
              <v:textbox style="mso-fit-shape-to-text:t" inset="0,0,0,15pt">
                <w:txbxContent>
                  <w:p w14:paraId="4BD9EB86"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654B" w14:textId="1575E467" w:rsidR="00257DF2" w:rsidRPr="00EB0D85" w:rsidRDefault="004A6D92" w:rsidP="00493FE8">
    <w:pPr>
      <w:rPr>
        <w:color w:val="FFFFFF" w:themeColor="background2"/>
      </w:rPr>
    </w:pPr>
    <w:r w:rsidRPr="00EB0D85">
      <w:rPr>
        <w:noProof/>
        <w:color w:val="FFFFFF" w:themeColor="background2"/>
      </w:rPr>
      <mc:AlternateContent>
        <mc:Choice Requires="wps">
          <w:drawing>
            <wp:anchor distT="0" distB="0" distL="0" distR="0" simplePos="0" relativeHeight="251680768" behindDoc="0" locked="0" layoutInCell="1" allowOverlap="1" wp14:anchorId="7EB2E08F" wp14:editId="6EA4E73E">
              <wp:simplePos x="635" y="635"/>
              <wp:positionH relativeFrom="page">
                <wp:align>center</wp:align>
              </wp:positionH>
              <wp:positionV relativeFrom="page">
                <wp:align>bottom</wp:align>
              </wp:positionV>
              <wp:extent cx="622300" cy="414020"/>
              <wp:effectExtent l="0" t="0" r="6350" b="0"/>
              <wp:wrapNone/>
              <wp:docPr id="44691484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1E90BE2A"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B2E08F" id="_x0000_t202" coordsize="21600,21600" o:spt="202" path="m,l,21600r21600,l21600,xe">
              <v:stroke joinstyle="miter"/>
              <v:path gradientshapeok="t" o:connecttype="rect"/>
            </v:shapetype>
            <v:shape id="Text Box 11" o:spid="_x0000_s1048" type="#_x0000_t202" alt="OFFICIAL" style="position:absolute;margin-left:0;margin-top:0;width:49pt;height:32.6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" filled="f" stroked="f">
              <v:textbox style="mso-fit-shape-to-text:t" inset="0,0,0,15pt">
                <w:txbxContent>
                  <w:p w14:paraId="1E90BE2A"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r w:rsidR="00493FE8" w:rsidRPr="00EB0D85">
      <w:rPr>
        <w:color w:val="FFFFFF" w:themeColor="background2"/>
      </w:rPr>
      <w:t>Version</w:t>
    </w:r>
    <w:r w:rsidR="00EB0D85" w:rsidRPr="00EB0D85">
      <w:rPr>
        <w:color w:val="FFFFFF" w:themeColor="background2"/>
      </w:rPr>
      <w:t xml:space="preserve"> 1.0</w:t>
    </w:r>
    <w:r w:rsidR="007403BC" w:rsidRPr="00EB0D85">
      <w:rPr>
        <w:color w:val="FFFFFF" w:themeColor="background2"/>
      </w:rPr>
      <w:br/>
    </w:r>
    <w:r w:rsidR="00451EDC">
      <w:rPr>
        <w:color w:val="FFFFFF" w:themeColor="background2"/>
      </w:rPr>
      <w:t>October</w:t>
    </w:r>
    <w:r w:rsidR="00EB0D85" w:rsidRPr="00EB0D85">
      <w:rPr>
        <w:color w:val="FFFFFF" w:themeColor="background2"/>
      </w:rPr>
      <w:t xml:space="preserve"> 2026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2753" w14:textId="77777777" w:rsidR="004A6D92" w:rsidRPr="00EB0D85" w:rsidRDefault="004A6D92">
    <w:pPr>
      <w:pStyle w:val="Footer"/>
    </w:pPr>
    <w:r w:rsidRPr="00EB0D85">
      <w:rPr>
        <w:noProof/>
      </w:rPr>
      <mc:AlternateContent>
        <mc:Choice Requires="wps">
          <w:drawing>
            <wp:anchor distT="0" distB="0" distL="0" distR="0" simplePos="0" relativeHeight="251678720" behindDoc="0" locked="0" layoutInCell="1" allowOverlap="1" wp14:anchorId="0DE07011" wp14:editId="71FB13D9">
              <wp:simplePos x="635" y="635"/>
              <wp:positionH relativeFrom="page">
                <wp:align>center</wp:align>
              </wp:positionH>
              <wp:positionV relativeFrom="page">
                <wp:align>bottom</wp:align>
              </wp:positionV>
              <wp:extent cx="622300" cy="414020"/>
              <wp:effectExtent l="0" t="0" r="6350" b="0"/>
              <wp:wrapNone/>
              <wp:docPr id="54491053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0A16ED50"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E07011" id="_x0000_t202" coordsize="21600,21600" o:spt="202" path="m,l,21600r21600,l21600,xe">
              <v:stroke joinstyle="miter"/>
              <v:path gradientshapeok="t" o:connecttype="rect"/>
            </v:shapetype>
            <v:shape id="Text Box 9" o:spid="_x0000_s1050" type="#_x0000_t202" alt="OFFICIAL" style="position:absolute;margin-left:0;margin-top:0;width:49pt;height:32.6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" filled="f" stroked="f">
              <v:textbox style="mso-fit-shape-to-text:t" inset="0,0,0,15pt">
                <w:txbxContent>
                  <w:p w14:paraId="0A16ED50"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64115" w14:textId="77777777" w:rsidR="004A6D92" w:rsidRPr="00EB0D85" w:rsidRDefault="004A6D92" w:rsidP="00493FE8">
    <w:r w:rsidRPr="00EB0D85">
      <w:rPr>
        <w:noProof/>
      </w:rPr>
      <mc:AlternateContent>
        <mc:Choice Requires="wps">
          <w:drawing>
            <wp:anchor distT="0" distB="0" distL="0" distR="0" simplePos="0" relativeHeight="251682816" behindDoc="0" locked="0" layoutInCell="1" allowOverlap="1" wp14:anchorId="603CDF66" wp14:editId="413A2EF4">
              <wp:simplePos x="635" y="635"/>
              <wp:positionH relativeFrom="page">
                <wp:align>center</wp:align>
              </wp:positionH>
              <wp:positionV relativeFrom="page">
                <wp:align>bottom</wp:align>
              </wp:positionV>
              <wp:extent cx="622300" cy="414020"/>
              <wp:effectExtent l="0" t="0" r="6350" b="0"/>
              <wp:wrapNone/>
              <wp:docPr id="293497305"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73FE53E0"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3CDF66" id="_x0000_t202" coordsize="21600,21600" o:spt="202" path="m,l,21600r21600,l21600,xe">
              <v:stroke joinstyle="miter"/>
              <v:path gradientshapeok="t" o:connecttype="rect"/>
            </v:shapetype>
            <v:shape id="Text Box 13" o:spid="_x0000_s1052" type="#_x0000_t202" alt="OFFICIAL" style="position:absolute;margin-left:0;margin-top:0;width:49pt;height:32.6pt;z-index:2516828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" filled="f" stroked="f">
              <v:textbox style="mso-fit-shape-to-text:t" inset="0,0,0,15pt">
                <w:txbxContent>
                  <w:p w14:paraId="73FE53E0"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8DBB2" w14:textId="3CB866C6" w:rsidR="00493FE8" w:rsidRPr="00EB0D85" w:rsidRDefault="004A6D92" w:rsidP="00E24D0E">
    <w:pPr>
      <w:pStyle w:val="Footer"/>
      <w:tabs>
        <w:tab w:val="clear" w:pos="4680"/>
        <w:tab w:val="clear" w:pos="9360"/>
        <w:tab w:val="center" w:pos="9498"/>
        <w:tab w:val="right" w:pos="9746"/>
      </w:tabs>
    </w:pPr>
    <w:r w:rsidRPr="00EB0D85">
      <w:rPr>
        <w:b/>
        <w:bCs/>
        <w:noProof/>
      </w:rPr>
      <mc:AlternateContent>
        <mc:Choice Requires="wps">
          <w:drawing>
            <wp:anchor distT="0" distB="0" distL="0" distR="0" simplePos="0" relativeHeight="251683840" behindDoc="0" locked="0" layoutInCell="1" allowOverlap="1" wp14:anchorId="7A84AA72" wp14:editId="227ED926">
              <wp:simplePos x="635" y="635"/>
              <wp:positionH relativeFrom="page">
                <wp:align>center</wp:align>
              </wp:positionH>
              <wp:positionV relativeFrom="page">
                <wp:align>bottom</wp:align>
              </wp:positionV>
              <wp:extent cx="622300" cy="414020"/>
              <wp:effectExtent l="0" t="0" r="6350" b="0"/>
              <wp:wrapNone/>
              <wp:docPr id="1716558222"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3B3F5ECF"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84AA72" id="_x0000_t202" coordsize="21600,21600" o:spt="202" path="m,l,21600r21600,l21600,xe">
              <v:stroke joinstyle="miter"/>
              <v:path gradientshapeok="t" o:connecttype="rect"/>
            </v:shapetype>
            <v:shape id="Text Box 14" o:spid="_x0000_s1054" type="#_x0000_t202" alt="OFFICIAL" style="position:absolute;margin-left:0;margin-top:0;width:49pt;height:32.6pt;z-index:2516838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" filled="f" stroked="f">
              <v:textbox style="mso-fit-shape-to-text:t" inset="0,0,0,15pt">
                <w:txbxContent>
                  <w:p w14:paraId="3B3F5ECF"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r w:rsidR="00493FE8" w:rsidRPr="00EB0D85">
      <w:rPr>
        <w:b/>
        <w:bCs/>
      </w:rPr>
      <w:t>IHACPA</w:t>
    </w:r>
    <w:r w:rsidR="00493FE8" w:rsidRPr="00EB0D85">
      <w:t xml:space="preserve"> </w:t>
    </w:r>
    <w:r w:rsidR="00EB0D85" w:rsidRPr="00EB0D85">
      <w:t>Annual Report 2025–26</w:t>
    </w:r>
    <w:r w:rsidR="00493FE8" w:rsidRPr="00EB0D85">
      <w:tab/>
    </w:r>
    <w:r w:rsidR="00493FE8" w:rsidRPr="00EB0D85">
      <w:fldChar w:fldCharType="begin"/>
    </w:r>
    <w:r w:rsidR="00493FE8" w:rsidRPr="00EB0D85">
      <w:instrText xml:space="preserve"> PAGE   \* MERGEFORMAT </w:instrText>
    </w:r>
    <w:r w:rsidR="00493FE8" w:rsidRPr="00EB0D85">
      <w:fldChar w:fldCharType="separate"/>
    </w:r>
    <w:r w:rsidR="00493FE8" w:rsidRPr="00EB0D85">
      <w:t>1</w:t>
    </w:r>
    <w:r w:rsidR="00493FE8" w:rsidRPr="00EB0D8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E502C" w14:textId="77777777" w:rsidR="00EB0D85" w:rsidRDefault="00EB0D85">
    <w:pPr>
      <w:pStyle w:val="Footer"/>
    </w:pPr>
    <w:r>
      <w:rPr>
        <w:noProof/>
      </w:rPr>
      <mc:AlternateContent>
        <mc:Choice Requires="wps">
          <w:drawing>
            <wp:anchor distT="0" distB="0" distL="0" distR="0" simplePos="0" relativeHeight="251691008" behindDoc="0" locked="0" layoutInCell="1" allowOverlap="1" wp14:anchorId="3B8AC48F" wp14:editId="55A364DC">
              <wp:simplePos x="635" y="635"/>
              <wp:positionH relativeFrom="page">
                <wp:align>center</wp:align>
              </wp:positionH>
              <wp:positionV relativeFrom="page">
                <wp:align>bottom</wp:align>
              </wp:positionV>
              <wp:extent cx="622300" cy="391160"/>
              <wp:effectExtent l="0" t="0" r="6350" b="0"/>
              <wp:wrapNone/>
              <wp:docPr id="137144031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D0EC023" w14:textId="77777777" w:rsidR="00EB0D85" w:rsidRPr="00F04BF4" w:rsidRDefault="00EB0D85" w:rsidP="00F04BF4">
                          <w:pPr>
                            <w:spacing w:after="0"/>
                            <w:rPr>
                              <w:rFonts w:ascii="Aptos" w:eastAsia="Aptos" w:hAnsi="Aptos" w:cs="Aptos"/>
                              <w:noProof/>
                              <w:color w:val="FF0000"/>
                            </w:rPr>
                          </w:pPr>
                          <w:r w:rsidRPr="00F04BF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8AC48F" id="_x0000_t202" coordsize="21600,21600" o:spt="202" path="m,l,21600r21600,l21600,xe">
              <v:stroke joinstyle="miter"/>
              <v:path gradientshapeok="t" o:connecttype="rect"/>
            </v:shapetype>
            <v:shape id="_x0000_s1057" type="#_x0000_t202" alt="OFFICIAL" style="position:absolute;margin-left:0;margin-top:0;width:49pt;height:30.8pt;z-index:2516910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lGaDgIAAB0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1p+uk4/hbqI22FcCLcO7lqqfda+PAskBimcUm1&#10;4YkObaCvOJwtzhrAn3/zx3wCnqKc9aSYiluSNGfmuyVCorhGA0djm4ziNv8c8bH77h5IhwU9CSeT&#10;SV4MZjQ1QvdKel7GRhQSVlK7im9H8z6cpEvvQarlMiWRjpwIa7txMpaOeEUwX4ZXge6MeCCqHmGU&#10;kyjfAX/KjTe9W+4DwZ9YidiegDxDThpMZJ3fSxT52/+UdX3Vi1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ZRlGaDgIAAB0E&#10;AAAOAAAAAAAAAAAAAAAAAC4CAABkcnMvZTJvRG9jLnhtbFBLAQItABQABgAIAAAAIQCCUZTX2gAA&#10;AAMBAAAPAAAAAAAAAAAAAAAAAGgEAABkcnMvZG93bnJldi54bWxQSwUGAAAAAAQABADzAAAAbwUA&#10;AAAA&#10;" filled="f" stroked="f">
              <v:textbox style="mso-fit-shape-to-text:t" inset="0,0,0,15pt">
                <w:txbxContent>
                  <w:p w14:paraId="0D0EC023" w14:textId="77777777" w:rsidR="00EB0D85" w:rsidRPr="00F04BF4" w:rsidRDefault="00EB0D85" w:rsidP="00F04BF4">
                    <w:pPr>
                      <w:spacing w:after="0"/>
                      <w:rPr>
                        <w:rFonts w:ascii="Aptos" w:eastAsia="Aptos" w:hAnsi="Aptos" w:cs="Aptos"/>
                        <w:noProof/>
                        <w:color w:val="FF0000"/>
                      </w:rPr>
                    </w:pPr>
                    <w:r w:rsidRPr="00F04BF4">
                      <w:rPr>
                        <w:rFonts w:ascii="Aptos" w:eastAsia="Aptos" w:hAnsi="Aptos" w:cs="Aptos"/>
                        <w:noProof/>
                        <w:color w:val="FF000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687306"/>
      <w:docPartObj>
        <w:docPartGallery w:val="Page Numbers (Bottom of Page)"/>
        <w:docPartUnique/>
      </w:docPartObj>
    </w:sdtPr>
    <w:sdtEndPr>
      <w:rPr>
        <w:sz w:val="18"/>
        <w:szCs w:val="18"/>
      </w:rPr>
    </w:sdtEndPr>
    <w:sdtContent>
      <w:p w14:paraId="453D0AF1" w14:textId="77777777" w:rsidR="00EB0D85" w:rsidRPr="00755071" w:rsidRDefault="00EB0D85">
        <w:pPr>
          <w:pStyle w:val="Footer"/>
          <w:jc w:val="right"/>
          <w:rPr>
            <w:sz w:val="18"/>
            <w:szCs w:val="18"/>
          </w:rPr>
        </w:pPr>
        <w:r w:rsidRPr="00755071">
          <w:rPr>
            <w:sz w:val="18"/>
            <w:szCs w:val="18"/>
          </w:rPr>
          <w:fldChar w:fldCharType="begin"/>
        </w:r>
        <w:r w:rsidRPr="00755071">
          <w:rPr>
            <w:sz w:val="18"/>
            <w:szCs w:val="18"/>
          </w:rPr>
          <w:instrText>PAGE   \* MERGEFORMAT</w:instrText>
        </w:r>
        <w:r w:rsidRPr="00755071">
          <w:rPr>
            <w:sz w:val="18"/>
            <w:szCs w:val="18"/>
          </w:rPr>
          <w:fldChar w:fldCharType="separate"/>
        </w:r>
        <w:r w:rsidRPr="00755071">
          <w:rPr>
            <w:sz w:val="18"/>
            <w:szCs w:val="18"/>
            <w:lang w:val="en-GB"/>
          </w:rPr>
          <w:t>2</w:t>
        </w:r>
        <w:r w:rsidRPr="00755071">
          <w:rPr>
            <w:sz w:val="18"/>
            <w:szCs w:val="18"/>
          </w:rPr>
          <w:fldChar w:fldCharType="end"/>
        </w:r>
      </w:p>
    </w:sdtContent>
  </w:sdt>
  <w:p w14:paraId="51D98994" w14:textId="77777777" w:rsidR="00EB0D85" w:rsidRDefault="00EB0D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0427B" w14:textId="77777777" w:rsidR="00EB0D85" w:rsidRDefault="00EB0D85">
    <w:pPr>
      <w:pStyle w:val="Footer"/>
    </w:pPr>
    <w:r>
      <w:rPr>
        <w:noProof/>
      </w:rPr>
      <mc:AlternateContent>
        <mc:Choice Requires="wps">
          <w:drawing>
            <wp:anchor distT="0" distB="0" distL="0" distR="0" simplePos="0" relativeHeight="251689984" behindDoc="0" locked="0" layoutInCell="1" allowOverlap="1" wp14:anchorId="495A9893" wp14:editId="339C1592">
              <wp:simplePos x="914400" y="10066351"/>
              <wp:positionH relativeFrom="page">
                <wp:align>center</wp:align>
              </wp:positionH>
              <wp:positionV relativeFrom="page">
                <wp:align>bottom</wp:align>
              </wp:positionV>
              <wp:extent cx="622300" cy="391160"/>
              <wp:effectExtent l="0" t="0" r="6350" b="0"/>
              <wp:wrapNone/>
              <wp:docPr id="147082301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4ED6D8B" w14:textId="77777777" w:rsidR="00EB0D85" w:rsidRPr="00F04BF4" w:rsidRDefault="00EB0D85" w:rsidP="00F04BF4">
                          <w:pPr>
                            <w:spacing w:after="0"/>
                            <w:rPr>
                              <w:rFonts w:ascii="Aptos" w:eastAsia="Aptos" w:hAnsi="Aptos" w:cs="Aptos"/>
                              <w:noProof/>
                              <w:color w:val="FF0000"/>
                            </w:rPr>
                          </w:pPr>
                          <w:r w:rsidRPr="00F04BF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5A9893" id="_x0000_t202" coordsize="21600,21600" o:spt="202" path="m,l,21600r21600,l21600,xe">
              <v:stroke joinstyle="miter"/>
              <v:path gradientshapeok="t" o:connecttype="rect"/>
            </v:shapetype>
            <v:shape id="Text Box 4" o:spid="_x0000_s1059" type="#_x0000_t202" alt="OFFICIAL" style="position:absolute;margin-left:0;margin-top:0;width:49pt;height:30.8pt;z-index:2516899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f4XDgIAAB0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0/cdx/C3UR9oK4US4d3LVUu+18OFZIDFM45Jq&#10;wxMduoO+4nC2OGsAf/zNH/MJeIpy1pNiKm5J0px13ywREsU1Gjga22QUt/mniI/dm3sgHRb0JJxM&#10;JnkxdKOpEcwr6XkZG1FIWEntKr4dzftwki69B6mWy5REOnIirO3GyVg64hXBfBleBboz4oGoeoRR&#10;TqJ8A/wpN970brkPBH9iJWJ7AvIMOWkwkXV+L1Hkv/6nrOurXvwE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3xf4XDgIAAB0E&#10;AAAOAAAAAAAAAAAAAAAAAC4CAABkcnMvZTJvRG9jLnhtbFBLAQItABQABgAIAAAAIQCCUZTX2gAA&#10;AAMBAAAPAAAAAAAAAAAAAAAAAGgEAABkcnMvZG93bnJldi54bWxQSwUGAAAAAAQABADzAAAAbwUA&#10;AAAA&#10;" filled="f" stroked="f">
              <v:textbox style="mso-fit-shape-to-text:t" inset="0,0,0,15pt">
                <w:txbxContent>
                  <w:p w14:paraId="54ED6D8B" w14:textId="77777777" w:rsidR="00EB0D85" w:rsidRPr="00F04BF4" w:rsidRDefault="00EB0D85" w:rsidP="00F04BF4">
                    <w:pPr>
                      <w:spacing w:after="0"/>
                      <w:rPr>
                        <w:rFonts w:ascii="Aptos" w:eastAsia="Aptos" w:hAnsi="Aptos" w:cs="Aptos"/>
                        <w:noProof/>
                        <w:color w:val="FF0000"/>
                      </w:rPr>
                    </w:pPr>
                    <w:r w:rsidRPr="00F04BF4">
                      <w:rPr>
                        <w:rFonts w:ascii="Aptos" w:eastAsia="Aptos" w:hAnsi="Aptos" w:cs="Aptos"/>
                        <w:noProof/>
                        <w:color w:val="FF0000"/>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8BBB" w14:textId="77777777" w:rsidR="00502A09" w:rsidRPr="00EB0D85" w:rsidRDefault="004A6D92" w:rsidP="00502A09">
    <w:pPr>
      <w:pStyle w:val="Footer"/>
    </w:pPr>
    <w:r w:rsidRPr="00EB0D85">
      <w:rPr>
        <w:noProof/>
      </w:rPr>
      <mc:AlternateContent>
        <mc:Choice Requires="wps">
          <w:drawing>
            <wp:anchor distT="0" distB="0" distL="0" distR="0" simplePos="0" relativeHeight="251684864" behindDoc="0" locked="0" layoutInCell="1" allowOverlap="1" wp14:anchorId="17F70B32" wp14:editId="31399EFA">
              <wp:simplePos x="635" y="635"/>
              <wp:positionH relativeFrom="page">
                <wp:align>center</wp:align>
              </wp:positionH>
              <wp:positionV relativeFrom="page">
                <wp:align>bottom</wp:align>
              </wp:positionV>
              <wp:extent cx="622300" cy="414020"/>
              <wp:effectExtent l="0" t="0" r="6350" b="0"/>
              <wp:wrapNone/>
              <wp:docPr id="937680378"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52A149FE"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F70B32" id="_x0000_t202" coordsize="21600,21600" o:spt="202" path="m,l,21600r21600,l21600,xe">
              <v:stroke joinstyle="miter"/>
              <v:path gradientshapeok="t" o:connecttype="rect"/>
            </v:shapetype>
            <v:shape id="Text Box 15" o:spid="_x0000_s1061" type="#_x0000_t202" alt="OFFICIAL" style="position:absolute;margin-left:0;margin-top:0;width:49pt;height:32.6pt;z-index:2516848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" filled="f" stroked="f">
              <v:textbox style="mso-fit-shape-to-text:t" inset="0,0,0,15pt">
                <w:txbxContent>
                  <w:p w14:paraId="52A149FE"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59224" w14:textId="77777777" w:rsidR="0043583A" w:rsidRPr="00EB0D85" w:rsidRDefault="0043583A" w:rsidP="00DC0458">
      <w:pPr>
        <w:spacing w:after="0" w:line="240" w:lineRule="auto"/>
      </w:pPr>
      <w:r w:rsidRPr="00EB0D85">
        <w:separator/>
      </w:r>
    </w:p>
  </w:footnote>
  <w:footnote w:type="continuationSeparator" w:id="0">
    <w:p w14:paraId="3BB1D803" w14:textId="77777777" w:rsidR="0043583A" w:rsidRPr="00EB0D85" w:rsidRDefault="0043583A" w:rsidP="00DC0458">
      <w:pPr>
        <w:spacing w:after="0" w:line="240" w:lineRule="auto"/>
      </w:pPr>
      <w:r w:rsidRPr="00EB0D85">
        <w:continuationSeparator/>
      </w:r>
    </w:p>
  </w:footnote>
  <w:footnote w:id="1">
    <w:p w14:paraId="4DC9BD56" w14:textId="77777777" w:rsidR="00EB0D85" w:rsidRPr="00EB0D85" w:rsidRDefault="00EB0D85" w:rsidP="00EB0D85">
      <w:r w:rsidRPr="00EB0D85">
        <w:rPr>
          <w:rStyle w:val="FootnoteReference"/>
          <w:sz w:val="16"/>
          <w:szCs w:val="16"/>
        </w:rPr>
        <w:footnoteRef/>
      </w:r>
      <w:r w:rsidRPr="00EB0D85">
        <w:rPr>
          <w:sz w:val="16"/>
          <w:szCs w:val="16"/>
        </w:rPr>
        <w:t xml:space="preserve"> On 1 November 2025, the </w:t>
      </w:r>
      <w:r w:rsidRPr="00EB0D85">
        <w:rPr>
          <w:i/>
          <w:iCs/>
          <w:sz w:val="16"/>
          <w:szCs w:val="16"/>
        </w:rPr>
        <w:t>Aged Care Act 2024</w:t>
      </w:r>
      <w:r w:rsidRPr="00EB0D85">
        <w:rPr>
          <w:sz w:val="16"/>
          <w:szCs w:val="16"/>
        </w:rPr>
        <w:t xml:space="preserve"> came into effect, replacing the </w:t>
      </w:r>
      <w:r w:rsidRPr="00EB0D85">
        <w:rPr>
          <w:i/>
          <w:iCs/>
          <w:sz w:val="16"/>
          <w:szCs w:val="16"/>
        </w:rPr>
        <w:t>Aged Care Act 1997</w:t>
      </w:r>
      <w:r w:rsidRPr="00EB0D85">
        <w:rPr>
          <w:sz w:val="16"/>
          <w:szCs w:val="16"/>
        </w:rPr>
        <w:t xml:space="preserve">, </w:t>
      </w:r>
      <w:r w:rsidRPr="00EB0D85">
        <w:rPr>
          <w:i/>
          <w:iCs/>
          <w:sz w:val="16"/>
          <w:szCs w:val="16"/>
        </w:rPr>
        <w:t>Aged Care (Transitional Provisions) Act 1997</w:t>
      </w:r>
      <w:r w:rsidRPr="00EB0D85">
        <w:rPr>
          <w:sz w:val="16"/>
          <w:szCs w:val="16"/>
        </w:rPr>
        <w:t xml:space="preserve"> and </w:t>
      </w:r>
      <w:r w:rsidRPr="00EB0D85">
        <w:rPr>
          <w:i/>
          <w:iCs/>
          <w:sz w:val="16"/>
          <w:szCs w:val="16"/>
        </w:rPr>
        <w:t>Aged Care Quality and Safety Commission Act 2018</w:t>
      </w:r>
      <w:r w:rsidRPr="00EB0D85">
        <w:rPr>
          <w:sz w:val="16"/>
          <w:szCs w:val="16"/>
        </w:rPr>
        <w:t xml:space="preserve">. </w:t>
      </w:r>
    </w:p>
    <w:p w14:paraId="4F7171B2" w14:textId="77777777" w:rsidR="00EB0D85" w:rsidRDefault="00EB0D85" w:rsidP="00EB0D85">
      <w:pPr>
        <w:pStyle w:val="FootnoteText"/>
      </w:pPr>
    </w:p>
  </w:footnote>
  <w:footnote w:id="2">
    <w:p w14:paraId="46F5C330" w14:textId="433C5A57" w:rsidR="00EB0D85" w:rsidRPr="003238C6" w:rsidRDefault="00EB0D85" w:rsidP="00EB0D85">
      <w:pPr>
        <w:pStyle w:val="Footnote"/>
        <w:spacing w:line="240" w:lineRule="auto"/>
        <w:rPr>
          <w:szCs w:val="16"/>
        </w:rPr>
      </w:pPr>
      <w:r w:rsidRPr="003238C6">
        <w:rPr>
          <w:rStyle w:val="FootnoteReference"/>
          <w:szCs w:val="16"/>
        </w:rPr>
        <w:footnoteRef/>
      </w:r>
      <w:r w:rsidRPr="003238C6">
        <w:rPr>
          <w:szCs w:val="16"/>
        </w:rPr>
        <w:t xml:space="preserve"> </w:t>
      </w:r>
      <w:r w:rsidR="007E08AC">
        <w:rPr>
          <w:szCs w:val="16"/>
        </w:rPr>
        <w:t>M</w:t>
      </w:r>
      <w:r w:rsidRPr="003238C6">
        <w:rPr>
          <w:szCs w:val="16"/>
        </w:rPr>
        <w:t>r Appleyard resigned from the Pricing Authority on the 31 March 2026.</w:t>
      </w:r>
    </w:p>
  </w:footnote>
  <w:footnote w:id="3">
    <w:p w14:paraId="27A5A095" w14:textId="77777777" w:rsidR="00EB0D85" w:rsidRPr="000E1B41" w:rsidRDefault="00EB0D85" w:rsidP="00EB0D85">
      <w:pPr>
        <w:pStyle w:val="FootnoteText"/>
        <w:rPr>
          <w:rFonts w:ascii="Arial" w:hAnsi="Arial" w:cs="Arial"/>
          <w:sz w:val="16"/>
          <w:szCs w:val="16"/>
        </w:rPr>
      </w:pPr>
      <w:r w:rsidRPr="000E1B41">
        <w:rPr>
          <w:rStyle w:val="FootnoteReference"/>
          <w:rFonts w:ascii="Arial" w:hAnsi="Arial" w:cs="Arial"/>
          <w:color w:val="15272F" w:themeColor="text1"/>
          <w:sz w:val="16"/>
          <w:szCs w:val="16"/>
        </w:rPr>
        <w:footnoteRef/>
      </w:r>
      <w:r w:rsidRPr="000E1B41">
        <w:rPr>
          <w:rFonts w:ascii="Arial" w:hAnsi="Arial" w:cs="Arial"/>
          <w:color w:val="15272F" w:themeColor="text1"/>
          <w:sz w:val="16"/>
          <w:szCs w:val="16"/>
        </w:rPr>
        <w:t xml:space="preserve"> Mr Appleyard resigned from his position on the Pricing Authority, effective 31 March 2026.  </w:t>
      </w:r>
    </w:p>
  </w:footnote>
  <w:footnote w:id="4">
    <w:p w14:paraId="180E2A4E" w14:textId="77777777" w:rsidR="00EB0D85" w:rsidRPr="00E975EF" w:rsidRDefault="00EB0D85" w:rsidP="00EB0D85">
      <w:pPr>
        <w:pStyle w:val="FootnoteText"/>
        <w:rPr>
          <w:rFonts w:ascii="Arial" w:hAnsi="Arial" w:cs="Arial"/>
          <w:sz w:val="16"/>
          <w:szCs w:val="16"/>
        </w:rPr>
      </w:pPr>
      <w:r w:rsidRPr="00E975EF">
        <w:rPr>
          <w:rStyle w:val="FootnoteReference"/>
          <w:rFonts w:ascii="Arial" w:hAnsi="Arial" w:cs="Arial"/>
          <w:color w:val="15272F" w:themeColor="text1"/>
          <w:sz w:val="16"/>
          <w:szCs w:val="16"/>
        </w:rPr>
        <w:footnoteRef/>
      </w:r>
      <w:r w:rsidRPr="00E975EF">
        <w:rPr>
          <w:rFonts w:ascii="Arial" w:hAnsi="Arial" w:cs="Arial"/>
          <w:color w:val="15272F" w:themeColor="text1"/>
          <w:sz w:val="16"/>
          <w:szCs w:val="16"/>
        </w:rPr>
        <w:t xml:space="preserve"> The Stakeholder Advisory Committee was retired in April 2026. </w:t>
      </w:r>
    </w:p>
  </w:footnote>
  <w:footnote w:id="5">
    <w:p w14:paraId="7279B252" w14:textId="77777777" w:rsidR="00EB0D85" w:rsidRPr="00E3231C" w:rsidRDefault="00EB0D85" w:rsidP="00EB0D85">
      <w:pPr>
        <w:pStyle w:val="FootnoteText"/>
        <w:rPr>
          <w:rFonts w:ascii="Arial" w:hAnsi="Arial" w:cs="Arial"/>
          <w:sz w:val="16"/>
          <w:szCs w:val="16"/>
        </w:rPr>
      </w:pPr>
      <w:r w:rsidRPr="00E3231C">
        <w:rPr>
          <w:rStyle w:val="FootnoteReference"/>
          <w:rFonts w:ascii="Arial" w:hAnsi="Arial" w:cs="Arial"/>
          <w:sz w:val="16"/>
          <w:szCs w:val="16"/>
        </w:rPr>
        <w:footnoteRef/>
      </w:r>
      <w:r w:rsidRPr="00E3231C">
        <w:rPr>
          <w:rFonts w:ascii="Arial" w:hAnsi="Arial" w:cs="Arial"/>
          <w:sz w:val="16"/>
          <w:szCs w:val="16"/>
        </w:rPr>
        <w:t xml:space="preserve"> </w:t>
      </w:r>
      <w:r w:rsidRPr="00E3231C">
        <w:rPr>
          <w:rFonts w:ascii="Arial" w:hAnsi="Arial" w:cs="Arial"/>
          <w:color w:val="15272F" w:themeColor="text1"/>
          <w:sz w:val="16"/>
          <w:szCs w:val="16"/>
        </w:rPr>
        <w:t xml:space="preserve">Mr Appleyard resigned from his position on the Pricing Authority, effective 31 March 2026.  </w:t>
      </w:r>
    </w:p>
  </w:footnote>
  <w:footnote w:id="6">
    <w:p w14:paraId="41381148" w14:textId="77777777" w:rsidR="00EB0D85" w:rsidRPr="004E352D" w:rsidRDefault="00EB0D85" w:rsidP="00EB0D85">
      <w:pPr>
        <w:pStyle w:val="FootnoteText"/>
        <w:rPr>
          <w:rFonts w:ascii="Arial" w:hAnsi="Arial" w:cs="Arial"/>
          <w:color w:val="15272F" w:themeColor="text1"/>
          <w:sz w:val="16"/>
          <w:szCs w:val="16"/>
        </w:rPr>
      </w:pPr>
      <w:r w:rsidRPr="004E352D">
        <w:rPr>
          <w:rStyle w:val="FootnoteReference"/>
          <w:rFonts w:ascii="Arial" w:hAnsi="Arial" w:cs="Arial"/>
          <w:color w:val="15272F" w:themeColor="text1"/>
          <w:sz w:val="16"/>
          <w:szCs w:val="16"/>
        </w:rPr>
        <w:footnoteRef/>
      </w:r>
      <w:r w:rsidRPr="004E352D">
        <w:rPr>
          <w:rFonts w:ascii="Arial" w:hAnsi="Arial" w:cs="Arial"/>
          <w:color w:val="15272F" w:themeColor="text1"/>
          <w:sz w:val="16"/>
          <w:szCs w:val="16"/>
        </w:rPr>
        <w:t xml:space="preserve"> Since the introduction of the </w:t>
      </w:r>
      <w:r w:rsidRPr="004E352D">
        <w:rPr>
          <w:rFonts w:ascii="Arial" w:hAnsi="Arial" w:cs="Arial"/>
          <w:i/>
          <w:iCs/>
          <w:color w:val="15272F" w:themeColor="text1"/>
          <w:sz w:val="16"/>
          <w:szCs w:val="16"/>
        </w:rPr>
        <w:t>Aged Care Act 2024</w:t>
      </w:r>
      <w:r w:rsidRPr="004E352D">
        <w:rPr>
          <w:rFonts w:ascii="Arial" w:hAnsi="Arial" w:cs="Arial"/>
          <w:color w:val="15272F" w:themeColor="text1"/>
          <w:sz w:val="16"/>
          <w:szCs w:val="16"/>
        </w:rPr>
        <w:t xml:space="preserve"> IHACPA is no longer responsible for the approval of extra service fees.</w:t>
      </w:r>
    </w:p>
  </w:footnote>
  <w:footnote w:id="7">
    <w:p w14:paraId="31E55C33" w14:textId="77777777" w:rsidR="00377CCF" w:rsidRDefault="00377CCF" w:rsidP="00377CCF">
      <w:pPr>
        <w:pStyle w:val="FootnoteText"/>
      </w:pPr>
      <w:r>
        <w:rPr>
          <w:rStyle w:val="FootnoteReference"/>
        </w:rPr>
        <w:footnoteRef/>
      </w:r>
      <w:r>
        <w:t xml:space="preserve"> </w:t>
      </w:r>
      <w:r w:rsidRPr="004925DC">
        <w:rPr>
          <w:rFonts w:ascii="Arial" w:hAnsi="Arial" w:cs="Arial"/>
          <w:sz w:val="16"/>
          <w:szCs w:val="16"/>
        </w:rPr>
        <w:t xml:space="preserve">On 1 November 2025, the </w:t>
      </w:r>
      <w:r w:rsidRPr="004925DC">
        <w:rPr>
          <w:rFonts w:ascii="Arial" w:hAnsi="Arial" w:cs="Arial"/>
          <w:i/>
          <w:iCs/>
          <w:sz w:val="16"/>
          <w:szCs w:val="16"/>
        </w:rPr>
        <w:t>Aged Care Act 2024</w:t>
      </w:r>
      <w:r w:rsidRPr="004925DC">
        <w:rPr>
          <w:rFonts w:ascii="Arial" w:hAnsi="Arial" w:cs="Arial"/>
          <w:sz w:val="16"/>
          <w:szCs w:val="16"/>
        </w:rPr>
        <w:t xml:space="preserve"> came into effect, replacing the </w:t>
      </w:r>
      <w:r w:rsidRPr="004925DC">
        <w:rPr>
          <w:rFonts w:ascii="Arial" w:hAnsi="Arial" w:cs="Arial"/>
          <w:i/>
          <w:iCs/>
          <w:sz w:val="16"/>
          <w:szCs w:val="16"/>
        </w:rPr>
        <w:t>Aged Care Act 1997</w:t>
      </w:r>
      <w:r w:rsidRPr="004925DC">
        <w:rPr>
          <w:rFonts w:ascii="Arial" w:hAnsi="Arial" w:cs="Arial"/>
          <w:sz w:val="16"/>
          <w:szCs w:val="16"/>
        </w:rPr>
        <w:t xml:space="preserve">, </w:t>
      </w:r>
      <w:r w:rsidRPr="004925DC">
        <w:rPr>
          <w:rFonts w:ascii="Arial" w:hAnsi="Arial" w:cs="Arial"/>
          <w:i/>
          <w:iCs/>
          <w:sz w:val="16"/>
          <w:szCs w:val="16"/>
        </w:rPr>
        <w:t>Aged Care (Transitional Provisions) Act 1997</w:t>
      </w:r>
      <w:r w:rsidRPr="004925DC">
        <w:rPr>
          <w:rFonts w:ascii="Arial" w:hAnsi="Arial" w:cs="Arial"/>
          <w:sz w:val="16"/>
          <w:szCs w:val="16"/>
        </w:rPr>
        <w:t xml:space="preserve"> and </w:t>
      </w:r>
      <w:r w:rsidRPr="004925DC">
        <w:rPr>
          <w:rFonts w:ascii="Arial" w:hAnsi="Arial" w:cs="Arial"/>
          <w:i/>
          <w:iCs/>
          <w:sz w:val="16"/>
          <w:szCs w:val="16"/>
        </w:rPr>
        <w:t>Aged Care Quality and Safety Commission Act 2018</w:t>
      </w:r>
      <w:r w:rsidRPr="004925DC">
        <w:rPr>
          <w:rFonts w:ascii="Arial" w:hAnsi="Arial" w:cs="Arial"/>
          <w:sz w:val="16"/>
          <w:szCs w:val="16"/>
        </w:rPr>
        <w:t>.</w:t>
      </w:r>
    </w:p>
  </w:footnote>
  <w:footnote w:id="8">
    <w:p w14:paraId="7FA6DEEC" w14:textId="42D3F4D9" w:rsidR="00724246" w:rsidRPr="00D9426B" w:rsidRDefault="00724246" w:rsidP="00724246">
      <w:pPr>
        <w:pStyle w:val="FootnoteText"/>
        <w:rPr>
          <w:rFonts w:ascii="Arial" w:hAnsi="Arial" w:cs="Arial"/>
          <w:color w:val="15272F" w:themeColor="text1"/>
          <w:sz w:val="16"/>
          <w:szCs w:val="16"/>
        </w:rPr>
      </w:pPr>
      <w:r w:rsidRPr="00D9426B">
        <w:rPr>
          <w:rStyle w:val="FootnoteReference"/>
          <w:rFonts w:ascii="Arial" w:hAnsi="Arial" w:cs="Arial"/>
          <w:color w:val="15272F" w:themeColor="text1"/>
          <w:sz w:val="16"/>
          <w:szCs w:val="16"/>
        </w:rPr>
        <w:footnoteRef/>
      </w:r>
      <w:r w:rsidRPr="00D9426B">
        <w:rPr>
          <w:rFonts w:ascii="Arial" w:hAnsi="Arial" w:cs="Arial"/>
          <w:color w:val="15272F" w:themeColor="text1"/>
          <w:sz w:val="16"/>
          <w:szCs w:val="16"/>
        </w:rPr>
        <w:t xml:space="preserve"> </w:t>
      </w:r>
      <w:r w:rsidR="000C608A">
        <w:rPr>
          <w:rFonts w:ascii="Arial" w:hAnsi="Arial" w:cs="Arial"/>
          <w:color w:val="15272F" w:themeColor="text1"/>
          <w:sz w:val="16"/>
          <w:szCs w:val="16"/>
        </w:rPr>
        <w:t xml:space="preserve">Listed as Mandatory renewables in 2024–25 Annual Reports. </w:t>
      </w:r>
      <w:r w:rsidR="000C608A" w:rsidRPr="00707E49">
        <w:rPr>
          <w:rFonts w:ascii="Arial" w:hAnsi="Arial" w:cs="Arial"/>
          <w:color w:val="15272F" w:themeColor="text1"/>
          <w:sz w:val="16"/>
          <w:szCs w:val="16"/>
        </w:rPr>
        <w:t xml:space="preserve">The renewable power percentage (RPP) accounts for the portion of electricity used, from the grid, that falls, within the Renewable Energy Target (RET).  </w:t>
      </w:r>
      <w:r w:rsidRPr="00D9426B">
        <w:rPr>
          <w:rFonts w:ascii="Arial" w:hAnsi="Arial" w:cs="Arial"/>
          <w:color w:val="15272F" w:themeColor="text1"/>
          <w:sz w:val="16"/>
          <w:szCs w:val="16"/>
        </w:rPr>
        <w:t xml:space="preserve"> </w:t>
      </w:r>
    </w:p>
  </w:footnote>
  <w:footnote w:id="9">
    <w:p w14:paraId="3FC2FAA5" w14:textId="20CF107F" w:rsidR="00724246" w:rsidRPr="00A80504" w:rsidRDefault="00724246" w:rsidP="00724246">
      <w:pPr>
        <w:pStyle w:val="FootnoteText"/>
        <w:rPr>
          <w:rFonts w:ascii="Arial" w:hAnsi="Arial" w:cs="Arial"/>
          <w:sz w:val="18"/>
          <w:szCs w:val="18"/>
        </w:rPr>
      </w:pPr>
      <w:r w:rsidRPr="00D9426B">
        <w:rPr>
          <w:rStyle w:val="FootnoteReference"/>
          <w:rFonts w:ascii="Arial" w:hAnsi="Arial" w:cs="Arial"/>
          <w:color w:val="15272F" w:themeColor="text1"/>
          <w:sz w:val="16"/>
          <w:szCs w:val="16"/>
        </w:rPr>
        <w:footnoteRef/>
      </w:r>
      <w:r w:rsidRPr="00D9426B">
        <w:rPr>
          <w:rFonts w:ascii="Arial" w:hAnsi="Arial" w:cs="Arial"/>
          <w:color w:val="15272F" w:themeColor="text1"/>
          <w:sz w:val="16"/>
          <w:szCs w:val="16"/>
        </w:rPr>
        <w:t xml:space="preserve"> </w:t>
      </w:r>
      <w:r w:rsidR="000C608A" w:rsidRPr="00856101">
        <w:rPr>
          <w:rFonts w:ascii="Arial" w:hAnsi="Arial" w:cs="Arial"/>
          <w:color w:val="15272F" w:themeColor="text1"/>
          <w:sz w:val="16"/>
          <w:szCs w:val="16"/>
        </w:rPr>
        <w:t>Listed as Voluntary renewables in 2023-24 Annual Reports.</w:t>
      </w:r>
    </w:p>
  </w:footnote>
  <w:footnote w:id="10">
    <w:p w14:paraId="60FAD180" w14:textId="235FC220" w:rsidR="00AB4027" w:rsidRPr="00AB4027" w:rsidRDefault="00AB4027">
      <w:pPr>
        <w:pStyle w:val="FootnoteText"/>
        <w:rPr>
          <w:rFonts w:ascii="Arial" w:hAnsi="Arial" w:cs="Arial"/>
          <w:sz w:val="16"/>
          <w:szCs w:val="16"/>
        </w:rPr>
      </w:pPr>
      <w:r w:rsidRPr="00AB4027">
        <w:rPr>
          <w:rStyle w:val="FootnoteReference"/>
          <w:rFonts w:ascii="Arial" w:hAnsi="Arial" w:cs="Arial"/>
          <w:sz w:val="16"/>
          <w:szCs w:val="16"/>
        </w:rPr>
        <w:footnoteRef/>
      </w:r>
      <w:r w:rsidRPr="00AB4027">
        <w:rPr>
          <w:rFonts w:ascii="Arial" w:hAnsi="Arial" w:cs="Arial"/>
          <w:sz w:val="16"/>
          <w:szCs w:val="16"/>
        </w:rPr>
        <w:t xml:space="preserve"> </w:t>
      </w:r>
      <w:r w:rsidRPr="00AB4027">
        <w:rPr>
          <w:rFonts w:ascii="Arial" w:eastAsia="Times New Roman" w:hAnsi="Arial" w:cs="Arial"/>
          <w:color w:val="15272F" w:themeColor="text1"/>
          <w:kern w:val="0"/>
          <w:sz w:val="16"/>
          <w:szCs w:val="16"/>
          <w:lang w:eastAsia="en-AU"/>
          <w14:ligatures w14:val="none"/>
        </w:rPr>
        <w:t>The Australian Capital Territory is currently the only state with a jurisdictional renewable power percentage (JRPP).</w:t>
      </w:r>
    </w:p>
  </w:footnote>
  <w:footnote w:id="11">
    <w:p w14:paraId="4104FD96" w14:textId="6316F4C4" w:rsidR="00AB4027" w:rsidRDefault="00AB4027">
      <w:pPr>
        <w:pStyle w:val="FootnoteText"/>
      </w:pPr>
      <w:r w:rsidRPr="00AB4027">
        <w:rPr>
          <w:rStyle w:val="FootnoteReference"/>
          <w:rFonts w:ascii="Arial" w:hAnsi="Arial" w:cs="Arial"/>
          <w:sz w:val="16"/>
          <w:szCs w:val="16"/>
        </w:rPr>
        <w:footnoteRef/>
      </w:r>
      <w:r w:rsidRPr="00AB4027">
        <w:rPr>
          <w:rFonts w:ascii="Arial" w:hAnsi="Arial" w:cs="Arial"/>
          <w:sz w:val="16"/>
          <w:szCs w:val="16"/>
        </w:rPr>
        <w:t xml:space="preserve"> </w:t>
      </w:r>
      <w:r w:rsidRPr="00856101">
        <w:rPr>
          <w:rFonts w:ascii="Arial" w:eastAsia="Times New Roman" w:hAnsi="Arial" w:cs="Arial"/>
          <w:color w:val="15272F" w:themeColor="text1"/>
          <w:kern w:val="0"/>
          <w:sz w:val="16"/>
          <w:szCs w:val="16"/>
          <w:lang w:eastAsia="en-AU"/>
          <w14:ligatures w14:val="none"/>
        </w:rPr>
        <w:t>Reporting behind the meter solar consumption and/or production is optional.  The quality of data is expected to improve over time as emissions reporting matures.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FF75" w14:textId="77777777" w:rsidR="004A6D92" w:rsidRPr="00EB0D85" w:rsidRDefault="004A6D92">
    <w:pPr>
      <w:pStyle w:val="Header"/>
    </w:pPr>
    <w:r w:rsidRPr="00EB0D85">
      <w:rPr>
        <w:noProof/>
      </w:rPr>
      <mc:AlternateContent>
        <mc:Choice Requires="wps">
          <w:drawing>
            <wp:anchor distT="0" distB="0" distL="0" distR="0" simplePos="0" relativeHeight="251671552" behindDoc="0" locked="0" layoutInCell="1" allowOverlap="1" wp14:anchorId="62806186" wp14:editId="429A4097">
              <wp:simplePos x="635" y="635"/>
              <wp:positionH relativeFrom="page">
                <wp:align>center</wp:align>
              </wp:positionH>
              <wp:positionV relativeFrom="page">
                <wp:align>top</wp:align>
              </wp:positionV>
              <wp:extent cx="622300" cy="414020"/>
              <wp:effectExtent l="0" t="0" r="6350" b="5080"/>
              <wp:wrapNone/>
              <wp:docPr id="132130098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397437E1"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806186" id="_x0000_t202" coordsize="21600,21600" o:spt="202" path="m,l,21600r21600,l21600,xe">
              <v:stroke joinstyle="miter"/>
              <v:path gradientshapeok="t" o:connecttype="rect"/>
            </v:shapetype>
            <v:shape id="_x0000_s1045" type="#_x0000_t202" alt="OFFICIAL" style="position:absolute;margin-left:0;margin-top:0;width:49pt;height:32.6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" filled="f" stroked="f">
              <v:textbox style="mso-fit-shape-to-text:t" inset="0,15pt,0,0">
                <w:txbxContent>
                  <w:p w14:paraId="397437E1"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27657" w14:textId="77777777" w:rsidR="00257DF2" w:rsidRPr="00EB0D85" w:rsidRDefault="004A6D92">
    <w:pPr>
      <w:pStyle w:val="Header"/>
    </w:pPr>
    <w:r w:rsidRPr="00EB0D85">
      <w:rPr>
        <w:noProof/>
      </w:rPr>
      <mc:AlternateContent>
        <mc:Choice Requires="wps">
          <w:drawing>
            <wp:anchor distT="0" distB="0" distL="0" distR="0" simplePos="0" relativeHeight="251672576" behindDoc="0" locked="0" layoutInCell="1" allowOverlap="1" wp14:anchorId="0592D8C5" wp14:editId="272AD97F">
              <wp:simplePos x="635" y="635"/>
              <wp:positionH relativeFrom="page">
                <wp:align>center</wp:align>
              </wp:positionH>
              <wp:positionV relativeFrom="page">
                <wp:align>top</wp:align>
              </wp:positionV>
              <wp:extent cx="622300" cy="414020"/>
              <wp:effectExtent l="0" t="0" r="6350" b="5080"/>
              <wp:wrapNone/>
              <wp:docPr id="147630022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575F5093"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92D8C5" id="_x0000_t202" coordsize="21600,21600" o:spt="202" path="m,l,21600r21600,l21600,xe">
              <v:stroke joinstyle="miter"/>
              <v:path gradientshapeok="t" o:connecttype="rect"/>
            </v:shapetype>
            <v:shape id="Text Box 3" o:spid="_x0000_s1046" type="#_x0000_t202" alt="OFFICIAL" style="position:absolute;margin-left:0;margin-top:0;width:49pt;height:32.6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" filled="f" stroked="f">
              <v:textbox style="mso-fit-shape-to-text:t" inset="0,15pt,0,0">
                <w:txbxContent>
                  <w:p w14:paraId="575F5093"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r w:rsidR="00493FE8" w:rsidRPr="00EB0D85">
      <w:rPr>
        <w:noProof/>
      </w:rPr>
      <w:drawing>
        <wp:anchor distT="0" distB="0" distL="114300" distR="114300" simplePos="0" relativeHeight="251665408" behindDoc="1" locked="0" layoutInCell="1" allowOverlap="1" wp14:anchorId="244CD243" wp14:editId="322B10F5">
          <wp:simplePos x="0" y="0"/>
          <wp:positionH relativeFrom="margin">
            <wp:posOffset>-685800</wp:posOffset>
          </wp:positionH>
          <wp:positionV relativeFrom="paragraph">
            <wp:posOffset>-449580</wp:posOffset>
          </wp:positionV>
          <wp:extent cx="7573925" cy="10712174"/>
          <wp:effectExtent l="0" t="0" r="8255" b="0"/>
          <wp:wrapNone/>
          <wp:docPr id="1227233673" name="Picture 12272336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73925" cy="1071217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256ED" w14:textId="77777777" w:rsidR="004A6D92" w:rsidRPr="00EB0D85" w:rsidRDefault="004A6D92">
    <w:pPr>
      <w:pStyle w:val="Header"/>
    </w:pPr>
    <w:r w:rsidRPr="00EB0D85">
      <w:rPr>
        <w:noProof/>
      </w:rPr>
      <mc:AlternateContent>
        <mc:Choice Requires="wps">
          <w:drawing>
            <wp:anchor distT="0" distB="0" distL="0" distR="0" simplePos="0" relativeHeight="251670528" behindDoc="0" locked="0" layoutInCell="1" allowOverlap="1" wp14:anchorId="1F05735B" wp14:editId="61DF1FD0">
              <wp:simplePos x="635" y="635"/>
              <wp:positionH relativeFrom="page">
                <wp:align>center</wp:align>
              </wp:positionH>
              <wp:positionV relativeFrom="page">
                <wp:align>top</wp:align>
              </wp:positionV>
              <wp:extent cx="622300" cy="414020"/>
              <wp:effectExtent l="0" t="0" r="6350" b="5080"/>
              <wp:wrapNone/>
              <wp:docPr id="106768420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62523617"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05735B" id="_x0000_t202" coordsize="21600,21600" o:spt="202" path="m,l,21600r21600,l21600,xe">
              <v:stroke joinstyle="miter"/>
              <v:path gradientshapeok="t" o:connecttype="rect"/>
            </v:shapetype>
            <v:shape id="Text Box 1" o:spid="_x0000_s1049" type="#_x0000_t202" alt="OFFICIAL" style="position:absolute;margin-left:0;margin-top:0;width:49pt;height:32.6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" filled="f" stroked="f">
              <v:textbox style="mso-fit-shape-to-text:t" inset="0,15pt,0,0">
                <w:txbxContent>
                  <w:p w14:paraId="62523617"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B19E9" w14:textId="77777777" w:rsidR="004A6D92" w:rsidRPr="00EB0D85" w:rsidRDefault="004A6D92">
    <w:pPr>
      <w:pStyle w:val="Header"/>
    </w:pPr>
    <w:r w:rsidRPr="00EB0D85">
      <w:rPr>
        <w:noProof/>
      </w:rPr>
      <mc:AlternateContent>
        <mc:Choice Requires="wps">
          <w:drawing>
            <wp:anchor distT="0" distB="0" distL="0" distR="0" simplePos="0" relativeHeight="251674624" behindDoc="0" locked="0" layoutInCell="1" allowOverlap="1" wp14:anchorId="67F7E625" wp14:editId="5AB16AE5">
              <wp:simplePos x="635" y="635"/>
              <wp:positionH relativeFrom="page">
                <wp:align>center</wp:align>
              </wp:positionH>
              <wp:positionV relativeFrom="page">
                <wp:align>top</wp:align>
              </wp:positionV>
              <wp:extent cx="622300" cy="414020"/>
              <wp:effectExtent l="0" t="0" r="6350" b="5080"/>
              <wp:wrapNone/>
              <wp:docPr id="60051591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713275D0"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F7E625" id="_x0000_t202" coordsize="21600,21600" o:spt="202" path="m,l,21600r21600,l21600,xe">
              <v:stroke joinstyle="miter"/>
              <v:path gradientshapeok="t" o:connecttype="rect"/>
            </v:shapetype>
            <v:shape id="Text Box 5" o:spid="_x0000_s1051" type="#_x0000_t202" alt="OFFICIAL" style="position:absolute;margin-left:0;margin-top:0;width:49pt;height:32.6pt;z-index:2516746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" filled="f" stroked="f">
              <v:textbox style="mso-fit-shape-to-text:t" inset="0,15pt,0,0">
                <w:txbxContent>
                  <w:p w14:paraId="713275D0"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r w:rsidRPr="00EB0D85">
      <w:rPr>
        <w:noProof/>
      </w:rPr>
      <w:drawing>
        <wp:anchor distT="0" distB="0" distL="114300" distR="114300" simplePos="0" relativeHeight="251669504" behindDoc="1" locked="0" layoutInCell="1" allowOverlap="1" wp14:anchorId="50C4F134" wp14:editId="75E92580">
          <wp:simplePos x="0" y="0"/>
          <wp:positionH relativeFrom="page">
            <wp:align>right</wp:align>
          </wp:positionH>
          <wp:positionV relativeFrom="paragraph">
            <wp:posOffset>-446405</wp:posOffset>
          </wp:positionV>
          <wp:extent cx="7553325" cy="10729171"/>
          <wp:effectExtent l="0" t="0" r="0" b="0"/>
          <wp:wrapNone/>
          <wp:docPr id="1664444410" name="Picture 1" descr="A close up of a colorful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579509" name="Picture 1" descr="A close up of a colorful de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729171"/>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00F8" w14:textId="77777777" w:rsidR="00493FE8" w:rsidRPr="00EB0D85" w:rsidRDefault="004A6D92">
    <w:pPr>
      <w:pStyle w:val="Header"/>
    </w:pPr>
    <w:r w:rsidRPr="00EB0D85">
      <w:rPr>
        <w:noProof/>
      </w:rPr>
      <mc:AlternateContent>
        <mc:Choice Requires="wps">
          <w:drawing>
            <wp:anchor distT="0" distB="0" distL="0" distR="0" simplePos="0" relativeHeight="251675648" behindDoc="0" locked="0" layoutInCell="1" allowOverlap="1" wp14:anchorId="3CC2BEAD" wp14:editId="60F91B42">
              <wp:simplePos x="635" y="635"/>
              <wp:positionH relativeFrom="page">
                <wp:align>center</wp:align>
              </wp:positionH>
              <wp:positionV relativeFrom="page">
                <wp:align>top</wp:align>
              </wp:positionV>
              <wp:extent cx="622300" cy="414020"/>
              <wp:effectExtent l="0" t="0" r="6350" b="5080"/>
              <wp:wrapNone/>
              <wp:docPr id="329164528"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27CBF49D"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C2BEAD" id="_x0000_t202" coordsize="21600,21600" o:spt="202" path="m,l,21600r21600,l21600,xe">
              <v:stroke joinstyle="miter"/>
              <v:path gradientshapeok="t" o:connecttype="rect"/>
            </v:shapetype>
            <v:shape id="Text Box 6" o:spid="_x0000_s1053" type="#_x0000_t202" alt="OFFICIAL" style="position:absolute;margin-left:0;margin-top:0;width:49pt;height:32.6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" filled="f" stroked="f">
              <v:textbox style="mso-fit-shape-to-text:t" inset="0,15pt,0,0">
                <w:txbxContent>
                  <w:p w14:paraId="27CBF49D"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499D6" w14:textId="77777777" w:rsidR="00EB0D85" w:rsidRDefault="00EB0D85">
    <w:pPr>
      <w:pStyle w:val="Header"/>
    </w:pPr>
    <w:r>
      <w:rPr>
        <w:noProof/>
      </w:rPr>
      <mc:AlternateContent>
        <mc:Choice Requires="wps">
          <w:drawing>
            <wp:anchor distT="0" distB="0" distL="0" distR="0" simplePos="0" relativeHeight="251687936" behindDoc="0" locked="0" layoutInCell="1" allowOverlap="1" wp14:anchorId="658DE26B" wp14:editId="0F3417D6">
              <wp:simplePos x="635" y="635"/>
              <wp:positionH relativeFrom="page">
                <wp:align>center</wp:align>
              </wp:positionH>
              <wp:positionV relativeFrom="page">
                <wp:align>top</wp:align>
              </wp:positionV>
              <wp:extent cx="622300" cy="391160"/>
              <wp:effectExtent l="0" t="0" r="6350" b="8890"/>
              <wp:wrapNone/>
              <wp:docPr id="166099452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D4DDEE7" w14:textId="77777777" w:rsidR="00EB0D85" w:rsidRPr="00F04BF4" w:rsidRDefault="00EB0D85" w:rsidP="00F04BF4">
                          <w:pPr>
                            <w:spacing w:after="0"/>
                            <w:rPr>
                              <w:rFonts w:ascii="Aptos" w:eastAsia="Aptos" w:hAnsi="Aptos" w:cs="Aptos"/>
                              <w:noProof/>
                              <w:color w:val="FF0000"/>
                            </w:rPr>
                          </w:pPr>
                          <w:r w:rsidRPr="00F04BF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8DE26B" id="_x0000_t202" coordsize="21600,21600" o:spt="202" path="m,l,21600r21600,l21600,xe">
              <v:stroke joinstyle="miter"/>
              <v:path gradientshapeok="t" o:connecttype="rect"/>
            </v:shapetype>
            <v:shape id="_x0000_s1055" type="#_x0000_t202" alt="OFFICIAL" style="position:absolute;margin-left:0;margin-top:0;width:49pt;height:30.8pt;z-index:2516879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VVDAIAAB0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1p+tQ4urZQH2krDyfCg5OrlnqvRcBn4YlhGpdU&#10;i0906A76isPZ4qwB//Nv/phPwFOUs54UU3FLkuas+26JkCiuZBS3+eeIhh/d29Gwe3MPpMOCnoST&#10;yYx52I2m9mBeSc/L2IhCwkpqV3EczXs8SZfeg1TLZUoiHTmBa7txMpaOeEUwX4ZX4d0ZcSSqHmGU&#10;kyjfAX/KjTeDW+6R4E+sXIE8Q04aTGSd30sU+dv/lHV91YtfAA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N3/ZVUMAgAAHQQAAA4A&#10;AAAAAAAAAAAAAAAALgIAAGRycy9lMm9Eb2MueG1sUEsBAi0AFAAGAAgAAAAhAGGiSGjYAAAAAwEA&#10;AA8AAAAAAAAAAAAAAAAAZgQAAGRycy9kb3ducmV2LnhtbFBLBQYAAAAABAAEAPMAAABrBQAAAAA=&#10;" filled="f" stroked="f">
              <v:textbox style="mso-fit-shape-to-text:t" inset="0,15pt,0,0">
                <w:txbxContent>
                  <w:p w14:paraId="5D4DDEE7" w14:textId="77777777" w:rsidR="00EB0D85" w:rsidRPr="00F04BF4" w:rsidRDefault="00EB0D85" w:rsidP="00F04BF4">
                    <w:pPr>
                      <w:spacing w:after="0"/>
                      <w:rPr>
                        <w:rFonts w:ascii="Aptos" w:eastAsia="Aptos" w:hAnsi="Aptos" w:cs="Aptos"/>
                        <w:noProof/>
                        <w:color w:val="FF0000"/>
                      </w:rPr>
                    </w:pPr>
                    <w:r w:rsidRPr="00F04BF4">
                      <w:rPr>
                        <w:rFonts w:ascii="Aptos" w:eastAsia="Aptos" w:hAnsi="Aptos" w:cs="Aptos"/>
                        <w:noProof/>
                        <w:color w:val="FF000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E89CE" w14:textId="77777777" w:rsidR="00EB0D85" w:rsidRDefault="00EB0D85">
    <w:pPr>
      <w:pStyle w:val="Header"/>
    </w:pPr>
    <w:r>
      <w:rPr>
        <w:noProof/>
      </w:rPr>
      <mc:AlternateContent>
        <mc:Choice Requires="wps">
          <w:drawing>
            <wp:anchor distT="0" distB="0" distL="0" distR="0" simplePos="0" relativeHeight="251688960" behindDoc="0" locked="0" layoutInCell="1" allowOverlap="1" wp14:anchorId="5C8334F9" wp14:editId="30941232">
              <wp:simplePos x="915035" y="450215"/>
              <wp:positionH relativeFrom="page">
                <wp:align>center</wp:align>
              </wp:positionH>
              <wp:positionV relativeFrom="page">
                <wp:align>top</wp:align>
              </wp:positionV>
              <wp:extent cx="622300" cy="391160"/>
              <wp:effectExtent l="0" t="0" r="6350" b="8890"/>
              <wp:wrapNone/>
              <wp:docPr id="164061467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BA2048A" w14:textId="77777777" w:rsidR="00EB0D85" w:rsidRPr="00F04BF4" w:rsidRDefault="00EB0D85" w:rsidP="00F04BF4">
                          <w:pPr>
                            <w:spacing w:after="0"/>
                            <w:rPr>
                              <w:rFonts w:ascii="Aptos" w:eastAsia="Aptos" w:hAnsi="Aptos" w:cs="Aptos"/>
                              <w:noProof/>
                              <w:color w:val="FF0000"/>
                            </w:rPr>
                          </w:pPr>
                          <w:r w:rsidRPr="00F04BF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8334F9" id="_x0000_t202" coordsize="21600,21600" o:spt="202" path="m,l,21600r21600,l21600,xe">
              <v:stroke joinstyle="miter"/>
              <v:path gradientshapeok="t" o:connecttype="rect"/>
            </v:shapetype>
            <v:shape id="_x0000_s1056" type="#_x0000_t202" alt="OFFICIAL" style="position:absolute;margin-left:0;margin-top:0;width:49pt;height:30.8pt;z-index:2516889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NdoDQIAAB0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vT9Jfxt1AfaSsPJ8KDk6uWeq9FwGfhiWEal1SL&#10;T3RoA33F4Wxx1oD/+Td/zCfgKcpZT4qpuCVJc2a+WyIkiisZxW3+OaLhR/d2NOy+uwfSYUFPwslk&#10;xjw0o6k9dK+k52VsRCFhJbWrOI7mPZ6kS+9BquUyJZGOnMC13TgZS0e8Ipgvw6vw7ow4ElWPMMpJ&#10;lO+AP+XGm8Et90jwJ1Yiticgz5CTBhNZ5/cSRf72P2VdX/XiF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CwQNdoDQIAAB0EAAAO&#10;AAAAAAAAAAAAAAAAAC4CAABkcnMvZTJvRG9jLnhtbFBLAQItABQABgAIAAAAIQBhokho2AAAAAMB&#10;AAAPAAAAAAAAAAAAAAAAAGcEAABkcnMvZG93bnJldi54bWxQSwUGAAAAAAQABADzAAAAbAUAAAAA&#10;" filled="f" stroked="f">
              <v:textbox style="mso-fit-shape-to-text:t" inset="0,15pt,0,0">
                <w:txbxContent>
                  <w:p w14:paraId="6BA2048A" w14:textId="77777777" w:rsidR="00EB0D85" w:rsidRPr="00F04BF4" w:rsidRDefault="00EB0D85" w:rsidP="00F04BF4">
                    <w:pPr>
                      <w:spacing w:after="0"/>
                      <w:rPr>
                        <w:rFonts w:ascii="Aptos" w:eastAsia="Aptos" w:hAnsi="Aptos" w:cs="Aptos"/>
                        <w:noProof/>
                        <w:color w:val="FF0000"/>
                      </w:rPr>
                    </w:pPr>
                    <w:r w:rsidRPr="00F04BF4">
                      <w:rPr>
                        <w:rFonts w:ascii="Aptos" w:eastAsia="Aptos" w:hAnsi="Aptos" w:cs="Aptos"/>
                        <w:noProof/>
                        <w:color w:val="FF000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8976" w14:textId="77777777" w:rsidR="00EB0D85" w:rsidRDefault="00EB0D85">
    <w:pPr>
      <w:pStyle w:val="Header"/>
    </w:pPr>
    <w:r>
      <w:rPr>
        <w:noProof/>
      </w:rPr>
      <mc:AlternateContent>
        <mc:Choice Requires="wps">
          <w:drawing>
            <wp:anchor distT="0" distB="0" distL="0" distR="0" simplePos="0" relativeHeight="251686912" behindDoc="0" locked="0" layoutInCell="1" allowOverlap="1" wp14:anchorId="78612DA0" wp14:editId="43204DEF">
              <wp:simplePos x="914400" y="453224"/>
              <wp:positionH relativeFrom="page">
                <wp:align>center</wp:align>
              </wp:positionH>
              <wp:positionV relativeFrom="page">
                <wp:align>top</wp:align>
              </wp:positionV>
              <wp:extent cx="622300" cy="391160"/>
              <wp:effectExtent l="0" t="0" r="6350" b="8890"/>
              <wp:wrapNone/>
              <wp:docPr id="174533884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ECB741E" w14:textId="77777777" w:rsidR="00EB0D85" w:rsidRPr="00F04BF4" w:rsidRDefault="00EB0D85" w:rsidP="00F04BF4">
                          <w:pPr>
                            <w:spacing w:after="0"/>
                            <w:rPr>
                              <w:rFonts w:ascii="Aptos" w:eastAsia="Aptos" w:hAnsi="Aptos" w:cs="Aptos"/>
                              <w:noProof/>
                              <w:color w:val="FF0000"/>
                            </w:rPr>
                          </w:pPr>
                          <w:r w:rsidRPr="00F04BF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612DA0" id="_x0000_t202" coordsize="21600,21600" o:spt="202" path="m,l,21600r21600,l21600,xe">
              <v:stroke joinstyle="miter"/>
              <v:path gradientshapeok="t" o:connecttype="rect"/>
            </v:shapetype>
            <v:shape id="_x0000_s1058" type="#_x0000_t202" alt="OFFICIAL" style="position:absolute;margin-left:0;margin-top:0;width:49pt;height:30.8pt;z-index:2516869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qPrITDQIAAB0EAAAO&#10;AAAAAAAAAAAAAAAAAC4CAABkcnMvZTJvRG9jLnhtbFBLAQItABQABgAIAAAAIQBhokho2AAAAAMB&#10;AAAPAAAAAAAAAAAAAAAAAGcEAABkcnMvZG93bnJldi54bWxQSwUGAAAAAAQABADzAAAAbAUAAAAA&#10;" filled="f" stroked="f">
              <v:textbox style="mso-fit-shape-to-text:t" inset="0,15pt,0,0">
                <w:txbxContent>
                  <w:p w14:paraId="7ECB741E" w14:textId="77777777" w:rsidR="00EB0D85" w:rsidRPr="00F04BF4" w:rsidRDefault="00EB0D85" w:rsidP="00F04BF4">
                    <w:pPr>
                      <w:spacing w:after="0"/>
                      <w:rPr>
                        <w:rFonts w:ascii="Aptos" w:eastAsia="Aptos" w:hAnsi="Aptos" w:cs="Aptos"/>
                        <w:noProof/>
                        <w:color w:val="FF0000"/>
                      </w:rPr>
                    </w:pPr>
                    <w:r w:rsidRPr="00F04BF4">
                      <w:rPr>
                        <w:rFonts w:ascii="Aptos" w:eastAsia="Aptos" w:hAnsi="Aptos" w:cs="Aptos"/>
                        <w:noProof/>
                        <w:color w:val="FF000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B3D2" w14:textId="77777777" w:rsidR="00502A09" w:rsidRPr="00EB0D85" w:rsidRDefault="004A6D92">
    <w:pPr>
      <w:pStyle w:val="Header"/>
    </w:pPr>
    <w:r w:rsidRPr="00EB0D85">
      <w:rPr>
        <w:noProof/>
      </w:rPr>
      <mc:AlternateContent>
        <mc:Choice Requires="wps">
          <w:drawing>
            <wp:anchor distT="0" distB="0" distL="0" distR="0" simplePos="0" relativeHeight="251676672" behindDoc="0" locked="0" layoutInCell="1" allowOverlap="1" wp14:anchorId="55672C3F" wp14:editId="4C09BE9F">
              <wp:simplePos x="635" y="635"/>
              <wp:positionH relativeFrom="page">
                <wp:align>center</wp:align>
              </wp:positionH>
              <wp:positionV relativeFrom="page">
                <wp:align>top</wp:align>
              </wp:positionV>
              <wp:extent cx="622300" cy="414020"/>
              <wp:effectExtent l="0" t="0" r="6350" b="5080"/>
              <wp:wrapNone/>
              <wp:docPr id="93961395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68FD87CF"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672C3F" id="_x0000_t202" coordsize="21600,21600" o:spt="202" path="m,l,21600r21600,l21600,xe">
              <v:stroke joinstyle="miter"/>
              <v:path gradientshapeok="t" o:connecttype="rect"/>
            </v:shapetype>
            <v:shape id="Text Box 7" o:spid="_x0000_s1060" type="#_x0000_t202" alt="OFFICIAL" style="position:absolute;margin-left:0;margin-top:0;width:49pt;height:32.6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" filled="f" stroked="f">
              <v:textbox style="mso-fit-shape-to-text:t" inset="0,15pt,0,0">
                <w:txbxContent>
                  <w:p w14:paraId="68FD87CF"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r w:rsidR="00502A09" w:rsidRPr="00EB0D85">
      <w:rPr>
        <w:noProof/>
      </w:rPr>
      <w:drawing>
        <wp:anchor distT="0" distB="0" distL="114300" distR="114300" simplePos="0" relativeHeight="251661312" behindDoc="1" locked="0" layoutInCell="1" allowOverlap="1" wp14:anchorId="3EC0E36C" wp14:editId="08E16A7F">
          <wp:simplePos x="0" y="0"/>
          <wp:positionH relativeFrom="column">
            <wp:posOffset>-685800</wp:posOffset>
          </wp:positionH>
          <wp:positionV relativeFrom="paragraph">
            <wp:posOffset>-449580</wp:posOffset>
          </wp:positionV>
          <wp:extent cx="7573879" cy="10699668"/>
          <wp:effectExtent l="0" t="0" r="8255" b="6985"/>
          <wp:wrapNone/>
          <wp:docPr id="106" name="Picture 1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3879" cy="1069966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F1585" w14:textId="6CFE29FC" w:rsidR="00502A09" w:rsidRPr="00EB0D85" w:rsidRDefault="004A6D92">
    <w:pPr>
      <w:pStyle w:val="Header"/>
    </w:pPr>
    <w:r w:rsidRPr="00EB0D85">
      <w:rPr>
        <w:noProof/>
      </w:rPr>
      <mc:AlternateContent>
        <mc:Choice Requires="wps">
          <w:drawing>
            <wp:anchor distT="0" distB="0" distL="0" distR="0" simplePos="0" relativeHeight="251677696" behindDoc="0" locked="0" layoutInCell="1" allowOverlap="1" wp14:anchorId="2F9108A1" wp14:editId="700ABB8C">
              <wp:simplePos x="635" y="635"/>
              <wp:positionH relativeFrom="page">
                <wp:align>center</wp:align>
              </wp:positionH>
              <wp:positionV relativeFrom="page">
                <wp:align>top</wp:align>
              </wp:positionV>
              <wp:extent cx="622300" cy="414020"/>
              <wp:effectExtent l="0" t="0" r="6350" b="5080"/>
              <wp:wrapNone/>
              <wp:docPr id="21402271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77492C64"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9108A1" id="_x0000_t202" coordsize="21600,21600" o:spt="202" path="m,l,21600r21600,l21600,xe">
              <v:stroke joinstyle="miter"/>
              <v:path gradientshapeok="t" o:connecttype="rect"/>
            </v:shapetype>
            <v:shape id="Text Box 8" o:spid="_x0000_s1062" type="#_x0000_t202" alt="OFFICIAL" style="position:absolute;margin-left:0;margin-top:0;width:49pt;height:32.6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" filled="f" stroked="f">
              <v:textbox style="mso-fit-shape-to-text:t" inset="0,15pt,0,0">
                <w:txbxContent>
                  <w:p w14:paraId="77492C64" w14:textId="77777777" w:rsidR="004A6D92" w:rsidRPr="00EB0D85" w:rsidRDefault="004A6D92" w:rsidP="004A6D92">
                    <w:pPr>
                      <w:spacing w:after="0"/>
                      <w:rPr>
                        <w:rFonts w:ascii="Aptos" w:eastAsia="Aptos" w:hAnsi="Aptos" w:cs="Aptos"/>
                        <w:color w:val="FF0000"/>
                        <w:sz w:val="24"/>
                        <w:szCs w:val="24"/>
                      </w:rPr>
                    </w:pPr>
                    <w:r w:rsidRPr="00EB0D85">
                      <w:rPr>
                        <w:rFonts w:ascii="Aptos" w:eastAsia="Aptos" w:hAnsi="Aptos" w:cs="Aptos"/>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2A15"/>
    <w:multiLevelType w:val="hybridMultilevel"/>
    <w:tmpl w:val="4D32E922"/>
    <w:lvl w:ilvl="0" w:tplc="FFFFFFFF">
      <w:numFmt w:val="bullet"/>
      <w:lvlText w:val="–"/>
      <w:lvlJc w:val="left"/>
      <w:pPr>
        <w:ind w:left="720" w:hanging="720"/>
      </w:pPr>
      <w:rPr>
        <w:rFonts w:ascii="Fira Sans regular" w:eastAsiaTheme="minorHAnsi" w:hAnsi="Fira Sans regular" w:cstheme="minorBidi" w:hint="default"/>
      </w:rPr>
    </w:lvl>
    <w:lvl w:ilvl="1" w:tplc="461872A6">
      <w:numFmt w:val="bullet"/>
      <w:pStyle w:val="ListLevel2"/>
      <w:lvlText w:val="–"/>
      <w:lvlJc w:val="left"/>
      <w:pPr>
        <w:ind w:left="1080" w:hanging="360"/>
      </w:pPr>
      <w:rPr>
        <w:rFonts w:ascii="Fira Sans regular" w:eastAsiaTheme="minorHAnsi" w:hAnsi="Fira Sans regular"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9F534B6"/>
    <w:multiLevelType w:val="hybridMultilevel"/>
    <w:tmpl w:val="96E0768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120217"/>
    <w:multiLevelType w:val="hybridMultilevel"/>
    <w:tmpl w:val="90FCA8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4B7EE3"/>
    <w:multiLevelType w:val="hybridMultilevel"/>
    <w:tmpl w:val="B63A82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FA1B6F"/>
    <w:multiLevelType w:val="hybridMultilevel"/>
    <w:tmpl w:val="A35A5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604197"/>
    <w:multiLevelType w:val="hybridMultilevel"/>
    <w:tmpl w:val="1FEE6336"/>
    <w:lvl w:ilvl="0" w:tplc="943AFAB8">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33422B"/>
    <w:multiLevelType w:val="hybridMultilevel"/>
    <w:tmpl w:val="75B29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554A3D"/>
    <w:multiLevelType w:val="hybridMultilevel"/>
    <w:tmpl w:val="9A6CC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F25192"/>
    <w:multiLevelType w:val="hybridMultilevel"/>
    <w:tmpl w:val="440ABE70"/>
    <w:lvl w:ilvl="0" w:tplc="0C090019">
      <w:start w:val="1"/>
      <w:numFmt w:val="lowerLetter"/>
      <w:lvlText w:val="%1."/>
      <w:lvlJc w:val="left"/>
      <w:pPr>
        <w:ind w:left="444" w:hanging="360"/>
      </w:pPr>
    </w:lvl>
    <w:lvl w:ilvl="1" w:tplc="0C090019" w:tentative="1">
      <w:start w:val="1"/>
      <w:numFmt w:val="lowerLetter"/>
      <w:lvlText w:val="%2."/>
      <w:lvlJc w:val="left"/>
      <w:pPr>
        <w:ind w:left="1164" w:hanging="360"/>
      </w:pPr>
    </w:lvl>
    <w:lvl w:ilvl="2" w:tplc="0C09001B" w:tentative="1">
      <w:start w:val="1"/>
      <w:numFmt w:val="lowerRoman"/>
      <w:lvlText w:val="%3."/>
      <w:lvlJc w:val="right"/>
      <w:pPr>
        <w:ind w:left="1884" w:hanging="180"/>
      </w:pPr>
    </w:lvl>
    <w:lvl w:ilvl="3" w:tplc="0C09000F" w:tentative="1">
      <w:start w:val="1"/>
      <w:numFmt w:val="decimal"/>
      <w:lvlText w:val="%4."/>
      <w:lvlJc w:val="left"/>
      <w:pPr>
        <w:ind w:left="2604" w:hanging="360"/>
      </w:pPr>
    </w:lvl>
    <w:lvl w:ilvl="4" w:tplc="0C090019" w:tentative="1">
      <w:start w:val="1"/>
      <w:numFmt w:val="lowerLetter"/>
      <w:lvlText w:val="%5."/>
      <w:lvlJc w:val="left"/>
      <w:pPr>
        <w:ind w:left="3324" w:hanging="360"/>
      </w:pPr>
    </w:lvl>
    <w:lvl w:ilvl="5" w:tplc="0C09001B" w:tentative="1">
      <w:start w:val="1"/>
      <w:numFmt w:val="lowerRoman"/>
      <w:lvlText w:val="%6."/>
      <w:lvlJc w:val="right"/>
      <w:pPr>
        <w:ind w:left="4044" w:hanging="180"/>
      </w:pPr>
    </w:lvl>
    <w:lvl w:ilvl="6" w:tplc="0C09000F" w:tentative="1">
      <w:start w:val="1"/>
      <w:numFmt w:val="decimal"/>
      <w:lvlText w:val="%7."/>
      <w:lvlJc w:val="left"/>
      <w:pPr>
        <w:ind w:left="4764" w:hanging="360"/>
      </w:pPr>
    </w:lvl>
    <w:lvl w:ilvl="7" w:tplc="0C090019" w:tentative="1">
      <w:start w:val="1"/>
      <w:numFmt w:val="lowerLetter"/>
      <w:lvlText w:val="%8."/>
      <w:lvlJc w:val="left"/>
      <w:pPr>
        <w:ind w:left="5484" w:hanging="360"/>
      </w:pPr>
    </w:lvl>
    <w:lvl w:ilvl="8" w:tplc="0C09001B" w:tentative="1">
      <w:start w:val="1"/>
      <w:numFmt w:val="lowerRoman"/>
      <w:lvlText w:val="%9."/>
      <w:lvlJc w:val="right"/>
      <w:pPr>
        <w:ind w:left="6204" w:hanging="180"/>
      </w:pPr>
    </w:lvl>
  </w:abstractNum>
  <w:abstractNum w:abstractNumId="9" w15:restartNumberingAfterBreak="0">
    <w:nsid w:val="1BF582C8"/>
    <w:multiLevelType w:val="hybridMultilevel"/>
    <w:tmpl w:val="FFFFFFFF"/>
    <w:lvl w:ilvl="0" w:tplc="435EFEF2">
      <w:start w:val="1"/>
      <w:numFmt w:val="bullet"/>
      <w:lvlText w:val=""/>
      <w:lvlJc w:val="left"/>
      <w:pPr>
        <w:ind w:left="720" w:hanging="360"/>
      </w:pPr>
      <w:rPr>
        <w:rFonts w:ascii="Symbol" w:hAnsi="Symbol" w:hint="default"/>
      </w:rPr>
    </w:lvl>
    <w:lvl w:ilvl="1" w:tplc="0D283A00">
      <w:start w:val="1"/>
      <w:numFmt w:val="bullet"/>
      <w:lvlText w:val="o"/>
      <w:lvlJc w:val="left"/>
      <w:pPr>
        <w:ind w:left="1440" w:hanging="360"/>
      </w:pPr>
      <w:rPr>
        <w:rFonts w:ascii="Courier New" w:hAnsi="Courier New" w:hint="default"/>
      </w:rPr>
    </w:lvl>
    <w:lvl w:ilvl="2" w:tplc="7B4EC3FC">
      <w:start w:val="1"/>
      <w:numFmt w:val="bullet"/>
      <w:lvlText w:val=""/>
      <w:lvlJc w:val="left"/>
      <w:pPr>
        <w:ind w:left="2160" w:hanging="360"/>
      </w:pPr>
      <w:rPr>
        <w:rFonts w:ascii="Wingdings" w:hAnsi="Wingdings" w:hint="default"/>
      </w:rPr>
    </w:lvl>
    <w:lvl w:ilvl="3" w:tplc="0B86616E">
      <w:start w:val="1"/>
      <w:numFmt w:val="bullet"/>
      <w:lvlText w:val=""/>
      <w:lvlJc w:val="left"/>
      <w:pPr>
        <w:ind w:left="2880" w:hanging="360"/>
      </w:pPr>
      <w:rPr>
        <w:rFonts w:ascii="Symbol" w:hAnsi="Symbol" w:hint="default"/>
      </w:rPr>
    </w:lvl>
    <w:lvl w:ilvl="4" w:tplc="43D807CA">
      <w:start w:val="1"/>
      <w:numFmt w:val="bullet"/>
      <w:lvlText w:val="o"/>
      <w:lvlJc w:val="left"/>
      <w:pPr>
        <w:ind w:left="3600" w:hanging="360"/>
      </w:pPr>
      <w:rPr>
        <w:rFonts w:ascii="Courier New" w:hAnsi="Courier New" w:hint="default"/>
      </w:rPr>
    </w:lvl>
    <w:lvl w:ilvl="5" w:tplc="217AB1EE">
      <w:start w:val="1"/>
      <w:numFmt w:val="bullet"/>
      <w:lvlText w:val=""/>
      <w:lvlJc w:val="left"/>
      <w:pPr>
        <w:ind w:left="4320" w:hanging="360"/>
      </w:pPr>
      <w:rPr>
        <w:rFonts w:ascii="Wingdings" w:hAnsi="Wingdings" w:hint="default"/>
      </w:rPr>
    </w:lvl>
    <w:lvl w:ilvl="6" w:tplc="63180A0A">
      <w:start w:val="1"/>
      <w:numFmt w:val="bullet"/>
      <w:lvlText w:val=""/>
      <w:lvlJc w:val="left"/>
      <w:pPr>
        <w:ind w:left="5040" w:hanging="360"/>
      </w:pPr>
      <w:rPr>
        <w:rFonts w:ascii="Symbol" w:hAnsi="Symbol" w:hint="default"/>
      </w:rPr>
    </w:lvl>
    <w:lvl w:ilvl="7" w:tplc="9F54E4DA">
      <w:start w:val="1"/>
      <w:numFmt w:val="bullet"/>
      <w:lvlText w:val="o"/>
      <w:lvlJc w:val="left"/>
      <w:pPr>
        <w:ind w:left="5760" w:hanging="360"/>
      </w:pPr>
      <w:rPr>
        <w:rFonts w:ascii="Courier New" w:hAnsi="Courier New" w:hint="default"/>
      </w:rPr>
    </w:lvl>
    <w:lvl w:ilvl="8" w:tplc="3F5407C0">
      <w:start w:val="1"/>
      <w:numFmt w:val="bullet"/>
      <w:lvlText w:val=""/>
      <w:lvlJc w:val="left"/>
      <w:pPr>
        <w:ind w:left="6480" w:hanging="360"/>
      </w:pPr>
      <w:rPr>
        <w:rFonts w:ascii="Wingdings" w:hAnsi="Wingdings" w:hint="default"/>
      </w:rPr>
    </w:lvl>
  </w:abstractNum>
  <w:abstractNum w:abstractNumId="10" w15:restartNumberingAfterBreak="0">
    <w:nsid w:val="1C203535"/>
    <w:multiLevelType w:val="hybridMultilevel"/>
    <w:tmpl w:val="366A0B22"/>
    <w:lvl w:ilvl="0" w:tplc="943AFAB8">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17B2BDA"/>
    <w:multiLevelType w:val="hybridMultilevel"/>
    <w:tmpl w:val="2FA8C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330F4E"/>
    <w:multiLevelType w:val="hybridMultilevel"/>
    <w:tmpl w:val="919C9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BD24A7"/>
    <w:multiLevelType w:val="hybridMultilevel"/>
    <w:tmpl w:val="B2CE1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C241C61"/>
    <w:multiLevelType w:val="hybridMultilevel"/>
    <w:tmpl w:val="F39A1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FC651E"/>
    <w:multiLevelType w:val="hybridMultilevel"/>
    <w:tmpl w:val="28467C70"/>
    <w:lvl w:ilvl="0" w:tplc="943AFAB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77686B"/>
    <w:multiLevelType w:val="hybridMultilevel"/>
    <w:tmpl w:val="22FA5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230DFA"/>
    <w:multiLevelType w:val="hybridMultilevel"/>
    <w:tmpl w:val="B86E062A"/>
    <w:lvl w:ilvl="0" w:tplc="FFFFFFFF">
      <w:numFmt w:val="bullet"/>
      <w:lvlText w:val="–"/>
      <w:lvlJc w:val="left"/>
      <w:pPr>
        <w:ind w:left="720" w:hanging="720"/>
      </w:pPr>
      <w:rPr>
        <w:rFonts w:ascii="Fira Sans regular" w:eastAsiaTheme="minorHAnsi" w:hAnsi="Fira Sans regular" w:cstheme="minorBidi" w:hint="default"/>
      </w:rPr>
    </w:lvl>
    <w:lvl w:ilvl="1" w:tplc="E5DA9E68">
      <w:start w:val="1"/>
      <w:numFmt w:val="bullet"/>
      <w:pStyle w:val="ListLevel1"/>
      <w:lvlText w:val=""/>
      <w:lvlJc w:val="left"/>
      <w:pPr>
        <w:ind w:left="1080" w:hanging="360"/>
      </w:pPr>
      <w:rPr>
        <w:rFonts w:ascii="Symbol" w:hAnsi="Symbol" w:hint="default"/>
        <w:color w:val="auto"/>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43B7E94"/>
    <w:multiLevelType w:val="hybridMultilevel"/>
    <w:tmpl w:val="A1C6D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9A3F86"/>
    <w:multiLevelType w:val="hybridMultilevel"/>
    <w:tmpl w:val="4574DA5C"/>
    <w:lvl w:ilvl="0" w:tplc="7338CC7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597F2C"/>
    <w:multiLevelType w:val="hybridMultilevel"/>
    <w:tmpl w:val="0CE299F8"/>
    <w:lvl w:ilvl="0" w:tplc="0C090019">
      <w:start w:val="1"/>
      <w:numFmt w:val="lowerLetter"/>
      <w:lvlText w:val="%1."/>
      <w:lvlJc w:val="left"/>
      <w:pPr>
        <w:ind w:left="444" w:hanging="360"/>
      </w:pPr>
    </w:lvl>
    <w:lvl w:ilvl="1" w:tplc="0C090019" w:tentative="1">
      <w:start w:val="1"/>
      <w:numFmt w:val="lowerLetter"/>
      <w:lvlText w:val="%2."/>
      <w:lvlJc w:val="left"/>
      <w:pPr>
        <w:ind w:left="1164" w:hanging="360"/>
      </w:pPr>
    </w:lvl>
    <w:lvl w:ilvl="2" w:tplc="0C09001B" w:tentative="1">
      <w:start w:val="1"/>
      <w:numFmt w:val="lowerRoman"/>
      <w:lvlText w:val="%3."/>
      <w:lvlJc w:val="right"/>
      <w:pPr>
        <w:ind w:left="1884" w:hanging="180"/>
      </w:pPr>
    </w:lvl>
    <w:lvl w:ilvl="3" w:tplc="0C09000F" w:tentative="1">
      <w:start w:val="1"/>
      <w:numFmt w:val="decimal"/>
      <w:lvlText w:val="%4."/>
      <w:lvlJc w:val="left"/>
      <w:pPr>
        <w:ind w:left="2604" w:hanging="360"/>
      </w:pPr>
    </w:lvl>
    <w:lvl w:ilvl="4" w:tplc="0C090019" w:tentative="1">
      <w:start w:val="1"/>
      <w:numFmt w:val="lowerLetter"/>
      <w:lvlText w:val="%5."/>
      <w:lvlJc w:val="left"/>
      <w:pPr>
        <w:ind w:left="3324" w:hanging="360"/>
      </w:pPr>
    </w:lvl>
    <w:lvl w:ilvl="5" w:tplc="0C09001B" w:tentative="1">
      <w:start w:val="1"/>
      <w:numFmt w:val="lowerRoman"/>
      <w:lvlText w:val="%6."/>
      <w:lvlJc w:val="right"/>
      <w:pPr>
        <w:ind w:left="4044" w:hanging="180"/>
      </w:pPr>
    </w:lvl>
    <w:lvl w:ilvl="6" w:tplc="0C09000F" w:tentative="1">
      <w:start w:val="1"/>
      <w:numFmt w:val="decimal"/>
      <w:lvlText w:val="%7."/>
      <w:lvlJc w:val="left"/>
      <w:pPr>
        <w:ind w:left="4764" w:hanging="360"/>
      </w:pPr>
    </w:lvl>
    <w:lvl w:ilvl="7" w:tplc="0C090019" w:tentative="1">
      <w:start w:val="1"/>
      <w:numFmt w:val="lowerLetter"/>
      <w:lvlText w:val="%8."/>
      <w:lvlJc w:val="left"/>
      <w:pPr>
        <w:ind w:left="5484" w:hanging="360"/>
      </w:pPr>
    </w:lvl>
    <w:lvl w:ilvl="8" w:tplc="0C09001B" w:tentative="1">
      <w:start w:val="1"/>
      <w:numFmt w:val="lowerRoman"/>
      <w:lvlText w:val="%9."/>
      <w:lvlJc w:val="right"/>
      <w:pPr>
        <w:ind w:left="6204" w:hanging="180"/>
      </w:pPr>
    </w:lvl>
  </w:abstractNum>
  <w:abstractNum w:abstractNumId="21" w15:restartNumberingAfterBreak="0">
    <w:nsid w:val="439A3AF1"/>
    <w:multiLevelType w:val="hybridMultilevel"/>
    <w:tmpl w:val="E578B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40E01A0"/>
    <w:multiLevelType w:val="hybridMultilevel"/>
    <w:tmpl w:val="0262B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406A15"/>
    <w:multiLevelType w:val="hybridMultilevel"/>
    <w:tmpl w:val="1AAA5508"/>
    <w:lvl w:ilvl="0" w:tplc="0C090019">
      <w:start w:val="1"/>
      <w:numFmt w:val="lowerLetter"/>
      <w:lvlText w:val="%1."/>
      <w:lvlJc w:val="left"/>
      <w:pPr>
        <w:ind w:left="444" w:hanging="360"/>
      </w:pPr>
    </w:lvl>
    <w:lvl w:ilvl="1" w:tplc="FFFFFFFF" w:tentative="1">
      <w:start w:val="1"/>
      <w:numFmt w:val="lowerLetter"/>
      <w:lvlText w:val="%2."/>
      <w:lvlJc w:val="left"/>
      <w:pPr>
        <w:ind w:left="1164" w:hanging="360"/>
      </w:pPr>
    </w:lvl>
    <w:lvl w:ilvl="2" w:tplc="FFFFFFFF" w:tentative="1">
      <w:start w:val="1"/>
      <w:numFmt w:val="lowerRoman"/>
      <w:lvlText w:val="%3."/>
      <w:lvlJc w:val="right"/>
      <w:pPr>
        <w:ind w:left="1884" w:hanging="180"/>
      </w:pPr>
    </w:lvl>
    <w:lvl w:ilvl="3" w:tplc="FFFFFFFF" w:tentative="1">
      <w:start w:val="1"/>
      <w:numFmt w:val="decimal"/>
      <w:lvlText w:val="%4."/>
      <w:lvlJc w:val="left"/>
      <w:pPr>
        <w:ind w:left="2604" w:hanging="360"/>
      </w:pPr>
    </w:lvl>
    <w:lvl w:ilvl="4" w:tplc="FFFFFFFF" w:tentative="1">
      <w:start w:val="1"/>
      <w:numFmt w:val="lowerLetter"/>
      <w:lvlText w:val="%5."/>
      <w:lvlJc w:val="left"/>
      <w:pPr>
        <w:ind w:left="3324" w:hanging="360"/>
      </w:pPr>
    </w:lvl>
    <w:lvl w:ilvl="5" w:tplc="FFFFFFFF" w:tentative="1">
      <w:start w:val="1"/>
      <w:numFmt w:val="lowerRoman"/>
      <w:lvlText w:val="%6."/>
      <w:lvlJc w:val="right"/>
      <w:pPr>
        <w:ind w:left="4044" w:hanging="180"/>
      </w:pPr>
    </w:lvl>
    <w:lvl w:ilvl="6" w:tplc="FFFFFFFF" w:tentative="1">
      <w:start w:val="1"/>
      <w:numFmt w:val="decimal"/>
      <w:lvlText w:val="%7."/>
      <w:lvlJc w:val="left"/>
      <w:pPr>
        <w:ind w:left="4764" w:hanging="360"/>
      </w:pPr>
    </w:lvl>
    <w:lvl w:ilvl="7" w:tplc="FFFFFFFF" w:tentative="1">
      <w:start w:val="1"/>
      <w:numFmt w:val="lowerLetter"/>
      <w:lvlText w:val="%8."/>
      <w:lvlJc w:val="left"/>
      <w:pPr>
        <w:ind w:left="5484" w:hanging="360"/>
      </w:pPr>
    </w:lvl>
    <w:lvl w:ilvl="8" w:tplc="FFFFFFFF" w:tentative="1">
      <w:start w:val="1"/>
      <w:numFmt w:val="lowerRoman"/>
      <w:lvlText w:val="%9."/>
      <w:lvlJc w:val="right"/>
      <w:pPr>
        <w:ind w:left="6204" w:hanging="180"/>
      </w:pPr>
    </w:lvl>
  </w:abstractNum>
  <w:abstractNum w:abstractNumId="24" w15:restartNumberingAfterBreak="0">
    <w:nsid w:val="45911668"/>
    <w:multiLevelType w:val="hybridMultilevel"/>
    <w:tmpl w:val="9CC23A5A"/>
    <w:lvl w:ilvl="0" w:tplc="943AFAB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8D00BA4"/>
    <w:multiLevelType w:val="hybridMultilevel"/>
    <w:tmpl w:val="797851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6" w15:restartNumberingAfterBreak="0">
    <w:nsid w:val="49F57FBA"/>
    <w:multiLevelType w:val="hybridMultilevel"/>
    <w:tmpl w:val="A7F84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D0575CB"/>
    <w:multiLevelType w:val="hybridMultilevel"/>
    <w:tmpl w:val="81589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B70E6E"/>
    <w:multiLevelType w:val="hybridMultilevel"/>
    <w:tmpl w:val="6C88015A"/>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 w15:restartNumberingAfterBreak="0">
    <w:nsid w:val="544A5030"/>
    <w:multiLevelType w:val="hybridMultilevel"/>
    <w:tmpl w:val="8BD298AA"/>
    <w:lvl w:ilvl="0" w:tplc="D53AA28A">
      <w:numFmt w:val="bullet"/>
      <w:lvlText w:val="–"/>
      <w:lvlJc w:val="left"/>
      <w:pPr>
        <w:ind w:left="720" w:hanging="720"/>
      </w:pPr>
      <w:rPr>
        <w:rFonts w:ascii="Fira Sans regular" w:eastAsiaTheme="minorHAnsi" w:hAnsi="Fira Sans regular" w:cstheme="minorBidi" w:hint="default"/>
      </w:rPr>
    </w:lvl>
    <w:lvl w:ilvl="1" w:tplc="2B7ED244">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30" w15:restartNumberingAfterBreak="0">
    <w:nsid w:val="61DC6E28"/>
    <w:multiLevelType w:val="hybridMultilevel"/>
    <w:tmpl w:val="781058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48B6BFA"/>
    <w:multiLevelType w:val="hybridMultilevel"/>
    <w:tmpl w:val="83F499A4"/>
    <w:lvl w:ilvl="0" w:tplc="943AFAB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681003B4"/>
    <w:multiLevelType w:val="hybridMultilevel"/>
    <w:tmpl w:val="5E30D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9400E31"/>
    <w:multiLevelType w:val="hybridMultilevel"/>
    <w:tmpl w:val="598CE0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874B1B"/>
    <w:multiLevelType w:val="hybridMultilevel"/>
    <w:tmpl w:val="2AE62E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CBA65D7"/>
    <w:multiLevelType w:val="hybridMultilevel"/>
    <w:tmpl w:val="69EC0B74"/>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0F12811"/>
    <w:multiLevelType w:val="hybridMultilevel"/>
    <w:tmpl w:val="96E07682"/>
    <w:lvl w:ilvl="0" w:tplc="FFFFFFFF">
      <w:start w:val="1"/>
      <w:numFmt w:val="decimal"/>
      <w:lvlText w:val="%1."/>
      <w:lvlJc w:val="left"/>
      <w:pPr>
        <w:ind w:left="36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B36155"/>
    <w:multiLevelType w:val="hybridMultilevel"/>
    <w:tmpl w:val="968844E2"/>
    <w:lvl w:ilvl="0" w:tplc="04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8" w15:restartNumberingAfterBreak="0">
    <w:nsid w:val="758E2842"/>
    <w:multiLevelType w:val="hybridMultilevel"/>
    <w:tmpl w:val="6164D3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F75620"/>
    <w:multiLevelType w:val="hybridMultilevel"/>
    <w:tmpl w:val="859C3B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7111A02"/>
    <w:multiLevelType w:val="hybridMultilevel"/>
    <w:tmpl w:val="E52ECBCC"/>
    <w:lvl w:ilvl="0" w:tplc="0C090019">
      <w:start w:val="1"/>
      <w:numFmt w:val="lowerLetter"/>
      <w:lvlText w:val="%1."/>
      <w:lvlJc w:val="left"/>
      <w:pPr>
        <w:ind w:left="444" w:hanging="360"/>
      </w:pPr>
    </w:lvl>
    <w:lvl w:ilvl="1" w:tplc="FFFFFFFF" w:tentative="1">
      <w:start w:val="1"/>
      <w:numFmt w:val="lowerLetter"/>
      <w:lvlText w:val="%2."/>
      <w:lvlJc w:val="left"/>
      <w:pPr>
        <w:ind w:left="1164" w:hanging="360"/>
      </w:pPr>
    </w:lvl>
    <w:lvl w:ilvl="2" w:tplc="FFFFFFFF" w:tentative="1">
      <w:start w:val="1"/>
      <w:numFmt w:val="lowerRoman"/>
      <w:lvlText w:val="%3."/>
      <w:lvlJc w:val="right"/>
      <w:pPr>
        <w:ind w:left="1884" w:hanging="180"/>
      </w:pPr>
    </w:lvl>
    <w:lvl w:ilvl="3" w:tplc="FFFFFFFF" w:tentative="1">
      <w:start w:val="1"/>
      <w:numFmt w:val="decimal"/>
      <w:lvlText w:val="%4."/>
      <w:lvlJc w:val="left"/>
      <w:pPr>
        <w:ind w:left="2604" w:hanging="360"/>
      </w:pPr>
    </w:lvl>
    <w:lvl w:ilvl="4" w:tplc="FFFFFFFF" w:tentative="1">
      <w:start w:val="1"/>
      <w:numFmt w:val="lowerLetter"/>
      <w:lvlText w:val="%5."/>
      <w:lvlJc w:val="left"/>
      <w:pPr>
        <w:ind w:left="3324" w:hanging="360"/>
      </w:pPr>
    </w:lvl>
    <w:lvl w:ilvl="5" w:tplc="FFFFFFFF" w:tentative="1">
      <w:start w:val="1"/>
      <w:numFmt w:val="lowerRoman"/>
      <w:lvlText w:val="%6."/>
      <w:lvlJc w:val="right"/>
      <w:pPr>
        <w:ind w:left="4044" w:hanging="180"/>
      </w:pPr>
    </w:lvl>
    <w:lvl w:ilvl="6" w:tplc="FFFFFFFF" w:tentative="1">
      <w:start w:val="1"/>
      <w:numFmt w:val="decimal"/>
      <w:lvlText w:val="%7."/>
      <w:lvlJc w:val="left"/>
      <w:pPr>
        <w:ind w:left="4764" w:hanging="360"/>
      </w:pPr>
    </w:lvl>
    <w:lvl w:ilvl="7" w:tplc="FFFFFFFF" w:tentative="1">
      <w:start w:val="1"/>
      <w:numFmt w:val="lowerLetter"/>
      <w:lvlText w:val="%8."/>
      <w:lvlJc w:val="left"/>
      <w:pPr>
        <w:ind w:left="5484" w:hanging="360"/>
      </w:pPr>
    </w:lvl>
    <w:lvl w:ilvl="8" w:tplc="FFFFFFFF" w:tentative="1">
      <w:start w:val="1"/>
      <w:numFmt w:val="lowerRoman"/>
      <w:lvlText w:val="%9."/>
      <w:lvlJc w:val="right"/>
      <w:pPr>
        <w:ind w:left="6204" w:hanging="180"/>
      </w:pPr>
    </w:lvl>
  </w:abstractNum>
  <w:abstractNum w:abstractNumId="41" w15:restartNumberingAfterBreak="0">
    <w:nsid w:val="7C2F6660"/>
    <w:multiLevelType w:val="hybridMultilevel"/>
    <w:tmpl w:val="9F061B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D130BC0"/>
    <w:multiLevelType w:val="hybridMultilevel"/>
    <w:tmpl w:val="EF368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F595F23"/>
    <w:multiLevelType w:val="hybridMultilevel"/>
    <w:tmpl w:val="916A1D58"/>
    <w:lvl w:ilvl="0" w:tplc="39C4692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587033965">
    <w:abstractNumId w:val="25"/>
  </w:num>
  <w:num w:numId="2" w16cid:durableId="1101948464">
    <w:abstractNumId w:val="29"/>
  </w:num>
  <w:num w:numId="3" w16cid:durableId="822089973">
    <w:abstractNumId w:val="0"/>
  </w:num>
  <w:num w:numId="4" w16cid:durableId="550115318">
    <w:abstractNumId w:val="29"/>
  </w:num>
  <w:num w:numId="5" w16cid:durableId="1256549220">
    <w:abstractNumId w:val="0"/>
  </w:num>
  <w:num w:numId="6" w16cid:durableId="1918051664">
    <w:abstractNumId w:val="0"/>
  </w:num>
  <w:num w:numId="7" w16cid:durableId="1602563704">
    <w:abstractNumId w:val="17"/>
  </w:num>
  <w:num w:numId="8" w16cid:durableId="129056947">
    <w:abstractNumId w:val="22"/>
  </w:num>
  <w:num w:numId="9" w16cid:durableId="1633511660">
    <w:abstractNumId w:val="42"/>
  </w:num>
  <w:num w:numId="10" w16cid:durableId="678314477">
    <w:abstractNumId w:val="35"/>
  </w:num>
  <w:num w:numId="11" w16cid:durableId="1517190376">
    <w:abstractNumId w:val="4"/>
  </w:num>
  <w:num w:numId="12" w16cid:durableId="1204631029">
    <w:abstractNumId w:val="13"/>
  </w:num>
  <w:num w:numId="13" w16cid:durableId="1423378292">
    <w:abstractNumId w:val="7"/>
  </w:num>
  <w:num w:numId="14" w16cid:durableId="607660958">
    <w:abstractNumId w:val="6"/>
  </w:num>
  <w:num w:numId="15" w16cid:durableId="183566505">
    <w:abstractNumId w:val="3"/>
  </w:num>
  <w:num w:numId="16" w16cid:durableId="1588884463">
    <w:abstractNumId w:val="31"/>
  </w:num>
  <w:num w:numId="17" w16cid:durableId="706806243">
    <w:abstractNumId w:val="9"/>
  </w:num>
  <w:num w:numId="18" w16cid:durableId="1624918436">
    <w:abstractNumId w:val="15"/>
  </w:num>
  <w:num w:numId="19" w16cid:durableId="1545943376">
    <w:abstractNumId w:val="14"/>
  </w:num>
  <w:num w:numId="20" w16cid:durableId="1066757134">
    <w:abstractNumId w:val="36"/>
  </w:num>
  <w:num w:numId="21" w16cid:durableId="1882400271">
    <w:abstractNumId w:val="1"/>
  </w:num>
  <w:num w:numId="22" w16cid:durableId="835877333">
    <w:abstractNumId w:val="19"/>
  </w:num>
  <w:num w:numId="23" w16cid:durableId="1878736937">
    <w:abstractNumId w:val="16"/>
  </w:num>
  <w:num w:numId="24" w16cid:durableId="1430463918">
    <w:abstractNumId w:val="21"/>
  </w:num>
  <w:num w:numId="25" w16cid:durableId="1297878360">
    <w:abstractNumId w:val="12"/>
  </w:num>
  <w:num w:numId="26" w16cid:durableId="692263529">
    <w:abstractNumId w:val="39"/>
  </w:num>
  <w:num w:numId="27" w16cid:durableId="81027131">
    <w:abstractNumId w:val="41"/>
  </w:num>
  <w:num w:numId="28" w16cid:durableId="875891623">
    <w:abstractNumId w:val="30"/>
  </w:num>
  <w:num w:numId="29" w16cid:durableId="1813251881">
    <w:abstractNumId w:val="38"/>
  </w:num>
  <w:num w:numId="30" w16cid:durableId="1843081613">
    <w:abstractNumId w:val="33"/>
  </w:num>
  <w:num w:numId="31" w16cid:durableId="123888385">
    <w:abstractNumId w:val="40"/>
  </w:num>
  <w:num w:numId="32" w16cid:durableId="1995638770">
    <w:abstractNumId w:val="23"/>
  </w:num>
  <w:num w:numId="33" w16cid:durableId="719942710">
    <w:abstractNumId w:val="8"/>
  </w:num>
  <w:num w:numId="34" w16cid:durableId="910426473">
    <w:abstractNumId w:val="20"/>
  </w:num>
  <w:num w:numId="35" w16cid:durableId="2114978577">
    <w:abstractNumId w:val="24"/>
  </w:num>
  <w:num w:numId="36" w16cid:durableId="1614285908">
    <w:abstractNumId w:val="11"/>
  </w:num>
  <w:num w:numId="37" w16cid:durableId="1972325694">
    <w:abstractNumId w:val="10"/>
  </w:num>
  <w:num w:numId="38" w16cid:durableId="220798207">
    <w:abstractNumId w:val="5"/>
  </w:num>
  <w:num w:numId="39" w16cid:durableId="2042977034">
    <w:abstractNumId w:val="27"/>
  </w:num>
  <w:num w:numId="40" w16cid:durableId="587690666">
    <w:abstractNumId w:val="18"/>
  </w:num>
  <w:num w:numId="41" w16cid:durableId="1143891267">
    <w:abstractNumId w:val="2"/>
  </w:num>
  <w:num w:numId="42" w16cid:durableId="200557975">
    <w:abstractNumId w:val="34"/>
  </w:num>
  <w:num w:numId="43" w16cid:durableId="68500529">
    <w:abstractNumId w:val="28"/>
  </w:num>
  <w:num w:numId="44" w16cid:durableId="1455438271">
    <w:abstractNumId w:val="43"/>
  </w:num>
  <w:num w:numId="45" w16cid:durableId="1690521571">
    <w:abstractNumId w:val="37"/>
  </w:num>
  <w:num w:numId="46" w16cid:durableId="475954103">
    <w:abstractNumId w:val="32"/>
  </w:num>
  <w:num w:numId="47" w16cid:durableId="99360569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D85"/>
    <w:rsid w:val="00000C47"/>
    <w:rsid w:val="00002ED8"/>
    <w:rsid w:val="00002F99"/>
    <w:rsid w:val="00006557"/>
    <w:rsid w:val="00007BBC"/>
    <w:rsid w:val="00010DBE"/>
    <w:rsid w:val="00012957"/>
    <w:rsid w:val="00020A8B"/>
    <w:rsid w:val="00021CC9"/>
    <w:rsid w:val="0002314D"/>
    <w:rsid w:val="0002490A"/>
    <w:rsid w:val="00025B8E"/>
    <w:rsid w:val="00027D0F"/>
    <w:rsid w:val="00040667"/>
    <w:rsid w:val="000453E8"/>
    <w:rsid w:val="00067582"/>
    <w:rsid w:val="00071F23"/>
    <w:rsid w:val="00072B78"/>
    <w:rsid w:val="0007559F"/>
    <w:rsid w:val="00077CF5"/>
    <w:rsid w:val="00083312"/>
    <w:rsid w:val="00085BCC"/>
    <w:rsid w:val="00096500"/>
    <w:rsid w:val="000A1964"/>
    <w:rsid w:val="000B0F84"/>
    <w:rsid w:val="000B2931"/>
    <w:rsid w:val="000B327C"/>
    <w:rsid w:val="000B5951"/>
    <w:rsid w:val="000B70BA"/>
    <w:rsid w:val="000C39D8"/>
    <w:rsid w:val="000C3B98"/>
    <w:rsid w:val="000C608A"/>
    <w:rsid w:val="000D2A04"/>
    <w:rsid w:val="000E1AB2"/>
    <w:rsid w:val="000E79BA"/>
    <w:rsid w:val="000F1C1F"/>
    <w:rsid w:val="0010351D"/>
    <w:rsid w:val="001035A0"/>
    <w:rsid w:val="00115614"/>
    <w:rsid w:val="0012168F"/>
    <w:rsid w:val="00124CC2"/>
    <w:rsid w:val="0014248F"/>
    <w:rsid w:val="00160AAF"/>
    <w:rsid w:val="001650A8"/>
    <w:rsid w:val="00165D3D"/>
    <w:rsid w:val="00175641"/>
    <w:rsid w:val="001829AA"/>
    <w:rsid w:val="00183129"/>
    <w:rsid w:val="00185EDF"/>
    <w:rsid w:val="0018736A"/>
    <w:rsid w:val="001A5C57"/>
    <w:rsid w:val="001B0B1A"/>
    <w:rsid w:val="001B29EE"/>
    <w:rsid w:val="001C3BBB"/>
    <w:rsid w:val="001C7C75"/>
    <w:rsid w:val="001D5BBA"/>
    <w:rsid w:val="001D7EE8"/>
    <w:rsid w:val="001E082D"/>
    <w:rsid w:val="001E12C6"/>
    <w:rsid w:val="001E2B0D"/>
    <w:rsid w:val="001F34B0"/>
    <w:rsid w:val="001F4298"/>
    <w:rsid w:val="00206CD4"/>
    <w:rsid w:val="00210630"/>
    <w:rsid w:val="002266B0"/>
    <w:rsid w:val="00231FF1"/>
    <w:rsid w:val="00233D00"/>
    <w:rsid w:val="0024522F"/>
    <w:rsid w:val="00250CC1"/>
    <w:rsid w:val="00257856"/>
    <w:rsid w:val="00257DF2"/>
    <w:rsid w:val="00260496"/>
    <w:rsid w:val="00264184"/>
    <w:rsid w:val="00264D19"/>
    <w:rsid w:val="002709C4"/>
    <w:rsid w:val="0027409C"/>
    <w:rsid w:val="00276510"/>
    <w:rsid w:val="002A0F16"/>
    <w:rsid w:val="002A206E"/>
    <w:rsid w:val="002B28AB"/>
    <w:rsid w:val="002B5A08"/>
    <w:rsid w:val="002C1E0E"/>
    <w:rsid w:val="002D4279"/>
    <w:rsid w:val="002D70F0"/>
    <w:rsid w:val="002E53B8"/>
    <w:rsid w:val="002F174B"/>
    <w:rsid w:val="002F1A15"/>
    <w:rsid w:val="0030315D"/>
    <w:rsid w:val="0030792B"/>
    <w:rsid w:val="00315CF4"/>
    <w:rsid w:val="00320840"/>
    <w:rsid w:val="00321BF1"/>
    <w:rsid w:val="0032358C"/>
    <w:rsid w:val="00343739"/>
    <w:rsid w:val="003467D9"/>
    <w:rsid w:val="003563FB"/>
    <w:rsid w:val="00367C3D"/>
    <w:rsid w:val="00371EAC"/>
    <w:rsid w:val="003773A8"/>
    <w:rsid w:val="00377CCF"/>
    <w:rsid w:val="00383FC7"/>
    <w:rsid w:val="00393E07"/>
    <w:rsid w:val="003A2601"/>
    <w:rsid w:val="003A56B0"/>
    <w:rsid w:val="003B24B2"/>
    <w:rsid w:val="003C360C"/>
    <w:rsid w:val="003C3A46"/>
    <w:rsid w:val="003C76F2"/>
    <w:rsid w:val="003D3EC5"/>
    <w:rsid w:val="003D5EC5"/>
    <w:rsid w:val="003D7E58"/>
    <w:rsid w:val="00400B4F"/>
    <w:rsid w:val="004024F5"/>
    <w:rsid w:val="0043583A"/>
    <w:rsid w:val="00440461"/>
    <w:rsid w:val="00451341"/>
    <w:rsid w:val="00451EDC"/>
    <w:rsid w:val="00452639"/>
    <w:rsid w:val="004621A6"/>
    <w:rsid w:val="00465912"/>
    <w:rsid w:val="00480D1E"/>
    <w:rsid w:val="00484668"/>
    <w:rsid w:val="00484798"/>
    <w:rsid w:val="004930EE"/>
    <w:rsid w:val="00493FE8"/>
    <w:rsid w:val="0049520A"/>
    <w:rsid w:val="004A40ED"/>
    <w:rsid w:val="004A6D92"/>
    <w:rsid w:val="004D4328"/>
    <w:rsid w:val="004D7DD4"/>
    <w:rsid w:val="004F0107"/>
    <w:rsid w:val="004F5606"/>
    <w:rsid w:val="00501B11"/>
    <w:rsid w:val="00502A09"/>
    <w:rsid w:val="00502EAF"/>
    <w:rsid w:val="00533885"/>
    <w:rsid w:val="0054350F"/>
    <w:rsid w:val="00543703"/>
    <w:rsid w:val="005810BD"/>
    <w:rsid w:val="00581338"/>
    <w:rsid w:val="005972D0"/>
    <w:rsid w:val="005C5347"/>
    <w:rsid w:val="005C79A1"/>
    <w:rsid w:val="005D4F1A"/>
    <w:rsid w:val="005E5AC0"/>
    <w:rsid w:val="005E7495"/>
    <w:rsid w:val="005F7854"/>
    <w:rsid w:val="006058CF"/>
    <w:rsid w:val="00607F86"/>
    <w:rsid w:val="00611218"/>
    <w:rsid w:val="0062527C"/>
    <w:rsid w:val="00627AFD"/>
    <w:rsid w:val="00634941"/>
    <w:rsid w:val="0063624E"/>
    <w:rsid w:val="00636846"/>
    <w:rsid w:val="00685E62"/>
    <w:rsid w:val="006B0D5D"/>
    <w:rsid w:val="006C13CE"/>
    <w:rsid w:val="006C19F7"/>
    <w:rsid w:val="006E351D"/>
    <w:rsid w:val="006F290F"/>
    <w:rsid w:val="006F2EFC"/>
    <w:rsid w:val="00700183"/>
    <w:rsid w:val="00700E6B"/>
    <w:rsid w:val="00702F18"/>
    <w:rsid w:val="00707A91"/>
    <w:rsid w:val="00722DDA"/>
    <w:rsid w:val="00724246"/>
    <w:rsid w:val="00724D45"/>
    <w:rsid w:val="007403BC"/>
    <w:rsid w:val="007478E1"/>
    <w:rsid w:val="007630F4"/>
    <w:rsid w:val="007711F8"/>
    <w:rsid w:val="0077245A"/>
    <w:rsid w:val="00775E50"/>
    <w:rsid w:val="007764C1"/>
    <w:rsid w:val="007839DE"/>
    <w:rsid w:val="0078515A"/>
    <w:rsid w:val="00790C87"/>
    <w:rsid w:val="00795B5E"/>
    <w:rsid w:val="007C1BF1"/>
    <w:rsid w:val="007E08AC"/>
    <w:rsid w:val="007E1BEA"/>
    <w:rsid w:val="007F0839"/>
    <w:rsid w:val="007F3660"/>
    <w:rsid w:val="007F4482"/>
    <w:rsid w:val="007F5867"/>
    <w:rsid w:val="007F60E3"/>
    <w:rsid w:val="00801B78"/>
    <w:rsid w:val="008162AD"/>
    <w:rsid w:val="00835696"/>
    <w:rsid w:val="00835905"/>
    <w:rsid w:val="00861787"/>
    <w:rsid w:val="00873422"/>
    <w:rsid w:val="00880E02"/>
    <w:rsid w:val="00896E45"/>
    <w:rsid w:val="008A0A9F"/>
    <w:rsid w:val="008A1DCA"/>
    <w:rsid w:val="008C5237"/>
    <w:rsid w:val="008C6256"/>
    <w:rsid w:val="008D2520"/>
    <w:rsid w:val="008D3054"/>
    <w:rsid w:val="008E2EC3"/>
    <w:rsid w:val="008F7646"/>
    <w:rsid w:val="00916245"/>
    <w:rsid w:val="0092291E"/>
    <w:rsid w:val="00924746"/>
    <w:rsid w:val="00925C46"/>
    <w:rsid w:val="0093534E"/>
    <w:rsid w:val="00936914"/>
    <w:rsid w:val="0094148C"/>
    <w:rsid w:val="00943E61"/>
    <w:rsid w:val="009720A3"/>
    <w:rsid w:val="009721F9"/>
    <w:rsid w:val="009D1064"/>
    <w:rsid w:val="009D139F"/>
    <w:rsid w:val="009D7CDE"/>
    <w:rsid w:val="009E386D"/>
    <w:rsid w:val="009E4C98"/>
    <w:rsid w:val="009E5FB4"/>
    <w:rsid w:val="00A25988"/>
    <w:rsid w:val="00A3380F"/>
    <w:rsid w:val="00A36A90"/>
    <w:rsid w:val="00A41A49"/>
    <w:rsid w:val="00A47BBB"/>
    <w:rsid w:val="00A5626C"/>
    <w:rsid w:val="00A70381"/>
    <w:rsid w:val="00A774C6"/>
    <w:rsid w:val="00A77B94"/>
    <w:rsid w:val="00A87890"/>
    <w:rsid w:val="00AA0476"/>
    <w:rsid w:val="00AA36C3"/>
    <w:rsid w:val="00AB2CE3"/>
    <w:rsid w:val="00AB4027"/>
    <w:rsid w:val="00AC209C"/>
    <w:rsid w:val="00AC3DF7"/>
    <w:rsid w:val="00AC7F22"/>
    <w:rsid w:val="00AD22E1"/>
    <w:rsid w:val="00B11E69"/>
    <w:rsid w:val="00B12419"/>
    <w:rsid w:val="00B13095"/>
    <w:rsid w:val="00B43BD6"/>
    <w:rsid w:val="00B651B3"/>
    <w:rsid w:val="00B71ECD"/>
    <w:rsid w:val="00B727CC"/>
    <w:rsid w:val="00B768E1"/>
    <w:rsid w:val="00B961AC"/>
    <w:rsid w:val="00BA158F"/>
    <w:rsid w:val="00BA34CB"/>
    <w:rsid w:val="00BA40C0"/>
    <w:rsid w:val="00BB0C1F"/>
    <w:rsid w:val="00BC01D2"/>
    <w:rsid w:val="00BC2195"/>
    <w:rsid w:val="00BD25FC"/>
    <w:rsid w:val="00BE248A"/>
    <w:rsid w:val="00BE4F4D"/>
    <w:rsid w:val="00C267A7"/>
    <w:rsid w:val="00C45336"/>
    <w:rsid w:val="00C4675D"/>
    <w:rsid w:val="00C471F6"/>
    <w:rsid w:val="00C53857"/>
    <w:rsid w:val="00C5503B"/>
    <w:rsid w:val="00C61A87"/>
    <w:rsid w:val="00C63468"/>
    <w:rsid w:val="00C637F1"/>
    <w:rsid w:val="00C70084"/>
    <w:rsid w:val="00C72F03"/>
    <w:rsid w:val="00C86BFF"/>
    <w:rsid w:val="00C93CE9"/>
    <w:rsid w:val="00C9519B"/>
    <w:rsid w:val="00CB4D04"/>
    <w:rsid w:val="00CD5295"/>
    <w:rsid w:val="00CD6EB4"/>
    <w:rsid w:val="00CE2336"/>
    <w:rsid w:val="00CF26C0"/>
    <w:rsid w:val="00D023F7"/>
    <w:rsid w:val="00D029AF"/>
    <w:rsid w:val="00D20B03"/>
    <w:rsid w:val="00D33312"/>
    <w:rsid w:val="00D36538"/>
    <w:rsid w:val="00D46612"/>
    <w:rsid w:val="00D52DA2"/>
    <w:rsid w:val="00D53BAB"/>
    <w:rsid w:val="00D641A1"/>
    <w:rsid w:val="00D67638"/>
    <w:rsid w:val="00D721F6"/>
    <w:rsid w:val="00D824EC"/>
    <w:rsid w:val="00D83A7D"/>
    <w:rsid w:val="00D8514A"/>
    <w:rsid w:val="00D8680B"/>
    <w:rsid w:val="00D9124B"/>
    <w:rsid w:val="00DA1178"/>
    <w:rsid w:val="00DA3BC9"/>
    <w:rsid w:val="00DA7CED"/>
    <w:rsid w:val="00DC0458"/>
    <w:rsid w:val="00DC11EE"/>
    <w:rsid w:val="00DC297A"/>
    <w:rsid w:val="00DC37F0"/>
    <w:rsid w:val="00DD17BE"/>
    <w:rsid w:val="00DE4571"/>
    <w:rsid w:val="00E23664"/>
    <w:rsid w:val="00E23EB4"/>
    <w:rsid w:val="00E24D0E"/>
    <w:rsid w:val="00E353BC"/>
    <w:rsid w:val="00E40CCE"/>
    <w:rsid w:val="00E426C6"/>
    <w:rsid w:val="00E5063C"/>
    <w:rsid w:val="00E50A80"/>
    <w:rsid w:val="00E64328"/>
    <w:rsid w:val="00E6746F"/>
    <w:rsid w:val="00E715B6"/>
    <w:rsid w:val="00E736A8"/>
    <w:rsid w:val="00E83680"/>
    <w:rsid w:val="00E9227F"/>
    <w:rsid w:val="00E94269"/>
    <w:rsid w:val="00EA070A"/>
    <w:rsid w:val="00EA1BD0"/>
    <w:rsid w:val="00EA38B8"/>
    <w:rsid w:val="00EA48D2"/>
    <w:rsid w:val="00EA4BD2"/>
    <w:rsid w:val="00EB0D85"/>
    <w:rsid w:val="00EB40B0"/>
    <w:rsid w:val="00EB4A0B"/>
    <w:rsid w:val="00EC4537"/>
    <w:rsid w:val="00EE5F25"/>
    <w:rsid w:val="00F016EC"/>
    <w:rsid w:val="00F11ED7"/>
    <w:rsid w:val="00F2364B"/>
    <w:rsid w:val="00F51659"/>
    <w:rsid w:val="00F54B9B"/>
    <w:rsid w:val="00F67821"/>
    <w:rsid w:val="00F72C9E"/>
    <w:rsid w:val="00F769E5"/>
    <w:rsid w:val="00F87F2B"/>
    <w:rsid w:val="00F95700"/>
    <w:rsid w:val="00FA0B55"/>
    <w:rsid w:val="00FA43BA"/>
    <w:rsid w:val="00FC3951"/>
    <w:rsid w:val="00FC4B2D"/>
    <w:rsid w:val="00FD6943"/>
    <w:rsid w:val="00FE2831"/>
    <w:rsid w:val="00FF02C7"/>
    <w:rsid w:val="00FF04B5"/>
    <w:rsid w:val="00FF2D7D"/>
    <w:rsid w:val="00FF3AA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F3AC9"/>
  <w15:chartTrackingRefBased/>
  <w15:docId w15:val="{0AD0D368-C445-465F-9351-19806A46B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49520A"/>
    <w:pPr>
      <w:spacing w:line="288" w:lineRule="auto"/>
    </w:pPr>
    <w:rPr>
      <w:rFonts w:ascii="Arial" w:hAnsi="Arial"/>
      <w:color w:val="15272F" w:themeColor="text1"/>
      <w:lang w:val="en-AU"/>
    </w:rPr>
  </w:style>
  <w:style w:type="paragraph" w:styleId="Heading1">
    <w:name w:val="heading 1"/>
    <w:basedOn w:val="Normal"/>
    <w:next w:val="Normal"/>
    <w:link w:val="Heading1Char"/>
    <w:uiPriority w:val="9"/>
    <w:qFormat/>
    <w:rsid w:val="0049520A"/>
    <w:pPr>
      <w:keepNext/>
      <w:keepLines/>
      <w:spacing w:after="480"/>
      <w:outlineLvl w:val="0"/>
    </w:pPr>
    <w:rPr>
      <w:rFonts w:eastAsiaTheme="majorEastAsia" w:cstheme="majorBidi"/>
      <w:b/>
      <w:sz w:val="72"/>
      <w:szCs w:val="32"/>
    </w:rPr>
  </w:style>
  <w:style w:type="paragraph" w:styleId="Heading2">
    <w:name w:val="heading 2"/>
    <w:basedOn w:val="Normal"/>
    <w:next w:val="Normal"/>
    <w:link w:val="Heading2Char"/>
    <w:uiPriority w:val="9"/>
    <w:unhideWhenUsed/>
    <w:qFormat/>
    <w:rsid w:val="0049520A"/>
    <w:pPr>
      <w:keepNext/>
      <w:keepLines/>
      <w:spacing w:before="120" w:after="240"/>
      <w:outlineLvl w:val="1"/>
    </w:pPr>
    <w:rPr>
      <w:rFonts w:eastAsiaTheme="majorEastAsia" w:cstheme="majorBidi"/>
      <w:b/>
      <w:color w:val="104F99" w:themeColor="accent2"/>
      <w:sz w:val="36"/>
      <w:szCs w:val="26"/>
    </w:rPr>
  </w:style>
  <w:style w:type="paragraph" w:styleId="Heading3">
    <w:name w:val="heading 3"/>
    <w:basedOn w:val="Normal"/>
    <w:next w:val="Normal"/>
    <w:link w:val="Heading3Char"/>
    <w:uiPriority w:val="9"/>
    <w:unhideWhenUsed/>
    <w:qFormat/>
    <w:rsid w:val="00D53BAB"/>
    <w:pPr>
      <w:keepNext/>
      <w:keepLines/>
      <w:spacing w:before="120" w:after="240"/>
      <w:outlineLvl w:val="2"/>
    </w:pPr>
    <w:rPr>
      <w:rFonts w:eastAsiaTheme="majorEastAsia" w:cstheme="majorBidi"/>
      <w:b/>
      <w:color w:val="008550"/>
      <w:sz w:val="28"/>
      <w:szCs w:val="28"/>
    </w:rPr>
  </w:style>
  <w:style w:type="paragraph" w:styleId="Heading4">
    <w:name w:val="heading 4"/>
    <w:basedOn w:val="Normal"/>
    <w:next w:val="Normal"/>
    <w:link w:val="Heading4Char"/>
    <w:uiPriority w:val="9"/>
    <w:unhideWhenUsed/>
    <w:qFormat/>
    <w:rsid w:val="007F3660"/>
    <w:pPr>
      <w:keepNext/>
      <w:keepLines/>
      <w:spacing w:before="120" w:after="240"/>
      <w:outlineLvl w:val="3"/>
    </w:pPr>
    <w:rPr>
      <w:rFonts w:eastAsiaTheme="majorEastAsia" w:cstheme="majorBidi"/>
      <w:b/>
      <w:iCs/>
    </w:rPr>
  </w:style>
  <w:style w:type="paragraph" w:styleId="Heading5">
    <w:name w:val="heading 5"/>
    <w:basedOn w:val="Normal"/>
    <w:next w:val="Normal"/>
    <w:link w:val="Heading5Char"/>
    <w:uiPriority w:val="9"/>
    <w:semiHidden/>
    <w:unhideWhenUsed/>
    <w:rsid w:val="007F3660"/>
    <w:pPr>
      <w:keepNext/>
      <w:keepLines/>
      <w:spacing w:before="40" w:after="0"/>
      <w:outlineLvl w:val="4"/>
    </w:pPr>
    <w:rPr>
      <w:rFonts w:eastAsiaTheme="majorEastAsia" w:cstheme="majorBidi"/>
      <w:b/>
      <w:color w:val="0F1D2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20A"/>
    <w:rPr>
      <w:rFonts w:ascii="Arial" w:eastAsiaTheme="majorEastAsia" w:hAnsi="Arial" w:cstheme="majorBidi"/>
      <w:b/>
      <w:color w:val="15272F" w:themeColor="text1"/>
      <w:sz w:val="72"/>
      <w:szCs w:val="32"/>
    </w:rPr>
  </w:style>
  <w:style w:type="paragraph" w:styleId="Title">
    <w:name w:val="Title"/>
    <w:basedOn w:val="Normal"/>
    <w:next w:val="Normal"/>
    <w:link w:val="TitleChar"/>
    <w:uiPriority w:val="10"/>
    <w:qFormat/>
    <w:rsid w:val="0049520A"/>
    <w:pPr>
      <w:spacing w:after="840" w:line="240" w:lineRule="auto"/>
      <w:contextualSpacing/>
    </w:pPr>
    <w:rPr>
      <w:rFonts w:eastAsiaTheme="majorEastAsia" w:cstheme="majorBidi"/>
      <w:b/>
      <w:spacing w:val="-10"/>
      <w:kern w:val="28"/>
      <w:sz w:val="84"/>
      <w:szCs w:val="56"/>
    </w:rPr>
  </w:style>
  <w:style w:type="character" w:customStyle="1" w:styleId="TitleChar">
    <w:name w:val="Title Char"/>
    <w:basedOn w:val="DefaultParagraphFont"/>
    <w:link w:val="Title"/>
    <w:uiPriority w:val="10"/>
    <w:rsid w:val="0049520A"/>
    <w:rPr>
      <w:rFonts w:ascii="Arial" w:eastAsiaTheme="majorEastAsia" w:hAnsi="Arial" w:cstheme="majorBidi"/>
      <w:b/>
      <w:color w:val="15272F" w:themeColor="text1"/>
      <w:spacing w:val="-10"/>
      <w:kern w:val="28"/>
      <w:sz w:val="84"/>
      <w:szCs w:val="56"/>
    </w:rPr>
  </w:style>
  <w:style w:type="character" w:customStyle="1" w:styleId="Heading2Char">
    <w:name w:val="Heading 2 Char"/>
    <w:basedOn w:val="DefaultParagraphFont"/>
    <w:link w:val="Heading2"/>
    <w:uiPriority w:val="9"/>
    <w:rsid w:val="0049520A"/>
    <w:rPr>
      <w:rFonts w:ascii="Arial" w:eastAsiaTheme="majorEastAsia" w:hAnsi="Arial" w:cstheme="majorBidi"/>
      <w:b/>
      <w:color w:val="104F99" w:themeColor="accent2"/>
      <w:sz w:val="36"/>
      <w:szCs w:val="26"/>
    </w:rPr>
  </w:style>
  <w:style w:type="character" w:customStyle="1" w:styleId="Heading3Char">
    <w:name w:val="Heading 3 Char"/>
    <w:basedOn w:val="DefaultParagraphFont"/>
    <w:link w:val="Heading3"/>
    <w:uiPriority w:val="9"/>
    <w:rsid w:val="00D53BAB"/>
    <w:rPr>
      <w:rFonts w:ascii="Arial" w:eastAsiaTheme="majorEastAsia" w:hAnsi="Arial" w:cstheme="majorBidi"/>
      <w:b/>
      <w:color w:val="008550"/>
      <w:sz w:val="28"/>
      <w:szCs w:val="28"/>
    </w:rPr>
  </w:style>
  <w:style w:type="character" w:customStyle="1" w:styleId="Heading4Char">
    <w:name w:val="Heading 4 Char"/>
    <w:basedOn w:val="DefaultParagraphFont"/>
    <w:link w:val="Heading4"/>
    <w:uiPriority w:val="9"/>
    <w:rsid w:val="007F3660"/>
    <w:rPr>
      <w:rFonts w:ascii="Fira Sans" w:eastAsiaTheme="majorEastAsia" w:hAnsi="Fira Sans" w:cstheme="majorBidi"/>
      <w:b/>
      <w:iCs/>
      <w:color w:val="15272F" w:themeColor="text1"/>
    </w:rPr>
  </w:style>
  <w:style w:type="paragraph" w:customStyle="1" w:styleId="ListLevel1">
    <w:name w:val="List Level 1"/>
    <w:basedOn w:val="ListLevel2"/>
    <w:link w:val="ListLevel1Char"/>
    <w:qFormat/>
    <w:rsid w:val="000453E8"/>
    <w:pPr>
      <w:numPr>
        <w:numId w:val="7"/>
      </w:numPr>
      <w:ind w:left="709"/>
    </w:pPr>
  </w:style>
  <w:style w:type="paragraph" w:customStyle="1" w:styleId="ListLevel2">
    <w:name w:val="List Level 2"/>
    <w:basedOn w:val="Normal"/>
    <w:link w:val="ListLevel2Char"/>
    <w:qFormat/>
    <w:rsid w:val="000453E8"/>
    <w:pPr>
      <w:numPr>
        <w:ilvl w:val="1"/>
        <w:numId w:val="5"/>
      </w:numPr>
      <w:ind w:left="1134"/>
      <w:contextualSpacing/>
    </w:pPr>
  </w:style>
  <w:style w:type="paragraph" w:styleId="Header">
    <w:name w:val="header"/>
    <w:basedOn w:val="Normal"/>
    <w:link w:val="HeaderChar"/>
    <w:uiPriority w:val="99"/>
    <w:unhideWhenUsed/>
    <w:rsid w:val="007F3660"/>
    <w:pPr>
      <w:tabs>
        <w:tab w:val="center" w:pos="4680"/>
        <w:tab w:val="right" w:pos="9360"/>
      </w:tabs>
      <w:spacing w:after="0" w:line="240" w:lineRule="auto"/>
    </w:pPr>
  </w:style>
  <w:style w:type="character" w:customStyle="1" w:styleId="ListLevel1Char">
    <w:name w:val="List Level 1 Char"/>
    <w:basedOn w:val="ListLevel2Char"/>
    <w:link w:val="ListLevel1"/>
    <w:rsid w:val="000453E8"/>
    <w:rPr>
      <w:rFonts w:ascii="Arial" w:hAnsi="Arial"/>
      <w:color w:val="15272F" w:themeColor="text1"/>
    </w:rPr>
  </w:style>
  <w:style w:type="character" w:customStyle="1" w:styleId="ListLevel2Char">
    <w:name w:val="List Level 2 Char"/>
    <w:basedOn w:val="DefaultParagraphFont"/>
    <w:link w:val="ListLevel2"/>
    <w:rsid w:val="000453E8"/>
    <w:rPr>
      <w:rFonts w:ascii="Arial" w:hAnsi="Arial"/>
      <w:color w:val="15272F" w:themeColor="text1"/>
    </w:rPr>
  </w:style>
  <w:style w:type="character" w:customStyle="1" w:styleId="HeaderChar">
    <w:name w:val="Header Char"/>
    <w:basedOn w:val="DefaultParagraphFont"/>
    <w:link w:val="Header"/>
    <w:uiPriority w:val="99"/>
    <w:rsid w:val="007F3660"/>
    <w:rPr>
      <w:rFonts w:ascii="Fira Sans" w:hAnsi="Fira Sans"/>
      <w:color w:val="15272F" w:themeColor="text1"/>
    </w:rPr>
  </w:style>
  <w:style w:type="paragraph" w:styleId="Footer">
    <w:name w:val="footer"/>
    <w:basedOn w:val="Normal"/>
    <w:link w:val="FooterChar"/>
    <w:uiPriority w:val="99"/>
    <w:unhideWhenUsed/>
    <w:rsid w:val="007F3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660"/>
    <w:rPr>
      <w:rFonts w:ascii="Fira Sans" w:hAnsi="Fira Sans"/>
      <w:color w:val="15272F" w:themeColor="text1"/>
    </w:rPr>
  </w:style>
  <w:style w:type="paragraph" w:styleId="ListParagraph">
    <w:name w:val="List Paragraph"/>
    <w:basedOn w:val="Normal"/>
    <w:uiPriority w:val="34"/>
    <w:qFormat/>
    <w:rsid w:val="007F3660"/>
    <w:pPr>
      <w:ind w:left="720"/>
      <w:contextualSpacing/>
    </w:pPr>
  </w:style>
  <w:style w:type="paragraph" w:customStyle="1" w:styleId="TableFigureheading">
    <w:name w:val="Table/Figure heading"/>
    <w:basedOn w:val="Heading4"/>
    <w:link w:val="TableFigureheadingChar"/>
    <w:qFormat/>
    <w:rsid w:val="00D53BAB"/>
    <w:pPr>
      <w:spacing w:before="240"/>
    </w:pPr>
    <w:rPr>
      <w:b w:val="0"/>
      <w:color w:val="104F99" w:themeColor="accent2"/>
    </w:rPr>
  </w:style>
  <w:style w:type="table" w:customStyle="1" w:styleId="IHACPATable">
    <w:name w:val="IHACPA Table"/>
    <w:basedOn w:val="TableNormal"/>
    <w:uiPriority w:val="99"/>
    <w:rsid w:val="007F3660"/>
    <w:pPr>
      <w:spacing w:after="0" w:line="240" w:lineRule="auto"/>
    </w:pPr>
    <w:rPr>
      <w:sz w:val="18"/>
    </w:rPr>
    <w:tblPr>
      <w:tblStyleRowBandSize w:val="1"/>
    </w:tblPr>
    <w:tblStylePr w:type="firstRow">
      <w:tblPr/>
      <w:tcPr>
        <w:shd w:val="clear" w:color="auto" w:fill="15272F" w:themeFill="text2"/>
      </w:tcPr>
    </w:tblStylePr>
    <w:tblStylePr w:type="lastRow">
      <w:rPr>
        <w:rFonts w:asciiTheme="minorHAnsi" w:hAnsiTheme="minorHAnsi"/>
        <w:sz w:val="15"/>
      </w:rPr>
      <w:tblPr/>
      <w:tcPr>
        <w:tcBorders>
          <w:top w:val="nil"/>
          <w:bottom w:val="single" w:sz="4" w:space="0" w:color="D9D9D9" w:themeColor="background2" w:themeShade="D9"/>
        </w:tcBorders>
      </w:tcPr>
    </w:tblStylePr>
    <w:tblStylePr w:type="firstCol">
      <w:rPr>
        <w:rFonts w:asciiTheme="minorHAnsi" w:hAnsiTheme="minorHAnsi"/>
        <w:sz w:val="15"/>
      </w:rPr>
      <w:tblPr/>
      <w:tcPr>
        <w:tcBorders>
          <w:top w:val="nil"/>
          <w:bottom w:val="nil"/>
        </w:tcBorders>
      </w:tcPr>
    </w:tblStylePr>
    <w:tblStylePr w:type="band1Horz">
      <w:tblPr/>
      <w:tcPr>
        <w:tcBorders>
          <w:top w:val="single" w:sz="4" w:space="0" w:color="D9D9D9" w:themeColor="background2" w:themeShade="D9"/>
          <w:left w:val="nil"/>
          <w:bottom w:val="single" w:sz="4" w:space="0" w:color="D9D9D9" w:themeColor="background2" w:themeShade="D9"/>
          <w:right w:val="nil"/>
          <w:insideH w:val="nil"/>
          <w:insideV w:val="nil"/>
          <w:tl2br w:val="nil"/>
          <w:tr2bl w:val="nil"/>
        </w:tcBorders>
      </w:tcPr>
    </w:tblStylePr>
    <w:tblStylePr w:type="band2Horz">
      <w:tblPr/>
      <w:tcPr>
        <w:tcBorders>
          <w:top w:val="single" w:sz="4" w:space="0" w:color="D9D9D9" w:themeColor="background2" w:themeShade="D9"/>
          <w:bottom w:val="nil"/>
        </w:tcBorders>
      </w:tcPr>
    </w:tblStylePr>
  </w:style>
  <w:style w:type="character" w:customStyle="1" w:styleId="TableFigureheadingChar">
    <w:name w:val="Table/Figure heading Char"/>
    <w:basedOn w:val="Heading4Char"/>
    <w:link w:val="TableFigureheading"/>
    <w:rsid w:val="00D53BAB"/>
    <w:rPr>
      <w:rFonts w:ascii="Arial" w:eastAsiaTheme="majorEastAsia" w:hAnsi="Arial" w:cstheme="majorBidi"/>
      <w:b w:val="0"/>
      <w:iCs/>
      <w:color w:val="104F99" w:themeColor="accent2"/>
    </w:rPr>
  </w:style>
  <w:style w:type="table" w:styleId="TableGrid">
    <w:name w:val="Table Grid"/>
    <w:basedOn w:val="TableNormal"/>
    <w:uiPriority w:val="39"/>
    <w:rsid w:val="007F3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HPATable">
    <w:name w:val="IHPA Table"/>
    <w:basedOn w:val="TableNormal"/>
    <w:uiPriority w:val="99"/>
    <w:rsid w:val="007F3660"/>
    <w:pPr>
      <w:spacing w:after="0" w:line="240" w:lineRule="auto"/>
    </w:pPr>
    <w:tblPr>
      <w:tblStyleRowBandSize w:val="1"/>
    </w:tblPr>
    <w:tblStylePr w:type="firstRow">
      <w:rPr>
        <w:rFonts w:asciiTheme="minorHAnsi" w:hAnsiTheme="minorHAnsi"/>
        <w:color w:val="FFFFFF" w:themeColor="background2"/>
        <w:sz w:val="18"/>
      </w:rPr>
      <w:tblPr/>
      <w:tcPr>
        <w:shd w:val="clear" w:color="auto" w:fill="008F55" w:themeFill="accent4"/>
      </w:tcPr>
    </w:tblStylePr>
    <w:tblStylePr w:type="lastRow">
      <w:rPr>
        <w:rFonts w:asciiTheme="minorHAnsi" w:hAnsiTheme="minorHAnsi"/>
        <w:sz w:val="15"/>
      </w:rPr>
      <w:tblPr/>
      <w:tcPr>
        <w:tcBorders>
          <w:top w:val="nil"/>
          <w:bottom w:val="single" w:sz="4" w:space="0" w:color="D9D9D9" w:themeColor="background2" w:themeShade="D9"/>
        </w:tcBorders>
      </w:tcPr>
    </w:tblStylePr>
    <w:tblStylePr w:type="firstCol">
      <w:rPr>
        <w:rFonts w:asciiTheme="minorHAnsi" w:hAnsiTheme="minorHAnsi"/>
        <w:sz w:val="15"/>
      </w:rPr>
      <w:tblPr/>
      <w:tcPr>
        <w:tcBorders>
          <w:top w:val="nil"/>
          <w:bottom w:val="nil"/>
        </w:tcBorders>
      </w:tcPr>
    </w:tblStylePr>
    <w:tblStylePr w:type="band1Horz">
      <w:tblPr/>
      <w:tcPr>
        <w:tcBorders>
          <w:top w:val="single" w:sz="4" w:space="0" w:color="D9D9D9" w:themeColor="background2" w:themeShade="D9"/>
          <w:left w:val="nil"/>
          <w:bottom w:val="single" w:sz="4" w:space="0" w:color="D9D9D9" w:themeColor="background2" w:themeShade="D9"/>
          <w:right w:val="nil"/>
          <w:insideH w:val="nil"/>
          <w:insideV w:val="nil"/>
          <w:tl2br w:val="nil"/>
          <w:tr2bl w:val="nil"/>
        </w:tcBorders>
      </w:tcPr>
    </w:tblStylePr>
    <w:tblStylePr w:type="band2Horz">
      <w:tblPr/>
      <w:tcPr>
        <w:tcBorders>
          <w:top w:val="single" w:sz="4" w:space="0" w:color="D9D9D9" w:themeColor="background2" w:themeShade="D9"/>
          <w:bottom w:val="nil"/>
        </w:tcBorders>
      </w:tcPr>
    </w:tblStylePr>
  </w:style>
  <w:style w:type="paragraph" w:customStyle="1" w:styleId="Footnote">
    <w:name w:val="Footnote"/>
    <w:basedOn w:val="Normal"/>
    <w:link w:val="FootnoteChar"/>
    <w:qFormat/>
    <w:rsid w:val="0049520A"/>
    <w:pPr>
      <w:spacing w:after="120"/>
    </w:pPr>
    <w:rPr>
      <w:sz w:val="16"/>
      <w:szCs w:val="15"/>
    </w:rPr>
  </w:style>
  <w:style w:type="character" w:customStyle="1" w:styleId="FootnoteChar">
    <w:name w:val="Footnote Char"/>
    <w:basedOn w:val="DefaultParagraphFont"/>
    <w:link w:val="Footnote"/>
    <w:rsid w:val="0049520A"/>
    <w:rPr>
      <w:rFonts w:ascii="Arial" w:hAnsi="Arial"/>
      <w:color w:val="15272F" w:themeColor="text1"/>
      <w:sz w:val="16"/>
      <w:szCs w:val="15"/>
    </w:rPr>
  </w:style>
  <w:style w:type="character" w:styleId="Hyperlink">
    <w:name w:val="Hyperlink"/>
    <w:basedOn w:val="DefaultParagraphFont"/>
    <w:uiPriority w:val="99"/>
    <w:unhideWhenUsed/>
    <w:rsid w:val="007F3660"/>
    <w:rPr>
      <w:color w:val="0080C4" w:themeColor="hyperlink"/>
      <w:u w:val="single"/>
    </w:rPr>
  </w:style>
  <w:style w:type="paragraph" w:styleId="TOC1">
    <w:name w:val="toc 1"/>
    <w:basedOn w:val="Normal"/>
    <w:next w:val="Normal"/>
    <w:autoRedefine/>
    <w:uiPriority w:val="39"/>
    <w:unhideWhenUsed/>
    <w:rsid w:val="00B43BD6"/>
    <w:pPr>
      <w:tabs>
        <w:tab w:val="left" w:pos="660"/>
        <w:tab w:val="right" w:pos="9736"/>
      </w:tabs>
      <w:spacing w:after="360"/>
      <w:ind w:left="660" w:hanging="660"/>
    </w:pPr>
    <w:rPr>
      <w:bCs/>
      <w:noProof/>
    </w:rPr>
  </w:style>
  <w:style w:type="paragraph" w:customStyle="1" w:styleId="CoverTitle">
    <w:name w:val="Cover Title"/>
    <w:basedOn w:val="Title"/>
    <w:link w:val="CoverTitleChar"/>
    <w:qFormat/>
    <w:rsid w:val="0049520A"/>
    <w:pPr>
      <w:spacing w:after="720"/>
      <w:ind w:right="1242"/>
    </w:pPr>
    <w:rPr>
      <w:color w:val="FFFFFF" w:themeColor="background2"/>
      <w:sz w:val="96"/>
      <w:szCs w:val="96"/>
    </w:rPr>
  </w:style>
  <w:style w:type="paragraph" w:customStyle="1" w:styleId="Coversubtitle">
    <w:name w:val="Cover subtitle"/>
    <w:basedOn w:val="CoverTitle"/>
    <w:link w:val="CoversubtitleChar"/>
    <w:qFormat/>
    <w:rsid w:val="0049520A"/>
    <w:rPr>
      <w:color w:val="54C1AF" w:themeColor="accent5"/>
      <w:sz w:val="48"/>
      <w:szCs w:val="48"/>
    </w:rPr>
  </w:style>
  <w:style w:type="character" w:customStyle="1" w:styleId="CoverTitleChar">
    <w:name w:val="Cover Title Char"/>
    <w:basedOn w:val="TitleChar"/>
    <w:link w:val="CoverTitle"/>
    <w:rsid w:val="0049520A"/>
    <w:rPr>
      <w:rFonts w:ascii="Arial" w:eastAsiaTheme="majorEastAsia" w:hAnsi="Arial" w:cstheme="majorBidi"/>
      <w:b/>
      <w:color w:val="FFFFFF" w:themeColor="background2"/>
      <w:spacing w:val="-10"/>
      <w:kern w:val="28"/>
      <w:sz w:val="96"/>
      <w:szCs w:val="96"/>
    </w:rPr>
  </w:style>
  <w:style w:type="character" w:styleId="UnresolvedMention">
    <w:name w:val="Unresolved Mention"/>
    <w:basedOn w:val="DefaultParagraphFont"/>
    <w:uiPriority w:val="99"/>
    <w:semiHidden/>
    <w:unhideWhenUsed/>
    <w:rsid w:val="007F3660"/>
    <w:rPr>
      <w:color w:val="605E5C"/>
      <w:shd w:val="clear" w:color="auto" w:fill="E1DFDD"/>
    </w:rPr>
  </w:style>
  <w:style w:type="character" w:customStyle="1" w:styleId="CoversubtitleChar">
    <w:name w:val="Cover subtitle Char"/>
    <w:basedOn w:val="CoverTitleChar"/>
    <w:link w:val="Coversubtitle"/>
    <w:rsid w:val="0049520A"/>
    <w:rPr>
      <w:rFonts w:ascii="Arial" w:eastAsiaTheme="majorEastAsia" w:hAnsi="Arial" w:cstheme="majorBidi"/>
      <w:b/>
      <w:color w:val="54C1AF" w:themeColor="accent5"/>
      <w:spacing w:val="-10"/>
      <w:kern w:val="28"/>
      <w:sz w:val="48"/>
      <w:szCs w:val="48"/>
    </w:rPr>
  </w:style>
  <w:style w:type="paragraph" w:customStyle="1" w:styleId="Copyrightcopy">
    <w:name w:val="Copyright copy"/>
    <w:basedOn w:val="Normal"/>
    <w:next w:val="Normal"/>
    <w:qFormat/>
    <w:rsid w:val="0049520A"/>
    <w:pPr>
      <w:ind w:right="4064"/>
    </w:pPr>
    <w:rPr>
      <w:sz w:val="18"/>
    </w:rPr>
  </w:style>
  <w:style w:type="paragraph" w:customStyle="1" w:styleId="Copyrightheading">
    <w:name w:val="Copyright heading"/>
    <w:basedOn w:val="Heading4"/>
    <w:next w:val="Normal"/>
    <w:qFormat/>
    <w:rsid w:val="0049520A"/>
  </w:style>
  <w:style w:type="character" w:customStyle="1" w:styleId="Heading5Char">
    <w:name w:val="Heading 5 Char"/>
    <w:basedOn w:val="DefaultParagraphFont"/>
    <w:link w:val="Heading5"/>
    <w:uiPriority w:val="9"/>
    <w:semiHidden/>
    <w:rsid w:val="007F3660"/>
    <w:rPr>
      <w:rFonts w:ascii="Fira Sans" w:eastAsiaTheme="majorEastAsia" w:hAnsi="Fira Sans" w:cstheme="majorBidi"/>
      <w:b/>
      <w:color w:val="0F1D23" w:themeColor="accent1" w:themeShade="BF"/>
    </w:rPr>
  </w:style>
  <w:style w:type="paragraph" w:styleId="NoSpacing">
    <w:name w:val="No Spacing"/>
    <w:uiPriority w:val="1"/>
    <w:rsid w:val="0049520A"/>
    <w:pPr>
      <w:spacing w:after="0" w:line="240" w:lineRule="auto"/>
    </w:pPr>
    <w:rPr>
      <w:rFonts w:ascii="Arial" w:hAnsi="Arial"/>
      <w:color w:val="15272F" w:themeColor="text1"/>
    </w:rPr>
  </w:style>
  <w:style w:type="paragraph" w:styleId="Subtitle">
    <w:name w:val="Subtitle"/>
    <w:basedOn w:val="Normal"/>
    <w:next w:val="Normal"/>
    <w:link w:val="SubtitleChar"/>
    <w:uiPriority w:val="11"/>
    <w:rsid w:val="007F3660"/>
    <w:pPr>
      <w:numPr>
        <w:ilvl w:val="1"/>
      </w:numPr>
    </w:pPr>
    <w:rPr>
      <w:rFonts w:eastAsiaTheme="minorEastAsia"/>
      <w:color w:val="45809A" w:themeColor="text1" w:themeTint="A5"/>
      <w:spacing w:val="15"/>
    </w:rPr>
  </w:style>
  <w:style w:type="character" w:customStyle="1" w:styleId="SubtitleChar">
    <w:name w:val="Subtitle Char"/>
    <w:basedOn w:val="DefaultParagraphFont"/>
    <w:link w:val="Subtitle"/>
    <w:uiPriority w:val="11"/>
    <w:rsid w:val="007F3660"/>
    <w:rPr>
      <w:rFonts w:ascii="Fira Sans" w:eastAsiaTheme="minorEastAsia" w:hAnsi="Fira Sans"/>
      <w:color w:val="45809A" w:themeColor="text1" w:themeTint="A5"/>
      <w:spacing w:val="15"/>
    </w:rPr>
  </w:style>
  <w:style w:type="paragraph" w:customStyle="1" w:styleId="URL">
    <w:name w:val="URL"/>
    <w:basedOn w:val="Normal"/>
    <w:link w:val="URLChar"/>
    <w:qFormat/>
    <w:rsid w:val="00D53BAB"/>
    <w:rPr>
      <w:color w:val="15272F" w:themeColor="accent1"/>
      <w:u w:val="single" w:color="15272F" w:themeColor="text2"/>
    </w:rPr>
  </w:style>
  <w:style w:type="character" w:customStyle="1" w:styleId="URLChar">
    <w:name w:val="URL Char"/>
    <w:basedOn w:val="DefaultParagraphFont"/>
    <w:link w:val="URL"/>
    <w:rsid w:val="00D53BAB"/>
    <w:rPr>
      <w:rFonts w:ascii="Arial" w:hAnsi="Arial"/>
      <w:color w:val="15272F" w:themeColor="accent1"/>
      <w:u w:val="single" w:color="15272F" w:themeColor="text2"/>
    </w:rPr>
  </w:style>
  <w:style w:type="paragraph" w:styleId="BodyText">
    <w:name w:val="Body Text"/>
    <w:basedOn w:val="Normal"/>
    <w:link w:val="BodyTextChar"/>
    <w:uiPriority w:val="99"/>
    <w:unhideWhenUsed/>
    <w:rsid w:val="00EB0D85"/>
    <w:pPr>
      <w:suppressAutoHyphens/>
      <w:autoSpaceDE w:val="0"/>
      <w:autoSpaceDN w:val="0"/>
      <w:adjustRightInd w:val="0"/>
      <w:spacing w:before="113" w:after="120" w:line="280" w:lineRule="atLeast"/>
      <w:textAlignment w:val="center"/>
    </w:pPr>
    <w:rPr>
      <w:rFonts w:ascii="Fira Sans" w:hAnsi="Fira Sans" w:cs="Fira Sans"/>
      <w:color w:val="000000"/>
      <w:sz w:val="20"/>
      <w:szCs w:val="20"/>
    </w:rPr>
  </w:style>
  <w:style w:type="character" w:customStyle="1" w:styleId="BodyTextChar">
    <w:name w:val="Body Text Char"/>
    <w:basedOn w:val="DefaultParagraphFont"/>
    <w:link w:val="BodyText"/>
    <w:uiPriority w:val="99"/>
    <w:rsid w:val="00EB0D85"/>
    <w:rPr>
      <w:rFonts w:ascii="Fira Sans" w:hAnsi="Fira Sans" w:cs="Fira Sans"/>
      <w:color w:val="000000"/>
      <w:sz w:val="20"/>
      <w:szCs w:val="20"/>
      <w:lang w:val="en-AU"/>
    </w:rPr>
  </w:style>
  <w:style w:type="paragraph" w:customStyle="1" w:styleId="TableFigureHeading0">
    <w:name w:val="Table Figure Heading"/>
    <w:qFormat/>
    <w:rsid w:val="00EB0D85"/>
    <w:pPr>
      <w:spacing w:before="240"/>
    </w:pPr>
    <w:rPr>
      <w:rFonts w:ascii="Arial" w:eastAsiaTheme="minorEastAsia" w:hAnsi="Arial" w:cs="Arial"/>
      <w:b/>
      <w:bCs/>
      <w:color w:val="15272F" w:themeColor="text1"/>
      <w:sz w:val="20"/>
    </w:rPr>
  </w:style>
  <w:style w:type="paragraph" w:customStyle="1" w:styleId="Financialbodyleft">
    <w:name w:val="Financial body left"/>
    <w:qFormat/>
    <w:rsid w:val="00EB0D85"/>
    <w:pPr>
      <w:spacing w:after="120"/>
    </w:pPr>
    <w:rPr>
      <w:rFonts w:ascii="Fira Sans" w:eastAsiaTheme="minorEastAsia" w:hAnsi="Fira Sans"/>
      <w:color w:val="15272F" w:themeColor="text1"/>
      <w:sz w:val="18"/>
      <w:lang w:val="en-US"/>
    </w:rPr>
  </w:style>
  <w:style w:type="paragraph" w:styleId="TOC3">
    <w:name w:val="toc 3"/>
    <w:basedOn w:val="Normal"/>
    <w:next w:val="Normal"/>
    <w:autoRedefine/>
    <w:uiPriority w:val="39"/>
    <w:unhideWhenUsed/>
    <w:rsid w:val="00EB0D85"/>
    <w:pPr>
      <w:tabs>
        <w:tab w:val="right" w:pos="9736"/>
      </w:tabs>
      <w:spacing w:after="0"/>
      <w:ind w:left="440"/>
    </w:pPr>
    <w:rPr>
      <w:rFonts w:cs="Arial"/>
      <w:noProof/>
      <w:sz w:val="20"/>
      <w:szCs w:val="20"/>
    </w:rPr>
  </w:style>
  <w:style w:type="paragraph" w:styleId="TOC2">
    <w:name w:val="toc 2"/>
    <w:basedOn w:val="Normal"/>
    <w:next w:val="Normal"/>
    <w:autoRedefine/>
    <w:uiPriority w:val="39"/>
    <w:unhideWhenUsed/>
    <w:rsid w:val="00EB0D85"/>
    <w:pPr>
      <w:tabs>
        <w:tab w:val="right" w:pos="9736"/>
      </w:tabs>
      <w:spacing w:before="120" w:after="0"/>
      <w:ind w:left="220"/>
    </w:pPr>
    <w:rPr>
      <w:rFonts w:cs="Arial"/>
      <w:noProof/>
      <w:sz w:val="20"/>
      <w:szCs w:val="20"/>
    </w:rPr>
  </w:style>
  <w:style w:type="paragraph" w:customStyle="1" w:styleId="Sectionnumber">
    <w:name w:val="Section number"/>
    <w:qFormat/>
    <w:rsid w:val="00EB0D85"/>
    <w:pPr>
      <w:spacing w:after="6000"/>
      <w:jc w:val="center"/>
    </w:pPr>
    <w:rPr>
      <w:rFonts w:ascii="Josefin Sans Light" w:eastAsiaTheme="minorEastAsia" w:hAnsi="Josefin Sans Light"/>
      <w:color w:val="FFFFFF" w:themeColor="background2"/>
      <w:sz w:val="240"/>
      <w:szCs w:val="240"/>
    </w:rPr>
  </w:style>
  <w:style w:type="character" w:styleId="FootnoteReference">
    <w:name w:val="footnote reference"/>
    <w:basedOn w:val="DefaultParagraphFont"/>
    <w:uiPriority w:val="99"/>
    <w:unhideWhenUsed/>
    <w:rsid w:val="00EB0D85"/>
    <w:rPr>
      <w:vertAlign w:val="superscript"/>
    </w:rPr>
  </w:style>
  <w:style w:type="paragraph" w:styleId="FootnoteText">
    <w:name w:val="footnote text"/>
    <w:basedOn w:val="Normal"/>
    <w:link w:val="FootnoteTextChar"/>
    <w:uiPriority w:val="99"/>
    <w:semiHidden/>
    <w:unhideWhenUsed/>
    <w:rsid w:val="00EB0D85"/>
    <w:pPr>
      <w:spacing w:after="0" w:line="240" w:lineRule="auto"/>
    </w:pPr>
    <w:rPr>
      <w:rFonts w:ascii="Times New Roman" w:hAnsi="Times New Roman" w:cs="Times New Roman"/>
      <w:color w:val="auto"/>
      <w:kern w:val="2"/>
      <w:sz w:val="20"/>
      <w:szCs w:val="20"/>
      <w14:ligatures w14:val="standardContextual"/>
    </w:rPr>
  </w:style>
  <w:style w:type="character" w:customStyle="1" w:styleId="FootnoteTextChar">
    <w:name w:val="Footnote Text Char"/>
    <w:basedOn w:val="DefaultParagraphFont"/>
    <w:link w:val="FootnoteText"/>
    <w:uiPriority w:val="99"/>
    <w:semiHidden/>
    <w:rsid w:val="00EB0D85"/>
    <w:rPr>
      <w:rFonts w:ascii="Times New Roman" w:hAnsi="Times New Roman" w:cs="Times New Roman"/>
      <w:kern w:val="2"/>
      <w:sz w:val="20"/>
      <w:szCs w:val="20"/>
      <w:lang w:val="en-AU"/>
      <w14:ligatures w14:val="standardContextual"/>
    </w:rPr>
  </w:style>
  <w:style w:type="paragraph" w:customStyle="1" w:styleId="TableParagraph">
    <w:name w:val="Table Paragraph"/>
    <w:basedOn w:val="Normal"/>
    <w:uiPriority w:val="1"/>
    <w:qFormat/>
    <w:rsid w:val="00EB0D85"/>
    <w:pPr>
      <w:framePr w:hSpace="180" w:wrap="around" w:vAnchor="page" w:hAnchor="margin" w:y="6313"/>
      <w:spacing w:before="120" w:after="120" w:line="252" w:lineRule="auto"/>
      <w:jc w:val="center"/>
    </w:pPr>
    <w:rPr>
      <w:rFonts w:cs="Arial"/>
      <w:color w:val="auto"/>
      <w:sz w:val="18"/>
      <w:szCs w:val="18"/>
    </w:rPr>
  </w:style>
  <w:style w:type="paragraph" w:customStyle="1" w:styleId="Tableheadingleft">
    <w:name w:val="Table heading left"/>
    <w:qFormat/>
    <w:rsid w:val="00EB0D85"/>
    <w:pPr>
      <w:spacing w:before="120" w:after="120"/>
    </w:pPr>
    <w:rPr>
      <w:rFonts w:ascii="Fira Sans" w:eastAsiaTheme="minorEastAsia" w:hAnsi="Fira Sans"/>
      <w:b/>
      <w:bCs/>
      <w:color w:val="FFFFFF" w:themeColor="background2"/>
      <w:sz w:val="18"/>
      <w:szCs w:val="18"/>
      <w:lang w:val="en-US"/>
    </w:rPr>
  </w:style>
  <w:style w:type="paragraph" w:customStyle="1" w:styleId="Pa11">
    <w:name w:val="Pa11"/>
    <w:basedOn w:val="Normal"/>
    <w:next w:val="Normal"/>
    <w:uiPriority w:val="99"/>
    <w:rsid w:val="00EB0D85"/>
    <w:pPr>
      <w:autoSpaceDE w:val="0"/>
      <w:autoSpaceDN w:val="0"/>
      <w:adjustRightInd w:val="0"/>
      <w:spacing w:after="0" w:line="181" w:lineRule="atLeast"/>
    </w:pPr>
    <w:rPr>
      <w:rFonts w:ascii="Fira Sans" w:hAnsi="Fira Sans" w:cs="Times New Roman"/>
      <w:color w:val="auto"/>
      <w:sz w:val="24"/>
      <w:szCs w:val="24"/>
      <w14:ligatures w14:val="standardContextual"/>
    </w:rPr>
  </w:style>
  <w:style w:type="character" w:customStyle="1" w:styleId="Arialbody">
    <w:name w:val="Arial body"/>
    <w:uiPriority w:val="99"/>
    <w:rsid w:val="00EB0D85"/>
    <w:rPr>
      <w:rFonts w:ascii="Arial" w:hAnsi="Arial" w:cs="Arial"/>
    </w:rPr>
  </w:style>
  <w:style w:type="character" w:customStyle="1" w:styleId="WhiteColours">
    <w:name w:val="White (Colours)"/>
    <w:uiPriority w:val="99"/>
    <w:rsid w:val="00EB0D85"/>
    <w:rPr>
      <w:color w:val="FFFFFF"/>
    </w:rPr>
  </w:style>
  <w:style w:type="paragraph" w:customStyle="1" w:styleId="Tableheadingright">
    <w:name w:val="Table heading right"/>
    <w:basedOn w:val="Tableheadingleft"/>
    <w:uiPriority w:val="99"/>
    <w:qFormat/>
    <w:rsid w:val="00EB0D85"/>
    <w:pPr>
      <w:spacing w:before="0" w:after="0"/>
      <w:jc w:val="right"/>
    </w:pPr>
  </w:style>
  <w:style w:type="paragraph" w:customStyle="1" w:styleId="Financialbodyright">
    <w:name w:val="Financial body right"/>
    <w:basedOn w:val="Financialbodyleft"/>
    <w:uiPriority w:val="99"/>
    <w:qFormat/>
    <w:rsid w:val="00EB0D85"/>
    <w:pPr>
      <w:spacing w:after="0"/>
      <w:jc w:val="right"/>
    </w:pPr>
  </w:style>
  <w:style w:type="paragraph" w:customStyle="1" w:styleId="TOC-TablesandFigures">
    <w:name w:val="TOC - Tables and Figures"/>
    <w:basedOn w:val="TOC3"/>
    <w:uiPriority w:val="99"/>
    <w:qFormat/>
    <w:rsid w:val="00EB0D85"/>
    <w:pPr>
      <w:tabs>
        <w:tab w:val="right" w:pos="8530"/>
      </w:tabs>
      <w:suppressAutoHyphens/>
      <w:autoSpaceDE w:val="0"/>
      <w:autoSpaceDN w:val="0"/>
      <w:adjustRightInd w:val="0"/>
      <w:spacing w:after="60" w:line="280" w:lineRule="atLeast"/>
      <w:ind w:left="0"/>
      <w:textAlignment w:val="center"/>
    </w:pPr>
    <w:rPr>
      <w:rFonts w:ascii="Fira Sans" w:eastAsiaTheme="minorEastAsia" w:hAnsi="Fira Sans" w:cs="Fira Sans"/>
      <w:color w:val="000000"/>
      <w:kern w:val="2"/>
      <w:sz w:val="18"/>
      <w:szCs w:val="18"/>
      <w:lang w:eastAsia="en-AU"/>
      <w14:ligatures w14:val="standardContextual"/>
    </w:rPr>
  </w:style>
  <w:style w:type="character" w:styleId="CommentReference">
    <w:name w:val="annotation reference"/>
    <w:basedOn w:val="DefaultParagraphFont"/>
    <w:uiPriority w:val="99"/>
    <w:semiHidden/>
    <w:unhideWhenUsed/>
    <w:rsid w:val="00EB0D85"/>
    <w:rPr>
      <w:sz w:val="16"/>
      <w:szCs w:val="16"/>
    </w:rPr>
  </w:style>
  <w:style w:type="paragraph" w:styleId="CommentText">
    <w:name w:val="annotation text"/>
    <w:basedOn w:val="Normal"/>
    <w:link w:val="CommentTextChar"/>
    <w:unhideWhenUsed/>
    <w:rsid w:val="00EB0D85"/>
    <w:pPr>
      <w:spacing w:line="240" w:lineRule="auto"/>
    </w:pPr>
    <w:rPr>
      <w:sz w:val="20"/>
      <w:szCs w:val="20"/>
    </w:rPr>
  </w:style>
  <w:style w:type="character" w:customStyle="1" w:styleId="CommentTextChar">
    <w:name w:val="Comment Text Char"/>
    <w:basedOn w:val="DefaultParagraphFont"/>
    <w:link w:val="CommentText"/>
    <w:rsid w:val="00EB0D85"/>
    <w:rPr>
      <w:rFonts w:ascii="Arial" w:hAnsi="Arial"/>
      <w:color w:val="15272F" w:themeColor="text1"/>
      <w:sz w:val="20"/>
      <w:szCs w:val="20"/>
      <w:lang w:val="en-AU"/>
    </w:rPr>
  </w:style>
  <w:style w:type="paragraph" w:customStyle="1" w:styleId="Boxtextforfigures">
    <w:name w:val="Box text for figures"/>
    <w:basedOn w:val="Normal"/>
    <w:link w:val="BoxtextforfiguresChar"/>
    <w:qFormat/>
    <w:rsid w:val="00EB0D85"/>
    <w:pPr>
      <w:spacing w:after="40" w:line="240" w:lineRule="auto"/>
      <w:ind w:left="-284" w:right="-232"/>
      <w:jc w:val="center"/>
    </w:pPr>
    <w:rPr>
      <w:b/>
      <w:bCs/>
      <w:sz w:val="15"/>
      <w:szCs w:val="15"/>
    </w:rPr>
  </w:style>
  <w:style w:type="character" w:customStyle="1" w:styleId="BoxtextforfiguresChar">
    <w:name w:val="Box text for figures Char"/>
    <w:basedOn w:val="DefaultParagraphFont"/>
    <w:link w:val="Boxtextforfigures"/>
    <w:rsid w:val="00EB0D85"/>
    <w:rPr>
      <w:rFonts w:ascii="Arial" w:hAnsi="Arial"/>
      <w:b/>
      <w:bCs/>
      <w:color w:val="15272F" w:themeColor="text1"/>
      <w:sz w:val="15"/>
      <w:szCs w:val="15"/>
      <w:lang w:val="en-AU"/>
    </w:rPr>
  </w:style>
  <w:style w:type="paragraph" w:styleId="Revision">
    <w:name w:val="Revision"/>
    <w:hidden/>
    <w:uiPriority w:val="99"/>
    <w:semiHidden/>
    <w:rsid w:val="00EB0D85"/>
    <w:pPr>
      <w:spacing w:after="0" w:line="240" w:lineRule="auto"/>
    </w:pPr>
    <w:rPr>
      <w:rFonts w:ascii="Arial" w:hAnsi="Arial"/>
      <w:color w:val="15272F" w:themeColor="text1"/>
      <w:lang w:val="en-AU"/>
    </w:rPr>
  </w:style>
  <w:style w:type="paragraph" w:customStyle="1" w:styleId="Sectiontitle">
    <w:name w:val="Section title"/>
    <w:uiPriority w:val="99"/>
    <w:qFormat/>
    <w:rsid w:val="00EB0D85"/>
    <w:pPr>
      <w:snapToGrid w:val="0"/>
      <w:spacing w:before="480" w:after="0" w:line="276" w:lineRule="auto"/>
      <w:jc w:val="center"/>
    </w:pPr>
    <w:rPr>
      <w:rFonts w:ascii="Josefin Sans SemiBold" w:hAnsi="Josefin Sans SemiBold" w:cs="Fira Sans"/>
      <w:bCs/>
      <w:color w:val="FFFFFF" w:themeColor="background2"/>
      <w:kern w:val="10"/>
      <w:sz w:val="72"/>
      <w:szCs w:val="72"/>
      <w:lang w:val="en-US"/>
    </w:rPr>
  </w:style>
  <w:style w:type="character" w:customStyle="1" w:styleId="ui-provider">
    <w:name w:val="ui-provider"/>
    <w:basedOn w:val="DefaultParagraphFont"/>
    <w:rsid w:val="00EB0D85"/>
  </w:style>
  <w:style w:type="character" w:customStyle="1" w:styleId="Bold">
    <w:name w:val="Bold"/>
    <w:uiPriority w:val="99"/>
    <w:rsid w:val="00EB0D85"/>
    <w:rPr>
      <w:b/>
      <w:bCs/>
      <w:color w:val="000000"/>
    </w:rPr>
  </w:style>
  <w:style w:type="paragraph" w:customStyle="1" w:styleId="TableBodyleftFinancials">
    <w:name w:val="Table Body left (Financials)"/>
    <w:basedOn w:val="Normal"/>
    <w:uiPriority w:val="99"/>
    <w:rsid w:val="00EB0D85"/>
    <w:pPr>
      <w:suppressAutoHyphens/>
      <w:autoSpaceDE w:val="0"/>
      <w:autoSpaceDN w:val="0"/>
      <w:adjustRightInd w:val="0"/>
      <w:spacing w:after="113" w:line="220" w:lineRule="atLeast"/>
      <w:textAlignment w:val="center"/>
    </w:pPr>
    <w:rPr>
      <w:rFonts w:ascii="Fira Sans" w:hAnsi="Fira Sans" w:cs="Fira Sans"/>
      <w:color w:val="000000"/>
      <w:sz w:val="18"/>
      <w:szCs w:val="18"/>
    </w:rPr>
  </w:style>
  <w:style w:type="paragraph" w:customStyle="1" w:styleId="TableBodyLeft-AlphaFinancials">
    <w:name w:val="Table Body Left - Alpha (Financials)"/>
    <w:basedOn w:val="TableBodyleftFinancials"/>
    <w:uiPriority w:val="99"/>
    <w:rsid w:val="00EB0D85"/>
    <w:pPr>
      <w:ind w:left="360" w:hanging="360"/>
    </w:pPr>
  </w:style>
  <w:style w:type="character" w:styleId="FollowedHyperlink">
    <w:name w:val="FollowedHyperlink"/>
    <w:basedOn w:val="DefaultParagraphFont"/>
    <w:uiPriority w:val="99"/>
    <w:semiHidden/>
    <w:unhideWhenUsed/>
    <w:rsid w:val="00EB0D85"/>
    <w:rPr>
      <w:color w:val="104F99" w:themeColor="followedHyperlink"/>
      <w:u w:val="single"/>
    </w:rPr>
  </w:style>
  <w:style w:type="paragraph" w:styleId="CommentSubject">
    <w:name w:val="annotation subject"/>
    <w:basedOn w:val="CommentText"/>
    <w:next w:val="CommentText"/>
    <w:link w:val="CommentSubjectChar"/>
    <w:uiPriority w:val="99"/>
    <w:semiHidden/>
    <w:unhideWhenUsed/>
    <w:rsid w:val="00EB0D85"/>
    <w:rPr>
      <w:b/>
      <w:bCs/>
    </w:rPr>
  </w:style>
  <w:style w:type="character" w:customStyle="1" w:styleId="CommentSubjectChar">
    <w:name w:val="Comment Subject Char"/>
    <w:basedOn w:val="CommentTextChar"/>
    <w:link w:val="CommentSubject"/>
    <w:uiPriority w:val="99"/>
    <w:semiHidden/>
    <w:rsid w:val="00EB0D85"/>
    <w:rPr>
      <w:rFonts w:ascii="Arial" w:hAnsi="Arial"/>
      <w:b/>
      <w:bCs/>
      <w:color w:val="15272F" w:themeColor="text1"/>
      <w:sz w:val="20"/>
      <w:szCs w:val="20"/>
      <w:lang w:val="en-AU"/>
    </w:rPr>
  </w:style>
  <w:style w:type="paragraph" w:styleId="TOC4">
    <w:name w:val="toc 4"/>
    <w:basedOn w:val="Normal"/>
    <w:next w:val="Normal"/>
    <w:autoRedefine/>
    <w:uiPriority w:val="39"/>
    <w:unhideWhenUsed/>
    <w:rsid w:val="00EB0D85"/>
    <w:pPr>
      <w:spacing w:after="0"/>
      <w:ind w:left="660"/>
    </w:pPr>
    <w:rPr>
      <w:rFonts w:asciiTheme="minorHAnsi" w:hAnsiTheme="minorHAnsi"/>
      <w:sz w:val="20"/>
      <w:szCs w:val="20"/>
    </w:rPr>
  </w:style>
  <w:style w:type="paragraph" w:styleId="TOC5">
    <w:name w:val="toc 5"/>
    <w:basedOn w:val="Normal"/>
    <w:next w:val="Normal"/>
    <w:autoRedefine/>
    <w:uiPriority w:val="39"/>
    <w:unhideWhenUsed/>
    <w:rsid w:val="00EB0D85"/>
    <w:pPr>
      <w:spacing w:after="0"/>
      <w:ind w:left="880"/>
    </w:pPr>
    <w:rPr>
      <w:rFonts w:asciiTheme="minorHAnsi" w:hAnsiTheme="minorHAnsi"/>
      <w:sz w:val="20"/>
      <w:szCs w:val="20"/>
    </w:rPr>
  </w:style>
  <w:style w:type="paragraph" w:styleId="TOC6">
    <w:name w:val="toc 6"/>
    <w:basedOn w:val="Normal"/>
    <w:next w:val="Normal"/>
    <w:autoRedefine/>
    <w:uiPriority w:val="39"/>
    <w:unhideWhenUsed/>
    <w:rsid w:val="00EB0D85"/>
    <w:pPr>
      <w:spacing w:after="0"/>
      <w:ind w:left="1100"/>
    </w:pPr>
    <w:rPr>
      <w:rFonts w:asciiTheme="minorHAnsi" w:hAnsiTheme="minorHAnsi"/>
      <w:sz w:val="20"/>
      <w:szCs w:val="20"/>
    </w:rPr>
  </w:style>
  <w:style w:type="paragraph" w:styleId="TOC7">
    <w:name w:val="toc 7"/>
    <w:basedOn w:val="Normal"/>
    <w:next w:val="Normal"/>
    <w:autoRedefine/>
    <w:uiPriority w:val="39"/>
    <w:unhideWhenUsed/>
    <w:rsid w:val="00EB0D85"/>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EB0D85"/>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EB0D85"/>
    <w:pPr>
      <w:spacing w:after="0"/>
      <w:ind w:left="1760"/>
    </w:pPr>
    <w:rPr>
      <w:rFonts w:asciiTheme="minorHAnsi" w:hAnsiTheme="minorHAnsi"/>
      <w:sz w:val="20"/>
      <w:szCs w:val="20"/>
    </w:rPr>
  </w:style>
  <w:style w:type="paragraph" w:styleId="EndnoteText">
    <w:name w:val="endnote text"/>
    <w:basedOn w:val="Normal"/>
    <w:link w:val="EndnoteTextChar"/>
    <w:uiPriority w:val="99"/>
    <w:semiHidden/>
    <w:unhideWhenUsed/>
    <w:rsid w:val="00EB0D8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B0D85"/>
    <w:rPr>
      <w:rFonts w:ascii="Arial" w:hAnsi="Arial"/>
      <w:color w:val="15272F" w:themeColor="text1"/>
      <w:sz w:val="20"/>
      <w:szCs w:val="20"/>
      <w:lang w:val="en-AU"/>
    </w:rPr>
  </w:style>
  <w:style w:type="character" w:styleId="EndnoteReference">
    <w:name w:val="endnote reference"/>
    <w:basedOn w:val="DefaultParagraphFont"/>
    <w:uiPriority w:val="99"/>
    <w:semiHidden/>
    <w:unhideWhenUsed/>
    <w:rsid w:val="00EB0D85"/>
    <w:rPr>
      <w:vertAlign w:val="superscript"/>
    </w:rPr>
  </w:style>
  <w:style w:type="character" w:styleId="Mention">
    <w:name w:val="Mention"/>
    <w:basedOn w:val="DefaultParagraphFont"/>
    <w:uiPriority w:val="99"/>
    <w:unhideWhenUsed/>
    <w:rsid w:val="00EB0D85"/>
    <w:rPr>
      <w:color w:val="2B579A"/>
      <w:shd w:val="clear" w:color="auto" w:fill="E1DFDD"/>
    </w:rPr>
  </w:style>
  <w:style w:type="paragraph" w:styleId="NormalWeb">
    <w:name w:val="Normal (Web)"/>
    <w:basedOn w:val="Normal"/>
    <w:uiPriority w:val="99"/>
    <w:semiHidden/>
    <w:unhideWhenUsed/>
    <w:rsid w:val="00EB0D85"/>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09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au/C2024A00104/asmade/text" TargetMode="External"/><Relationship Id="rId21" Type="http://schemas.openxmlformats.org/officeDocument/2006/relationships/image" Target="media/image5.jpg"/><Relationship Id="rId42" Type="http://schemas.openxmlformats.org/officeDocument/2006/relationships/image" Target="media/image11.png"/><Relationship Id="rId47" Type="http://schemas.openxmlformats.org/officeDocument/2006/relationships/hyperlink" Target="https://www.ihacpa.gov.au/resources/residential-aged-care-pricing-advice-2025-26" TargetMode="External"/><Relationship Id="rId63" Type="http://schemas.openxmlformats.org/officeDocument/2006/relationships/hyperlink" Target="file:///C:\Users\OLLIND\AppData\Local\Packages\oice_16_974fa576_32c1d314_20f2\AC\Temp\7E9BE052.XLSX" TargetMode="External"/><Relationship Id="rId68" Type="http://schemas.openxmlformats.org/officeDocument/2006/relationships/image" Target="media/image15.png"/><Relationship Id="rId84" Type="http://schemas.openxmlformats.org/officeDocument/2006/relationships/theme" Target="theme/theme1.xml"/><Relationship Id="rId16" Type="http://schemas.openxmlformats.org/officeDocument/2006/relationships/footer" Target="footer2.xml"/><Relationship Id="rId11" Type="http://schemas.openxmlformats.org/officeDocument/2006/relationships/image" Target="media/image1.png"/><Relationship Id="rId32" Type="http://schemas.openxmlformats.org/officeDocument/2006/relationships/header" Target="header6.xml"/><Relationship Id="rId37" Type="http://schemas.openxmlformats.org/officeDocument/2006/relationships/footer" Target="footer8.xml"/><Relationship Id="rId53" Type="http://schemas.openxmlformats.org/officeDocument/2006/relationships/hyperlink" Target="file:///C:\Users\OLLIND\AppData\Local\Packages\oice_16_974fa576_32c1d314_20f2\AC\Temp\7E9BE052.XLSX" TargetMode="External"/><Relationship Id="rId58" Type="http://schemas.openxmlformats.org/officeDocument/2006/relationships/hyperlink" Target="file:///C:\Users\OLLIND\AppData\Local\Packages\oice_16_974fa576_32c1d314_20f2\AC\Temp\7E9BE052.XLSX" TargetMode="External"/><Relationship Id="rId74" Type="http://schemas.openxmlformats.org/officeDocument/2006/relationships/hyperlink" Target="https://federalfinancialrelations.gov.au/sites/federalfinancialrelations.gov.au/files/2026-04/nhra-2020-25-addendum-consolidated.pdf" TargetMode="External"/><Relationship Id="rId79" Type="http://schemas.openxmlformats.org/officeDocument/2006/relationships/header" Target="header9.xml"/><Relationship Id="rId5" Type="http://schemas.openxmlformats.org/officeDocument/2006/relationships/numbering" Target="numbering.xml"/><Relationship Id="rId61" Type="http://schemas.openxmlformats.org/officeDocument/2006/relationships/image" Target="media/image12.png"/><Relationship Id="rId82" Type="http://schemas.openxmlformats.org/officeDocument/2006/relationships/header" Target="header10.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footer" Target="footer7.xml"/><Relationship Id="rId43" Type="http://schemas.openxmlformats.org/officeDocument/2006/relationships/hyperlink" Target="https://www.ihacpa.gov.au/" TargetMode="External"/><Relationship Id="rId48" Type="http://schemas.openxmlformats.org/officeDocument/2006/relationships/hyperlink" Target="https://www.ihacpa.gov.au/resources/pricing-framework-australian-residential-aged-care-services-2026-27" TargetMode="External"/><Relationship Id="rId56" Type="http://schemas.openxmlformats.org/officeDocument/2006/relationships/hyperlink" Target="file:///C:\Users\OLLIND\AppData\Local\Packages\oice_16_974fa576_32c1d314_20f2\AC\Temp\7E9BE052.XLSX" TargetMode="External"/><Relationship Id="rId64" Type="http://schemas.openxmlformats.org/officeDocument/2006/relationships/hyperlink" Target="file:///C:\Users\OLLIND\AppData\Local\Packages\oice_16_974fa576_32c1d314_20f2\AC\Temp\7E9BE052.XLSX" TargetMode="External"/><Relationship Id="rId69" Type="http://schemas.openxmlformats.org/officeDocument/2006/relationships/hyperlink" Target="https://www.legislation.gov.au/C2004A00485/latest/text" TargetMode="External"/><Relationship Id="rId77" Type="http://schemas.openxmlformats.org/officeDocument/2006/relationships/image" Target="media/image17.svg"/><Relationship Id="rId8" Type="http://schemas.openxmlformats.org/officeDocument/2006/relationships/webSettings" Target="webSettings.xml"/><Relationship Id="rId51" Type="http://schemas.openxmlformats.org/officeDocument/2006/relationships/hyperlink" Target="file:///C:\Users\OLLIND\AppData\Local\Packages\oice_16_974fa576_32c1d314_20f2\AC\Temp\7E9BE052.XLSX" TargetMode="External"/><Relationship Id="rId72" Type="http://schemas.openxmlformats.org/officeDocument/2006/relationships/hyperlink" Target="https://www.legislation.gov.au/C2011A00009/latest/text" TargetMode="External"/><Relationship Id="rId80" Type="http://schemas.openxmlformats.org/officeDocument/2006/relationships/footer" Target="footer9.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eader" Target="header3.xml"/><Relationship Id="rId25" Type="http://schemas.openxmlformats.org/officeDocument/2006/relationships/hyperlink" Target="https://www.legislation.gov.au/C2011A00009/latest/text" TargetMode="External"/><Relationship Id="rId33" Type="http://schemas.openxmlformats.org/officeDocument/2006/relationships/header" Target="header7.xml"/><Relationship Id="rId38" Type="http://schemas.openxmlformats.org/officeDocument/2006/relationships/hyperlink" Target="https://www.closingthegap.gov.au/national-agreement/priority-reforms" TargetMode="External"/><Relationship Id="rId46" Type="http://schemas.openxmlformats.org/officeDocument/2006/relationships/hyperlink" Target="https://www.ihacpa.gov.au/sites/default/files/2026-03/national_efficient_cost_determination_2026-27.pdf" TargetMode="External"/><Relationship Id="rId59" Type="http://schemas.openxmlformats.org/officeDocument/2006/relationships/hyperlink" Target="file:///C:\Users\OLLIND\AppData\Local\Packages\oice_16_974fa576_32c1d314_20f2\AC\Temp\7E9BE052.XLSX" TargetMode="External"/><Relationship Id="rId67" Type="http://schemas.openxmlformats.org/officeDocument/2006/relationships/image" Target="media/image14.png"/><Relationship Id="rId20" Type="http://schemas.openxmlformats.org/officeDocument/2006/relationships/footer" Target="footer4.xml"/><Relationship Id="rId41" Type="http://schemas.openxmlformats.org/officeDocument/2006/relationships/hyperlink" Target="https://www.ihacpa.gov.au/sites/default/files/2026-03/2026_audit_risk_and_compliance_committee_charter_0.pdf" TargetMode="External"/><Relationship Id="rId54" Type="http://schemas.openxmlformats.org/officeDocument/2006/relationships/hyperlink" Target="file:///C:\Users\OLLIND\AppData\Local\Packages\oice_16_974fa576_32c1d314_20f2\AC\Temp\7E9BE052.XLSX" TargetMode="External"/><Relationship Id="rId62" Type="http://schemas.openxmlformats.org/officeDocument/2006/relationships/image" Target="media/image13.png"/><Relationship Id="rId70" Type="http://schemas.openxmlformats.org/officeDocument/2006/relationships/hyperlink" Target="https://www.legislation.gov.au/C2024A00104/latest/text" TargetMode="External"/><Relationship Id="rId75" Type="http://schemas.openxmlformats.org/officeDocument/2006/relationships/hyperlink" Target="https://federalfinancialrelations.gov.au/sites/federalfinancialrelations.gov.au/files/2026-04/nhra-2026-31-addendum-consolidated.pdf"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8.png"/><Relationship Id="rId36" Type="http://schemas.openxmlformats.org/officeDocument/2006/relationships/header" Target="header8.xml"/><Relationship Id="rId49" Type="http://schemas.openxmlformats.org/officeDocument/2006/relationships/hyperlink" Target="file:///C:\Users\OLLIND\AppData\Local\Packages\oice_16_974fa576_32c1d314_20f2\AC\Temp\7E9BE052.XLSX" TargetMode="External"/><Relationship Id="rId57" Type="http://schemas.openxmlformats.org/officeDocument/2006/relationships/hyperlink" Target="file:///C:\Users\OLLIND\AppData\Local\Packages\oice_16_974fa576_32c1d314_20f2\AC\Temp\7E9BE052.XLSX" TargetMode="External"/><Relationship Id="rId10" Type="http://schemas.openxmlformats.org/officeDocument/2006/relationships/endnotes" Target="endnotes.xml"/><Relationship Id="rId31" Type="http://schemas.openxmlformats.org/officeDocument/2006/relationships/hyperlink" Target="https://www.legislation.gov.au/C2011A00137/latest/text" TargetMode="External"/><Relationship Id="rId44" Type="http://schemas.openxmlformats.org/officeDocument/2006/relationships/hyperlink" Target="https://www.ihacpa.gov.au/sites/default/files/2026-01/Pricing_Framework_for_Australian_Public_Hospital_Services_2026-2027_2.PDF" TargetMode="External"/><Relationship Id="rId52" Type="http://schemas.openxmlformats.org/officeDocument/2006/relationships/hyperlink" Target="file:///C:\Users\OLLIND\AppData\Local\Packages\oice_16_974fa576_32c1d314_20f2\AC\Temp\7E9BE052.XLSX" TargetMode="External"/><Relationship Id="rId60" Type="http://schemas.openxmlformats.org/officeDocument/2006/relationships/hyperlink" Target="file:///C:\Users\OLLIND\AppData\Local\Packages\oice_16_974fa576_32c1d314_20f2\AC\Temp\7E9BE052.XLSX" TargetMode="External"/><Relationship Id="rId65" Type="http://schemas.openxmlformats.org/officeDocument/2006/relationships/hyperlink" Target="file:///C:\Users\OLLIND\AppData\Local\Packages\oice_16_974fa576_32c1d314_20f2\AC\Temp\7E9BE052.XLSX" TargetMode="External"/><Relationship Id="rId73" Type="http://schemas.openxmlformats.org/officeDocument/2006/relationships/hyperlink" Target="https://www.health.gov.au/our-work/national-health-reform-agreement-nhra" TargetMode="External"/><Relationship Id="rId78" Type="http://schemas.openxmlformats.org/officeDocument/2006/relationships/hyperlink" Target="mailto:enquiries.ihacpa@ihacpa.gov.au" TargetMode="External"/><Relationship Id="rId81" Type="http://schemas.openxmlformats.org/officeDocument/2006/relationships/hyperlink" Target="http://www.ihacpa.gov.au/"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federalfinancialrelations.gov.au/sites/federalfinancialrelations.gov.au/files/2026-04/nhra-2026-31-addendum-consolidated.pdf" TargetMode="External"/><Relationship Id="rId34" Type="http://schemas.openxmlformats.org/officeDocument/2006/relationships/footer" Target="footer6.xml"/><Relationship Id="rId50" Type="http://schemas.openxmlformats.org/officeDocument/2006/relationships/hyperlink" Target="file:///C:\Users\OLLIND\AppData\Local\Packages\oice_16_974fa576_32c1d314_20f2\AC\Temp\7E9BE052.XLSX" TargetMode="External"/><Relationship Id="rId55" Type="http://schemas.openxmlformats.org/officeDocument/2006/relationships/hyperlink" Target="file:///C:\Users\OLLIND\AppData\Local\Packages\oice_16_974fa576_32c1d314_20f2\AC\Temp\7E9BE052.XLSX" TargetMode="External"/><Relationship Id="rId76" Type="http://schemas.openxmlformats.org/officeDocument/2006/relationships/image" Target="media/image16.png"/><Relationship Id="rId7" Type="http://schemas.openxmlformats.org/officeDocument/2006/relationships/settings" Target="settings.xml"/><Relationship Id="rId71" Type="http://schemas.openxmlformats.org/officeDocument/2006/relationships/hyperlink" Target="https://www.closingthegap.gov.au/national-agreement/priority-reforms" TargetMode="External"/><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image" Target="media/image6.png"/><Relationship Id="rId40" Type="http://schemas.openxmlformats.org/officeDocument/2006/relationships/hyperlink" Target="https://www.ihacpa.gov.au/sites/default/files/2025-11/pricing_for_australian_public_hospital_services_for_first_nations_peoples-fact_sheet.pdf" TargetMode="External"/><Relationship Id="rId45" Type="http://schemas.openxmlformats.org/officeDocument/2006/relationships/hyperlink" Target="https://www.ihacpa.gov.au/sites/default/files/2026-03/national_efficient_price_determination_2026-27_2.pdf" TargetMode="External"/><Relationship Id="rId66" Type="http://schemas.openxmlformats.org/officeDocument/2006/relationships/hyperlink" Target="file:///C:\Users\OLLIND\AppData\Local\Packages\oice_16_974fa576_32c1d314_20f2\AC\Temp\7E9BE052.XLS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4.jpg"/></Relationships>
</file>

<file path=word/_rels/header9.xml.rels><?xml version="1.0" encoding="UTF-8" standalone="yes"?>
<Relationships xmlns="http://schemas.openxmlformats.org/package/2006/relationships"><Relationship Id="rId1" Type="http://schemas.openxmlformats.org/officeDocument/2006/relationships/image" Target="media/image1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LIND\Downloads\IHACPA%20template%20-%20External%20-%20Publication.dotx" TargetMode="External"/></Relationships>
</file>

<file path=word/theme/theme1.xml><?xml version="1.0" encoding="utf-8"?>
<a:theme xmlns:a="http://schemas.openxmlformats.org/drawingml/2006/main" name="Office Theme">
  <a:themeElements>
    <a:clrScheme name="IHACPA">
      <a:dk1>
        <a:srgbClr val="15272F"/>
      </a:dk1>
      <a:lt1>
        <a:srgbClr val="54C1AF"/>
      </a:lt1>
      <a:dk2>
        <a:srgbClr val="15272F"/>
      </a:dk2>
      <a:lt2>
        <a:srgbClr val="FFFFFF"/>
      </a:lt2>
      <a:accent1>
        <a:srgbClr val="15272F"/>
      </a:accent1>
      <a:accent2>
        <a:srgbClr val="104F99"/>
      </a:accent2>
      <a:accent3>
        <a:srgbClr val="0080C4"/>
      </a:accent3>
      <a:accent4>
        <a:srgbClr val="008F55"/>
      </a:accent4>
      <a:accent5>
        <a:srgbClr val="54C1AF"/>
      </a:accent5>
      <a:accent6>
        <a:srgbClr val="FFFFFF"/>
      </a:accent6>
      <a:hlink>
        <a:srgbClr val="0080C4"/>
      </a:hlink>
      <a:folHlink>
        <a:srgbClr val="104F99"/>
      </a:folHlink>
    </a:clrScheme>
    <a:fontScheme name="IHACPA">
      <a:majorFont>
        <a:latin typeface="Josefin Sans Bold"/>
        <a:ea typeface=""/>
        <a:cs typeface=""/>
      </a:majorFont>
      <a:minorFont>
        <a:latin typeface="Fira Sans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36A41C46341A4EB433AB9CFA376FCF" ma:contentTypeVersion="22" ma:contentTypeDescription="Create a new document." ma:contentTypeScope="" ma:versionID="ee2bcc6a711502425848ff9768234a6b">
  <xsd:schema xmlns:xsd="http://www.w3.org/2001/XMLSchema" xmlns:xs="http://www.w3.org/2001/XMLSchema" xmlns:p="http://schemas.microsoft.com/office/2006/metadata/properties" xmlns:ns2="2890e816-91e8-4f4f-9f85-30577999f8b5" xmlns:ns3="33d10c6f-0c16-4b9b-af64-e700fb2b70ed" targetNamespace="http://schemas.microsoft.com/office/2006/metadata/properties" ma:root="true" ma:fieldsID="6626ca48e7ab1e8121063cc11ff51884" ns2:_="" ns3:_="">
    <xsd:import namespace="2890e816-91e8-4f4f-9f85-30577999f8b5"/>
    <xsd:import namespace="33d10c6f-0c16-4b9b-af64-e700fb2b70e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Presentation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90e816-91e8-4f4f-9f85-30577999f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resentations" ma:index="12" nillable="true" ma:displayName="Presentations" ma:format="Dropdown" ma:indexed="true" ma:internalName="Presentations">
      <xsd:simpleType>
        <xsd:restriction base="dms:Choice">
          <xsd:enumeration value="2018"/>
          <xsd:enumeration value="2019"/>
          <xsd:enumeration value="2020"/>
          <xsd:enumeration value="Schedule"/>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Image" ma:index="25" nillable="true" ma:displayName="Image" ma:format="Thumbnail" ma:internalName="Imag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d10c6f-0c16-4b9b-af64-e700fb2b70e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ba50703-4b87-48f9-a99b-a515d25bd988}" ma:internalName="TaxCatchAll" ma:showField="CatchAllData" ma:web="33d10c6f-0c16-4b9b-af64-e700fb2b70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mage xmlns="2890e816-91e8-4f4f-9f85-30577999f8b5" xsi:nil="true"/>
    <lcf76f155ced4ddcb4097134ff3c332f xmlns="2890e816-91e8-4f4f-9f85-30577999f8b5">
      <Terms xmlns="http://schemas.microsoft.com/office/infopath/2007/PartnerControls"/>
    </lcf76f155ced4ddcb4097134ff3c332f>
    <Presentations xmlns="2890e816-91e8-4f4f-9f85-30577999f8b5" xsi:nil="true"/>
    <TaxCatchAll xmlns="33d10c6f-0c16-4b9b-af64-e700fb2b70ed" xsi:nil="true"/>
    <_Flow_SignoffStatus xmlns="2890e816-91e8-4f4f-9f85-30577999f8b5" xsi:nil="true"/>
  </documentManagement>
</p:properties>
</file>

<file path=customXml/itemProps1.xml><?xml version="1.0" encoding="utf-8"?>
<ds:datastoreItem xmlns:ds="http://schemas.openxmlformats.org/officeDocument/2006/customXml" ds:itemID="{818CB153-AE0B-48E7-960A-7C8A5CFC0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90e816-91e8-4f4f-9f85-30577999f8b5"/>
    <ds:schemaRef ds:uri="33d10c6f-0c16-4b9b-af64-e700fb2b7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256761-19D5-4D4A-BD43-5FD9A3443976}">
  <ds:schemaRefs>
    <ds:schemaRef ds:uri="http://schemas.microsoft.com/sharepoint/v3/contenttype/forms"/>
  </ds:schemaRefs>
</ds:datastoreItem>
</file>

<file path=customXml/itemProps3.xml><?xml version="1.0" encoding="utf-8"?>
<ds:datastoreItem xmlns:ds="http://schemas.openxmlformats.org/officeDocument/2006/customXml" ds:itemID="{6A96822A-1CD2-483E-8A1D-E38221B7C25C}">
  <ds:schemaRefs>
    <ds:schemaRef ds:uri="http://schemas.openxmlformats.org/officeDocument/2006/bibliography"/>
  </ds:schemaRefs>
</ds:datastoreItem>
</file>

<file path=customXml/itemProps4.xml><?xml version="1.0" encoding="utf-8"?>
<ds:datastoreItem xmlns:ds="http://schemas.openxmlformats.org/officeDocument/2006/customXml" ds:itemID="{44338299-1F3C-4AC5-A9D7-02D1FAB63B9B}">
  <ds:schemaRefs>
    <ds:schemaRef ds:uri="http://schemas.microsoft.com/office/2006/metadata/properties"/>
    <ds:schemaRef ds:uri="http://schemas.microsoft.com/office/infopath/2007/PartnerControls"/>
    <ds:schemaRef ds:uri="2890e816-91e8-4f4f-9f85-30577999f8b5"/>
    <ds:schemaRef ds:uri="33d10c6f-0c16-4b9b-af64-e700fb2b70ed"/>
  </ds:schemaRefs>
</ds:datastoreItem>
</file>

<file path=docProps/app.xml><?xml version="1.0" encoding="utf-8"?>
<Properties xmlns="http://schemas.openxmlformats.org/officeDocument/2006/extended-properties" xmlns:vt="http://schemas.openxmlformats.org/officeDocument/2006/docPropsVTypes">
  <Template>IHACPA template - External - Publication.dotx</Template>
  <TotalTime>0</TotalTime>
  <Pages>126</Pages>
  <Words>27156</Words>
  <Characters>154790</Characters>
  <Application>Microsoft Office Word</Application>
  <DocSecurity>0</DocSecurity>
  <Lines>1289</Lines>
  <Paragraphs>363</Paragraphs>
  <ScaleCrop>false</ScaleCrop>
  <HeadingPairs>
    <vt:vector size="2" baseType="variant">
      <vt:variant>
        <vt:lpstr>Title</vt:lpstr>
      </vt:variant>
      <vt:variant>
        <vt:i4>1</vt:i4>
      </vt:variant>
    </vt:vector>
  </HeadingPairs>
  <TitlesOfParts>
    <vt:vector size="1" baseType="lpstr">
      <vt:lpstr>IHACPA</vt:lpstr>
    </vt:vector>
  </TitlesOfParts>
  <Company/>
  <LinksUpToDate>false</LinksUpToDate>
  <CharactersWithSpaces>181583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IHACPA</dc:title>
  <dc:subject/>
  <dc:creator>OLLING, Danielle</dc:creator>
  <cp:keywords/>
  <dc:description/>
  <cp:lastModifiedBy>LU, Jennifer</cp:lastModifiedBy>
  <cp:revision>2</cp:revision>
  <dcterms:created xsi:type="dcterms:W3CDTF">2026-10-25T22:40:00Z</dcterms:created>
  <dcterms:modified xsi:type="dcterms:W3CDTF">2026-10-25T22:40:00Z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0x010100A736A41C46341A4EB433AB9CFA376FCF</vt:lpwstr>
  </property>
  <property fmtid="{D5CDD505-2E9C-101B-9397-08002B2CF9AE}" pid="3" name="MediaServiceImageTags">
    <vt:lpwstr/>
  </property>
  <property fmtid="{D5CDD505-2E9C-101B-9397-08002B2CF9AE}" pid="4" name="ClassificationContentMarkingHeaderShapeIds">
    <vt:lpwstr>3fa3916a,4ec173fa,57fe8dc3,23cf407c,23cb254d,139ea6f0,38015f05,cc1ba3b</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207aacc3,63fa7724,1aa36119,2aff5,117e69d9,6650998e,37e3ddfa</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2025-11-23T23:25:07Z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f38c16e8-9354-4b3b-b34a-003e5a71e0d0</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ies>
</file>