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E54E9" w14:textId="4CBA426D" w:rsidR="009A1681" w:rsidRPr="00AC04B2" w:rsidRDefault="009A1681" w:rsidP="00F35AB8">
      <w:pPr>
        <w:pStyle w:val="Body"/>
      </w:pPr>
      <w:r w:rsidRPr="00AC04B2">
        <w:rPr>
          <w:noProof/>
        </w:rPr>
        <w:drawing>
          <wp:inline distT="0" distB="0" distL="0" distR="0" wp14:anchorId="185A067A" wp14:editId="616AD5EA">
            <wp:extent cx="1346200" cy="825500"/>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46200" cy="825500"/>
                    </a:xfrm>
                    <a:prstGeom prst="rect">
                      <a:avLst/>
                    </a:prstGeom>
                  </pic:spPr>
                </pic:pic>
              </a:graphicData>
            </a:graphic>
          </wp:inline>
        </w:drawing>
      </w:r>
    </w:p>
    <w:p w14:paraId="36BC4018" w14:textId="60437062" w:rsidR="009A1681" w:rsidRPr="00D05BDE" w:rsidRDefault="009A1681" w:rsidP="007A72D2">
      <w:pPr>
        <w:pStyle w:val="CoverTitle"/>
        <w:tabs>
          <w:tab w:val="left" w:pos="8647"/>
        </w:tabs>
        <w:spacing w:before="1920" w:after="1200"/>
        <w:ind w:right="1728"/>
        <w:rPr>
          <w:rFonts w:ascii="Arial" w:hAnsi="Arial"/>
          <w:bCs/>
          <w:color w:val="FFFFFF" w:themeColor="background2"/>
          <w:sz w:val="80"/>
          <w:szCs w:val="80"/>
        </w:rPr>
      </w:pPr>
      <w:r w:rsidRPr="00D05BDE">
        <w:rPr>
          <w:rFonts w:ascii="Arial" w:hAnsi="Arial"/>
          <w:bCs/>
          <w:color w:val="FFFFFF" w:themeColor="background2"/>
          <w:sz w:val="80"/>
          <w:szCs w:val="80"/>
        </w:rPr>
        <w:t>IH</w:t>
      </w:r>
      <w:r w:rsidR="00420E75" w:rsidRPr="00D05BDE">
        <w:rPr>
          <w:rFonts w:ascii="Arial" w:hAnsi="Arial"/>
          <w:bCs/>
          <w:color w:val="FFFFFF" w:themeColor="background2"/>
          <w:sz w:val="80"/>
          <w:szCs w:val="80"/>
        </w:rPr>
        <w:t>AC</w:t>
      </w:r>
      <w:r w:rsidRPr="00D05BDE">
        <w:rPr>
          <w:rFonts w:ascii="Arial" w:hAnsi="Arial"/>
          <w:bCs/>
          <w:color w:val="FFFFFF" w:themeColor="background2"/>
          <w:sz w:val="80"/>
          <w:szCs w:val="80"/>
        </w:rPr>
        <w:t>PA Work Program 202</w:t>
      </w:r>
      <w:r w:rsidR="00215C8E" w:rsidRPr="00D05BDE">
        <w:rPr>
          <w:rFonts w:ascii="Arial" w:hAnsi="Arial"/>
          <w:bCs/>
          <w:color w:val="FFFFFF" w:themeColor="background2"/>
          <w:sz w:val="80"/>
          <w:szCs w:val="80"/>
        </w:rPr>
        <w:t>6</w:t>
      </w:r>
      <w:r w:rsidRPr="00D05BDE">
        <w:rPr>
          <w:rFonts w:ascii="Arial" w:hAnsi="Arial"/>
          <w:bCs/>
          <w:color w:val="FFFFFF" w:themeColor="background2"/>
          <w:sz w:val="80"/>
          <w:szCs w:val="80"/>
        </w:rPr>
        <w:t>–2</w:t>
      </w:r>
      <w:r w:rsidR="00215C8E" w:rsidRPr="00D05BDE">
        <w:rPr>
          <w:rFonts w:ascii="Arial" w:hAnsi="Arial"/>
          <w:bCs/>
          <w:color w:val="FFFFFF" w:themeColor="background2"/>
          <w:sz w:val="80"/>
          <w:szCs w:val="80"/>
        </w:rPr>
        <w:t>7</w:t>
      </w:r>
    </w:p>
    <w:p w14:paraId="522E24F3" w14:textId="18816CDC" w:rsidR="00FB2B15" w:rsidRPr="00D05BDE" w:rsidRDefault="008A3EC2" w:rsidP="00FF0E74">
      <w:pPr>
        <w:pStyle w:val="CoverSubhead"/>
        <w:spacing w:after="120"/>
        <w:rPr>
          <w:rFonts w:ascii="Arial" w:hAnsi="Arial"/>
          <w:color w:val="FFFFFF" w:themeColor="background2"/>
          <w:sz w:val="30"/>
          <w:szCs w:val="30"/>
        </w:rPr>
      </w:pPr>
      <w:r w:rsidRPr="00D05BDE">
        <w:rPr>
          <w:rFonts w:ascii="Arial" w:hAnsi="Arial"/>
          <w:color w:val="FFFFFF" w:themeColor="background2"/>
          <w:sz w:val="30"/>
          <w:szCs w:val="30"/>
        </w:rPr>
        <w:t xml:space="preserve">For public consultation </w:t>
      </w:r>
      <w:r w:rsidR="00A73404" w:rsidRPr="00D05BDE">
        <w:rPr>
          <w:rFonts w:ascii="Arial" w:hAnsi="Arial"/>
          <w:color w:val="FFFFFF" w:themeColor="background2"/>
          <w:sz w:val="30"/>
          <w:szCs w:val="30"/>
        </w:rPr>
        <w:t>–</w:t>
      </w:r>
      <w:r w:rsidRPr="00D05BDE">
        <w:rPr>
          <w:rFonts w:ascii="Arial" w:hAnsi="Arial"/>
          <w:color w:val="FFFFFF" w:themeColor="background2"/>
          <w:sz w:val="30"/>
          <w:szCs w:val="30"/>
        </w:rPr>
        <w:t xml:space="preserve"> March </w:t>
      </w:r>
      <w:r w:rsidR="00BA70FD" w:rsidRPr="00D05BDE">
        <w:rPr>
          <w:rFonts w:ascii="Arial" w:hAnsi="Arial"/>
          <w:color w:val="FFFFFF" w:themeColor="background2"/>
          <w:sz w:val="30"/>
          <w:szCs w:val="30"/>
        </w:rPr>
        <w:t>202</w:t>
      </w:r>
      <w:r w:rsidR="00215C8E" w:rsidRPr="00D05BDE">
        <w:rPr>
          <w:rFonts w:ascii="Arial" w:hAnsi="Arial"/>
          <w:color w:val="FFFFFF" w:themeColor="background2"/>
          <w:sz w:val="30"/>
          <w:szCs w:val="30"/>
        </w:rPr>
        <w:t>6</w:t>
      </w:r>
    </w:p>
    <w:p w14:paraId="3839E779" w14:textId="77777777" w:rsidR="00FB2B15" w:rsidRDefault="00FB2B15">
      <w:pPr>
        <w:rPr>
          <w:rFonts w:asciiTheme="majorHAnsi" w:hAnsiTheme="majorHAnsi" w:cs="Arial"/>
          <w:b/>
          <w:color w:val="FFFFFF" w:themeColor="background2"/>
          <w:sz w:val="30"/>
          <w:szCs w:val="30"/>
        </w:rPr>
      </w:pPr>
      <w:r>
        <w:rPr>
          <w:color w:val="FFFFFF" w:themeColor="background2"/>
          <w:sz w:val="30"/>
          <w:szCs w:val="30"/>
        </w:rPr>
        <w:br w:type="page"/>
      </w:r>
    </w:p>
    <w:p w14:paraId="5204AD83" w14:textId="6220EE50" w:rsidR="00FB2B15" w:rsidRDefault="003E7C9B">
      <w:pPr>
        <w:rPr>
          <w:rFonts w:asciiTheme="majorHAnsi" w:hAnsiTheme="majorHAnsi" w:cs="Arial"/>
          <w:b/>
          <w:color w:val="FFFFFF" w:themeColor="background2"/>
          <w:sz w:val="30"/>
          <w:szCs w:val="30"/>
        </w:rPr>
      </w:pPr>
      <w:r>
        <w:rPr>
          <w:noProof/>
        </w:rPr>
        <w:lastRenderedPageBreak/>
        <w:drawing>
          <wp:anchor distT="0" distB="0" distL="114300" distR="114300" simplePos="0" relativeHeight="251659264" behindDoc="1" locked="0" layoutInCell="1" allowOverlap="1" wp14:anchorId="0E8B2ECA" wp14:editId="7346EFAB">
            <wp:simplePos x="0" y="0"/>
            <wp:positionH relativeFrom="page">
              <wp:posOffset>4445</wp:posOffset>
            </wp:positionH>
            <wp:positionV relativeFrom="paragraph">
              <wp:posOffset>-819531</wp:posOffset>
            </wp:positionV>
            <wp:extent cx="7553325" cy="10728960"/>
            <wp:effectExtent l="0" t="0" r="9525" b="0"/>
            <wp:wrapNone/>
            <wp:docPr id="1760579509" name="Picture 1" descr="A close up of a colorfu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79509" name="Picture 1" descr="A close up of a colorful desig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0728960"/>
                    </a:xfrm>
                    <a:prstGeom prst="rect">
                      <a:avLst/>
                    </a:prstGeom>
                  </pic:spPr>
                </pic:pic>
              </a:graphicData>
            </a:graphic>
            <wp14:sizeRelH relativeFrom="page">
              <wp14:pctWidth>0</wp14:pctWidth>
            </wp14:sizeRelH>
            <wp14:sizeRelV relativeFrom="page">
              <wp14:pctHeight>0</wp14:pctHeight>
            </wp14:sizeRelV>
          </wp:anchor>
        </w:drawing>
      </w:r>
    </w:p>
    <w:p w14:paraId="0A864160" w14:textId="1F001B38" w:rsidR="006D0548" w:rsidRPr="00AC04B2" w:rsidRDefault="00FB2B15" w:rsidP="00FF0E74">
      <w:pPr>
        <w:pStyle w:val="CoverSubhead"/>
        <w:spacing w:after="120"/>
        <w:rPr>
          <w:color w:val="FFFFFF" w:themeColor="background2"/>
          <w:sz w:val="30"/>
          <w:szCs w:val="30"/>
        </w:rPr>
        <w:sectPr w:rsidR="006D0548" w:rsidRPr="00AC04B2" w:rsidSect="009D5276">
          <w:headerReference w:type="even" r:id="rId11"/>
          <w:headerReference w:type="default" r:id="rId12"/>
          <w:footerReference w:type="even" r:id="rId13"/>
          <w:footerReference w:type="default" r:id="rId14"/>
          <w:headerReference w:type="first" r:id="rId15"/>
          <w:footerReference w:type="first" r:id="rId16"/>
          <w:pgSz w:w="11906" w:h="16838" w:code="9"/>
          <w:pgMar w:top="1303" w:right="907" w:bottom="907" w:left="907" w:header="709" w:footer="709" w:gutter="0"/>
          <w:cols w:space="708"/>
          <w:titlePg/>
          <w:docGrid w:linePitch="360"/>
        </w:sectPr>
      </w:pPr>
      <w:r w:rsidRPr="0091332F">
        <w:rPr>
          <w:b w:val="0"/>
          <w:bCs/>
          <w:noProof/>
        </w:rPr>
        <mc:AlternateContent>
          <mc:Choice Requires="wps">
            <w:drawing>
              <wp:anchor distT="45720" distB="45720" distL="114300" distR="114300" simplePos="0" relativeHeight="251661312" behindDoc="0" locked="0" layoutInCell="1" allowOverlap="1" wp14:anchorId="3C6682AF" wp14:editId="24634B08">
                <wp:simplePos x="0" y="0"/>
                <wp:positionH relativeFrom="page">
                  <wp:posOffset>4088765</wp:posOffset>
                </wp:positionH>
                <wp:positionV relativeFrom="paragraph">
                  <wp:posOffset>5624195</wp:posOffset>
                </wp:positionV>
                <wp:extent cx="30060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404620"/>
                        </a:xfrm>
                        <a:prstGeom prst="rect">
                          <a:avLst/>
                        </a:prstGeom>
                        <a:noFill/>
                        <a:ln w="9525">
                          <a:noFill/>
                          <a:miter lim="800000"/>
                          <a:headEnd/>
                          <a:tailEnd/>
                        </a:ln>
                      </wps:spPr>
                      <wps:txbx>
                        <w:txbxContent>
                          <w:p w14:paraId="7B90C0B9" w14:textId="77777777" w:rsidR="00FB2B15" w:rsidRPr="00393950" w:rsidRDefault="00FB2B15" w:rsidP="00FB2B15">
                            <w:pPr>
                              <w:spacing w:after="360" w:line="240" w:lineRule="auto"/>
                              <w:rPr>
                                <w:rFonts w:ascii="Arial" w:hAnsi="Arial" w:cs="Arial"/>
                                <w:b/>
                                <w:bCs/>
                                <w:color w:val="54C1AF" w:themeColor="accent5"/>
                                <w:sz w:val="40"/>
                                <w:szCs w:val="40"/>
                                <w:lang w:val="en-GB"/>
                              </w:rPr>
                            </w:pPr>
                            <w:r w:rsidRPr="00393950">
                              <w:rPr>
                                <w:rFonts w:ascii="Arial" w:hAnsi="Arial" w:cs="Arial"/>
                                <w:b/>
                                <w:bCs/>
                                <w:color w:val="54C1AF" w:themeColor="accent5"/>
                                <w:sz w:val="40"/>
                                <w:szCs w:val="40"/>
                                <w:lang w:val="en-GB"/>
                              </w:rPr>
                              <w:t xml:space="preserve">Acknowledgement </w:t>
                            </w:r>
                            <w:r w:rsidRPr="00393950">
                              <w:rPr>
                                <w:rFonts w:ascii="Arial" w:hAnsi="Arial" w:cs="Arial"/>
                                <w:b/>
                                <w:bCs/>
                                <w:color w:val="54C1AF" w:themeColor="accent5"/>
                                <w:sz w:val="40"/>
                                <w:szCs w:val="40"/>
                                <w:lang w:val="en-GB"/>
                              </w:rPr>
                              <w:br/>
                              <w:t>of Country</w:t>
                            </w:r>
                          </w:p>
                          <w:p w14:paraId="7B3E7429" w14:textId="77777777" w:rsidR="00FB2B15" w:rsidRPr="00986558" w:rsidRDefault="00FB2B15" w:rsidP="00986558">
                            <w:pPr>
                              <w:spacing w:line="288" w:lineRule="auto"/>
                              <w:rPr>
                                <w:rFonts w:ascii="Arial" w:hAnsi="Arial" w:cs="Arial"/>
                                <w:color w:val="FFFFFF" w:themeColor="background2"/>
                                <w:sz w:val="23"/>
                                <w:szCs w:val="23"/>
                                <w:lang w:val="en-GB"/>
                              </w:rPr>
                            </w:pPr>
                            <w:bookmarkStart w:id="0" w:name="_Hlk221196156"/>
                            <w:r w:rsidRPr="00986558">
                              <w:rPr>
                                <w:rFonts w:ascii="Arial" w:hAnsi="Arial" w:cs="Arial"/>
                                <w:color w:val="FFFFFF" w:themeColor="background2"/>
                                <w:sz w:val="23"/>
                                <w:szCs w:val="23"/>
                                <w:lang w:val="en-GB"/>
                              </w:rPr>
                              <w:t xml:space="preserve">We acknowledge the Traditional Owners </w:t>
                            </w:r>
                            <w:r w:rsidRPr="00986558">
                              <w:rPr>
                                <w:rFonts w:ascii="Arial" w:hAnsi="Arial" w:cs="Arial"/>
                                <w:color w:val="FFFFFF" w:themeColor="background2"/>
                                <w:sz w:val="23"/>
                                <w:szCs w:val="23"/>
                                <w:lang w:val="en-GB"/>
                              </w:rPr>
                              <w:br/>
                              <w:t xml:space="preserve">and Custodians of Country throughout </w:t>
                            </w:r>
                            <w:r w:rsidRPr="00986558">
                              <w:rPr>
                                <w:rFonts w:ascii="Arial" w:hAnsi="Arial" w:cs="Arial"/>
                                <w:color w:val="FFFFFF" w:themeColor="background2"/>
                                <w:sz w:val="23"/>
                                <w:szCs w:val="23"/>
                                <w:lang w:val="en-GB"/>
                              </w:rPr>
                              <w:br/>
                              <w:t xml:space="preserve">Australia, and recognise their continuing connection to land, sky, waters and culture. </w:t>
                            </w:r>
                            <w:r w:rsidRPr="00986558">
                              <w:rPr>
                                <w:rFonts w:ascii="Arial" w:hAnsi="Arial" w:cs="Arial"/>
                                <w:color w:val="FFFFFF" w:themeColor="background2"/>
                                <w:sz w:val="23"/>
                                <w:szCs w:val="23"/>
                                <w:lang w:val="en-GB"/>
                              </w:rPr>
                              <w:br/>
                              <w:t xml:space="preserve">We pay our respects to them, and to </w:t>
                            </w:r>
                            <w:r w:rsidRPr="00986558">
                              <w:rPr>
                                <w:rFonts w:ascii="Arial" w:hAnsi="Arial" w:cs="Arial"/>
                                <w:color w:val="FFFFFF" w:themeColor="background2"/>
                                <w:sz w:val="23"/>
                                <w:szCs w:val="23"/>
                                <w:lang w:val="en-GB"/>
                              </w:rPr>
                              <w:br/>
                              <w:t>Elders both past and present.</w:t>
                            </w:r>
                          </w:p>
                          <w:p w14:paraId="25FB4BF2" w14:textId="77777777" w:rsidR="00FB2B15" w:rsidRPr="0091332F" w:rsidRDefault="00FB2B15" w:rsidP="00FB2B15">
                            <w:pPr>
                              <w:rPr>
                                <w:color w:val="FFFFFF" w:themeColor="background2"/>
                                <w:lang w:val="en-GB"/>
                              </w:rPr>
                            </w:pPr>
                          </w:p>
                          <w:bookmarkEnd w:id="0"/>
                          <w:p w14:paraId="349D50EA" w14:textId="77777777" w:rsidR="00FB2B15" w:rsidRPr="0091332F" w:rsidRDefault="00FB2B15" w:rsidP="00FB2B15">
                            <w:pPr>
                              <w:rPr>
                                <w:color w:val="FFFFFF" w:themeColor="background2"/>
                                <w:sz w:val="16"/>
                                <w:szCs w:val="16"/>
                              </w:rPr>
                            </w:pPr>
                            <w:r w:rsidRPr="0091332F">
                              <w:rPr>
                                <w:color w:val="FFFFFF" w:themeColor="background2"/>
                                <w:sz w:val="16"/>
                                <w:szCs w:val="16"/>
                              </w:rPr>
                              <w:t xml:space="preserve">Artwork by </w:t>
                            </w:r>
                            <w:proofErr w:type="spellStart"/>
                            <w:r w:rsidRPr="0091332F">
                              <w:rPr>
                                <w:color w:val="FFFFFF" w:themeColor="background2"/>
                                <w:sz w:val="16"/>
                                <w:szCs w:val="16"/>
                              </w:rPr>
                              <w:t>Chern’ee</w:t>
                            </w:r>
                            <w:proofErr w:type="spellEnd"/>
                            <w:r w:rsidRPr="0091332F">
                              <w:rPr>
                                <w:color w:val="FFFFFF" w:themeColor="background2"/>
                                <w:sz w:val="16"/>
                                <w:szCs w:val="16"/>
                              </w:rPr>
                              <w:t xml:space="preserve"> Sutton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6682AF" id="_x0000_t202" coordsize="21600,21600" o:spt="202" path="m,l,21600r21600,l21600,xe">
                <v:stroke joinstyle="miter"/>
                <v:path gradientshapeok="t" o:connecttype="rect"/>
              </v:shapetype>
              <v:shape id="Text Box 2" o:spid="_x0000_s1026" type="#_x0000_t202" style="position:absolute;margin-left:321.95pt;margin-top:442.85pt;width:236.7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" filled="f" stroked="f">
                <v:textbox style="mso-fit-shape-to-text:t">
                  <w:txbxContent>
                    <w:p w14:paraId="7B90C0B9" w14:textId="77777777" w:rsidR="00FB2B15" w:rsidRPr="00393950" w:rsidRDefault="00FB2B15" w:rsidP="00FB2B15">
                      <w:pPr>
                        <w:spacing w:after="360" w:line="240" w:lineRule="auto"/>
                        <w:rPr>
                          <w:rFonts w:ascii="Arial" w:hAnsi="Arial" w:cs="Arial"/>
                          <w:b/>
                          <w:bCs/>
                          <w:color w:val="54C1AF" w:themeColor="accent5"/>
                          <w:sz w:val="40"/>
                          <w:szCs w:val="40"/>
                          <w:lang w:val="en-GB"/>
                        </w:rPr>
                      </w:pPr>
                      <w:r w:rsidRPr="00393950">
                        <w:rPr>
                          <w:rFonts w:ascii="Arial" w:hAnsi="Arial" w:cs="Arial"/>
                          <w:b/>
                          <w:bCs/>
                          <w:color w:val="54C1AF" w:themeColor="accent5"/>
                          <w:sz w:val="40"/>
                          <w:szCs w:val="40"/>
                          <w:lang w:val="en-GB"/>
                        </w:rPr>
                        <w:t xml:space="preserve">Acknowledgement </w:t>
                      </w:r>
                      <w:r w:rsidRPr="00393950">
                        <w:rPr>
                          <w:rFonts w:ascii="Arial" w:hAnsi="Arial" w:cs="Arial"/>
                          <w:b/>
                          <w:bCs/>
                          <w:color w:val="54C1AF" w:themeColor="accent5"/>
                          <w:sz w:val="40"/>
                          <w:szCs w:val="40"/>
                          <w:lang w:val="en-GB"/>
                        </w:rPr>
                        <w:br/>
                        <w:t>of Country</w:t>
                      </w:r>
                    </w:p>
                    <w:p w14:paraId="7B3E7429" w14:textId="77777777" w:rsidR="00FB2B15" w:rsidRPr="00986558" w:rsidRDefault="00FB2B15" w:rsidP="00986558">
                      <w:pPr>
                        <w:spacing w:line="288" w:lineRule="auto"/>
                        <w:rPr>
                          <w:rFonts w:ascii="Arial" w:hAnsi="Arial" w:cs="Arial"/>
                          <w:color w:val="FFFFFF" w:themeColor="background2"/>
                          <w:sz w:val="23"/>
                          <w:szCs w:val="23"/>
                          <w:lang w:val="en-GB"/>
                        </w:rPr>
                      </w:pPr>
                      <w:bookmarkStart w:id="1" w:name="_Hlk221196156"/>
                      <w:r w:rsidRPr="00986558">
                        <w:rPr>
                          <w:rFonts w:ascii="Arial" w:hAnsi="Arial" w:cs="Arial"/>
                          <w:color w:val="FFFFFF" w:themeColor="background2"/>
                          <w:sz w:val="23"/>
                          <w:szCs w:val="23"/>
                          <w:lang w:val="en-GB"/>
                        </w:rPr>
                        <w:t xml:space="preserve">We acknowledge the Traditional Owners </w:t>
                      </w:r>
                      <w:r w:rsidRPr="00986558">
                        <w:rPr>
                          <w:rFonts w:ascii="Arial" w:hAnsi="Arial" w:cs="Arial"/>
                          <w:color w:val="FFFFFF" w:themeColor="background2"/>
                          <w:sz w:val="23"/>
                          <w:szCs w:val="23"/>
                          <w:lang w:val="en-GB"/>
                        </w:rPr>
                        <w:br/>
                        <w:t xml:space="preserve">and Custodians of Country throughout </w:t>
                      </w:r>
                      <w:r w:rsidRPr="00986558">
                        <w:rPr>
                          <w:rFonts w:ascii="Arial" w:hAnsi="Arial" w:cs="Arial"/>
                          <w:color w:val="FFFFFF" w:themeColor="background2"/>
                          <w:sz w:val="23"/>
                          <w:szCs w:val="23"/>
                          <w:lang w:val="en-GB"/>
                        </w:rPr>
                        <w:br/>
                        <w:t xml:space="preserve">Australia, and recognise their continuing connection to land, sky, waters and culture. </w:t>
                      </w:r>
                      <w:r w:rsidRPr="00986558">
                        <w:rPr>
                          <w:rFonts w:ascii="Arial" w:hAnsi="Arial" w:cs="Arial"/>
                          <w:color w:val="FFFFFF" w:themeColor="background2"/>
                          <w:sz w:val="23"/>
                          <w:szCs w:val="23"/>
                          <w:lang w:val="en-GB"/>
                        </w:rPr>
                        <w:br/>
                        <w:t xml:space="preserve">We pay our respects to them, and to </w:t>
                      </w:r>
                      <w:r w:rsidRPr="00986558">
                        <w:rPr>
                          <w:rFonts w:ascii="Arial" w:hAnsi="Arial" w:cs="Arial"/>
                          <w:color w:val="FFFFFF" w:themeColor="background2"/>
                          <w:sz w:val="23"/>
                          <w:szCs w:val="23"/>
                          <w:lang w:val="en-GB"/>
                        </w:rPr>
                        <w:br/>
                        <w:t>Elders both past and present.</w:t>
                      </w:r>
                    </w:p>
                    <w:p w14:paraId="25FB4BF2" w14:textId="77777777" w:rsidR="00FB2B15" w:rsidRPr="0091332F" w:rsidRDefault="00FB2B15" w:rsidP="00FB2B15">
                      <w:pPr>
                        <w:rPr>
                          <w:color w:val="FFFFFF" w:themeColor="background2"/>
                          <w:lang w:val="en-GB"/>
                        </w:rPr>
                      </w:pPr>
                    </w:p>
                    <w:bookmarkEnd w:id="1"/>
                    <w:p w14:paraId="349D50EA" w14:textId="77777777" w:rsidR="00FB2B15" w:rsidRPr="0091332F" w:rsidRDefault="00FB2B15" w:rsidP="00FB2B15">
                      <w:pPr>
                        <w:rPr>
                          <w:color w:val="FFFFFF" w:themeColor="background2"/>
                          <w:sz w:val="16"/>
                          <w:szCs w:val="16"/>
                        </w:rPr>
                      </w:pPr>
                      <w:r w:rsidRPr="0091332F">
                        <w:rPr>
                          <w:color w:val="FFFFFF" w:themeColor="background2"/>
                          <w:sz w:val="16"/>
                          <w:szCs w:val="16"/>
                        </w:rPr>
                        <w:t xml:space="preserve">Artwork by </w:t>
                      </w:r>
                      <w:proofErr w:type="spellStart"/>
                      <w:r w:rsidRPr="0091332F">
                        <w:rPr>
                          <w:color w:val="FFFFFF" w:themeColor="background2"/>
                          <w:sz w:val="16"/>
                          <w:szCs w:val="16"/>
                        </w:rPr>
                        <w:t>Chern’ee</w:t>
                      </w:r>
                      <w:proofErr w:type="spellEnd"/>
                      <w:r w:rsidRPr="0091332F">
                        <w:rPr>
                          <w:color w:val="FFFFFF" w:themeColor="background2"/>
                          <w:sz w:val="16"/>
                          <w:szCs w:val="16"/>
                        </w:rPr>
                        <w:t xml:space="preserve"> Sutton</w:t>
                      </w:r>
                    </w:p>
                  </w:txbxContent>
                </v:textbox>
                <w10:wrap type="square" anchorx="page"/>
              </v:shape>
            </w:pict>
          </mc:Fallback>
        </mc:AlternateContent>
      </w:r>
    </w:p>
    <w:p w14:paraId="07487268" w14:textId="2A17BB31" w:rsidR="00F33F85" w:rsidRPr="00DC0FF8" w:rsidRDefault="00F33F85" w:rsidP="00DC0FF8">
      <w:pPr>
        <w:pStyle w:val="Copyrightheading"/>
      </w:pPr>
      <w:r w:rsidRPr="00DC0FF8">
        <w:lastRenderedPageBreak/>
        <w:t>IHACPA Work Program 202</w:t>
      </w:r>
      <w:r w:rsidR="00215C8E" w:rsidRPr="00DC0FF8">
        <w:t>6</w:t>
      </w:r>
      <w:r w:rsidRPr="00DC0FF8">
        <w:t>–2</w:t>
      </w:r>
      <w:r w:rsidR="00215C8E" w:rsidRPr="00DC0FF8">
        <w:t>7</w:t>
      </w:r>
      <w:r w:rsidR="007A7E3A" w:rsidRPr="00DC0FF8">
        <w:t xml:space="preserve"> –</w:t>
      </w:r>
      <w:r w:rsidR="008A3EC2" w:rsidRPr="00DC0FF8">
        <w:t xml:space="preserve"> For public consultation</w:t>
      </w:r>
      <w:r w:rsidR="007A7E3A" w:rsidRPr="00DC0FF8">
        <w:t xml:space="preserve"> </w:t>
      </w:r>
      <w:r w:rsidR="008A3EC2" w:rsidRPr="00DC0FF8">
        <w:t xml:space="preserve">March </w:t>
      </w:r>
      <w:r w:rsidR="0027123D" w:rsidRPr="00DC0FF8">
        <w:t>202</w:t>
      </w:r>
      <w:r w:rsidR="00215C8E" w:rsidRPr="00DC0FF8">
        <w:t>6</w:t>
      </w:r>
    </w:p>
    <w:p w14:paraId="0159A2A1" w14:textId="2599F209" w:rsidR="00F33F85" w:rsidRPr="00F373CC" w:rsidRDefault="00F33F85" w:rsidP="00F33F85">
      <w:pPr>
        <w:pStyle w:val="Copyrightcopy"/>
        <w:rPr>
          <w:rFonts w:cs="Arial"/>
        </w:rPr>
      </w:pPr>
      <w:r w:rsidRPr="00F373CC">
        <w:rPr>
          <w:rFonts w:cs="Arial"/>
        </w:rPr>
        <w:t>© Independent Health and Aged Care Pricing Authority 202</w:t>
      </w:r>
      <w:r w:rsidR="00B52CE3">
        <w:rPr>
          <w:rFonts w:cs="Arial"/>
        </w:rPr>
        <w:t>6</w:t>
      </w:r>
    </w:p>
    <w:p w14:paraId="66C0995B" w14:textId="229719F8" w:rsidR="00F33F85" w:rsidRPr="00F373CC" w:rsidRDefault="00F33F85" w:rsidP="00F33F85">
      <w:pPr>
        <w:pStyle w:val="Copyrightcopy"/>
        <w:rPr>
          <w:rFonts w:cs="Arial"/>
          <w:color w:val="auto"/>
        </w:rPr>
      </w:pPr>
      <w:r w:rsidRPr="00F373CC">
        <w:rPr>
          <w:rFonts w:cs="Arial"/>
          <w:color w:val="auto"/>
        </w:rPr>
        <w:t xml:space="preserve">This publication is available for your use under a </w:t>
      </w:r>
      <w:r w:rsidR="001B0791" w:rsidRPr="001B0791">
        <w:rPr>
          <w:rFonts w:cs="Arial"/>
        </w:rPr>
        <w:t xml:space="preserve">Creative Commons Attribution </w:t>
      </w:r>
      <w:r w:rsidR="001B0791">
        <w:rPr>
          <w:rFonts w:cs="Arial"/>
        </w:rPr>
        <w:t>4</w:t>
      </w:r>
      <w:r w:rsidR="001B0791" w:rsidRPr="001B0791">
        <w:rPr>
          <w:rFonts w:cs="Arial"/>
        </w:rPr>
        <w:t xml:space="preserve">.0 </w:t>
      </w:r>
      <w:r w:rsidR="001B0791">
        <w:rPr>
          <w:rFonts w:cs="Arial"/>
        </w:rPr>
        <w:t>International</w:t>
      </w:r>
      <w:r w:rsidR="001B0791" w:rsidRPr="001B0791">
        <w:rPr>
          <w:rFonts w:cs="Arial"/>
        </w:rPr>
        <w:t xml:space="preserve"> licence</w:t>
      </w:r>
      <w:r w:rsidRPr="00F373CC">
        <w:rPr>
          <w:rFonts w:cs="Arial"/>
          <w:color w:val="auto"/>
        </w:rPr>
        <w:t xml:space="preserve">, </w:t>
      </w:r>
      <w:proofErr w:type="gramStart"/>
      <w:r w:rsidRPr="00F373CC">
        <w:rPr>
          <w:rFonts w:cs="Arial"/>
          <w:color w:val="auto"/>
        </w:rPr>
        <w:t>with the exception of</w:t>
      </w:r>
      <w:proofErr w:type="gramEnd"/>
      <w:r w:rsidRPr="00F373CC">
        <w:rPr>
          <w:rFonts w:cs="Arial"/>
          <w:color w:val="auto"/>
        </w:rPr>
        <w:t xml:space="preserve"> the Independent Health and Aged Care Pricing Authority logo, photographs, images, signatures and where otherwise stated. The full licence terms are available from the Creative Commons website.</w:t>
      </w:r>
    </w:p>
    <w:p w14:paraId="05C831F9" w14:textId="77777777" w:rsidR="00F33F85" w:rsidRPr="00F373CC" w:rsidRDefault="00F33F85" w:rsidP="00F33F85">
      <w:pPr>
        <w:pStyle w:val="Copyrightcopy"/>
        <w:rPr>
          <w:rFonts w:cs="Arial"/>
        </w:rPr>
      </w:pPr>
      <w:r w:rsidRPr="00F373CC">
        <w:rPr>
          <w:rFonts w:cs="Arial"/>
          <w:noProof/>
        </w:rPr>
        <w:drawing>
          <wp:inline distT="0" distB="0" distL="0" distR="0" wp14:anchorId="12B2D622" wp14:editId="71CD86E7">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7">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F373CC">
        <w:rPr>
          <w:rFonts w:cs="Arial"/>
        </w:rPr>
        <w:t xml:space="preserve"> </w:t>
      </w:r>
    </w:p>
    <w:p w14:paraId="6C31CA56" w14:textId="582346CC" w:rsidR="00F33F85" w:rsidRPr="00F373CC" w:rsidRDefault="00F33F85" w:rsidP="00F33F85">
      <w:pPr>
        <w:pStyle w:val="Copyrightcopy"/>
        <w:rPr>
          <w:rFonts w:cs="Arial"/>
        </w:rPr>
      </w:pPr>
      <w:r w:rsidRPr="00F373CC">
        <w:rPr>
          <w:rFonts w:cs="Arial"/>
        </w:rPr>
        <w:t xml:space="preserve">Use of Independent Health and Aged Care Pricing Authority material under a Creative Commons Attribution </w:t>
      </w:r>
      <w:r w:rsidR="001B0791">
        <w:rPr>
          <w:rFonts w:cs="Arial"/>
        </w:rPr>
        <w:t>4</w:t>
      </w:r>
      <w:r w:rsidRPr="00F373CC">
        <w:rPr>
          <w:rFonts w:cs="Arial"/>
        </w:rPr>
        <w:t xml:space="preserve">.0 </w:t>
      </w:r>
      <w:r w:rsidR="001B0791">
        <w:rPr>
          <w:rFonts w:cs="Arial"/>
        </w:rPr>
        <w:t>International</w:t>
      </w:r>
      <w:r w:rsidR="001B0791" w:rsidRPr="00F373CC">
        <w:rPr>
          <w:rFonts w:cs="Arial"/>
        </w:rPr>
        <w:t xml:space="preserve"> </w:t>
      </w:r>
      <w:r w:rsidRPr="00F373CC">
        <w:rPr>
          <w:rFonts w:cs="Arial"/>
        </w:rPr>
        <w:t>licence requires you to attribute the work (but not in any way that suggests that the Independent Health and Aged Care Pricing Authority endorses you or your use of the work).</w:t>
      </w:r>
    </w:p>
    <w:p w14:paraId="4D2C3DE0" w14:textId="77777777" w:rsidR="00F33F85" w:rsidRPr="00F373CC" w:rsidRDefault="00F33F85" w:rsidP="00F33F85">
      <w:pPr>
        <w:pStyle w:val="Copyrightcopy"/>
        <w:rPr>
          <w:rFonts w:cs="Arial"/>
        </w:rPr>
      </w:pPr>
      <w:r w:rsidRPr="00F373CC">
        <w:rPr>
          <w:rFonts w:cs="Arial"/>
        </w:rPr>
        <w:t>Independent Health and Aged Care Pricing Authority material used ‘as supplied’.</w:t>
      </w:r>
    </w:p>
    <w:p w14:paraId="354EA54C" w14:textId="77777777" w:rsidR="00F33F85" w:rsidRPr="00F373CC" w:rsidRDefault="00F33F85" w:rsidP="00F33F85">
      <w:pPr>
        <w:pStyle w:val="Copyrightcopy"/>
        <w:rPr>
          <w:rFonts w:cs="Arial"/>
        </w:rPr>
      </w:pPr>
      <w:r w:rsidRPr="00F373CC">
        <w:rPr>
          <w:rFonts w:cs="Arial"/>
        </w:rPr>
        <w:t>Provided you have not modified or transformed Independent Health and Aged Care Pricing Authority material in any way including, for example, by changing Independent Health and Aged Care Pricing Authority text – then the Independent Health and Aged Care Pricing Authority prefers the following attribution:</w:t>
      </w:r>
    </w:p>
    <w:p w14:paraId="2528362B" w14:textId="77777777" w:rsidR="00F33F85" w:rsidRPr="00F373CC" w:rsidRDefault="00F33F85" w:rsidP="00F33F85">
      <w:pPr>
        <w:pStyle w:val="Copyrightcopy"/>
        <w:rPr>
          <w:rFonts w:cs="Arial"/>
        </w:rPr>
        <w:sectPr w:rsidR="00F33F85" w:rsidRPr="00F373CC" w:rsidSect="00276510">
          <w:headerReference w:type="even" r:id="rId18"/>
          <w:headerReference w:type="default" r:id="rId19"/>
          <w:footerReference w:type="default" r:id="rId20"/>
          <w:headerReference w:type="first" r:id="rId21"/>
          <w:pgSz w:w="11906" w:h="16838" w:code="9"/>
          <w:pgMar w:top="7371" w:right="1077" w:bottom="1440" w:left="1077" w:header="709" w:footer="709" w:gutter="0"/>
          <w:cols w:space="720"/>
          <w:docGrid w:linePitch="360"/>
        </w:sectPr>
      </w:pPr>
      <w:r w:rsidRPr="00F373CC">
        <w:rPr>
          <w:rFonts w:cs="Arial"/>
        </w:rPr>
        <w:t>Source: The Independent Health and Aged Care Pricing Authority</w:t>
      </w:r>
    </w:p>
    <w:bookmarkStart w:id="2" w:name="_Toc223594813" w:displacedByCustomXml="next"/>
    <w:bookmarkStart w:id="3" w:name="_Toc118461801" w:displacedByCustomXml="next"/>
    <w:bookmarkStart w:id="4" w:name="_Toc118126568" w:displacedByCustomXml="next"/>
    <w:bookmarkStart w:id="5" w:name="_Toc117616830" w:displacedByCustomXml="next"/>
    <w:bookmarkStart w:id="6" w:name="_Toc93327255" w:displacedByCustomXml="next"/>
    <w:bookmarkStart w:id="7" w:name="_Toc117538690" w:displacedByCustomXml="next"/>
    <w:bookmarkStart w:id="8" w:name="_Toc120738858" w:displacedByCustomXml="next"/>
    <w:bookmarkStart w:id="9" w:name="_Toc120883045" w:displacedByCustomXml="next"/>
    <w:bookmarkStart w:id="10" w:name="_Toc133416929" w:displacedByCustomXml="next"/>
    <w:sdt>
      <w:sdtPr>
        <w:rPr>
          <w:rFonts w:asciiTheme="minorHAnsi" w:hAnsiTheme="minorHAnsi" w:cstheme="minorBidi"/>
          <w:bCs w:val="0"/>
          <w:sz w:val="22"/>
          <w:szCs w:val="22"/>
        </w:rPr>
        <w:id w:val="1596509323"/>
        <w:docPartObj>
          <w:docPartGallery w:val="Table of Contents"/>
          <w:docPartUnique/>
        </w:docPartObj>
      </w:sdtPr>
      <w:sdtEndPr>
        <w:rPr>
          <w:rFonts w:ascii="Arial Bold" w:hAnsi="Arial Bold"/>
        </w:rPr>
      </w:sdtEndPr>
      <w:sdtContent>
        <w:bookmarkStart w:id="11" w:name="_Toc93327581" w:displacedByCustomXml="prev"/>
        <w:p w14:paraId="70C6EBEB" w14:textId="6275E4B8" w:rsidR="00AD75B9" w:rsidRPr="00D05BDE" w:rsidRDefault="008D5984" w:rsidP="00D05BDE">
          <w:pPr>
            <w:pStyle w:val="TOCHeading"/>
          </w:pPr>
          <w:r w:rsidRPr="00D05BDE">
            <w:t xml:space="preserve">Table of </w:t>
          </w:r>
          <w:bookmarkEnd w:id="9"/>
          <w:bookmarkEnd w:id="8"/>
          <w:bookmarkEnd w:id="7"/>
          <w:bookmarkEnd w:id="6"/>
          <w:bookmarkEnd w:id="5"/>
          <w:bookmarkEnd w:id="4"/>
          <w:bookmarkEnd w:id="3"/>
          <w:bookmarkEnd w:id="11"/>
          <w:r w:rsidR="00101AB8" w:rsidRPr="00D05BDE">
            <w:t>Contents</w:t>
          </w:r>
          <w:bookmarkEnd w:id="10"/>
          <w:bookmarkEnd w:id="2"/>
        </w:p>
        <w:p w14:paraId="09204DD5" w14:textId="4DCFA0DD" w:rsidR="00EC2127" w:rsidRDefault="004763FD">
          <w:pPr>
            <w:pStyle w:val="TOC1"/>
            <w:tabs>
              <w:tab w:val="right" w:leader="dot" w:pos="10082"/>
            </w:tabs>
            <w:rPr>
              <w:rFonts w:asciiTheme="minorHAnsi" w:eastAsiaTheme="minorEastAsia" w:hAnsiTheme="minorHAnsi"/>
              <w:b w:val="0"/>
              <w:noProof/>
              <w:kern w:val="2"/>
              <w:sz w:val="24"/>
              <w:szCs w:val="24"/>
              <w:lang w:eastAsia="en-AU"/>
              <w14:ligatures w14:val="standardContextual"/>
            </w:rPr>
          </w:pPr>
          <w:r w:rsidRPr="00B20540">
            <w:rPr>
              <w:rFonts w:asciiTheme="minorHAnsi" w:hAnsiTheme="minorHAnsi"/>
              <w:b w:val="0"/>
              <w:color w:val="15272F" w:themeColor="text1"/>
              <w:sz w:val="21"/>
              <w:szCs w:val="21"/>
            </w:rPr>
            <w:fldChar w:fldCharType="begin"/>
          </w:r>
          <w:r w:rsidRPr="00B20540">
            <w:rPr>
              <w:rFonts w:asciiTheme="minorHAnsi" w:hAnsiTheme="minorHAnsi"/>
              <w:b w:val="0"/>
              <w:color w:val="15272F" w:themeColor="text1"/>
              <w:sz w:val="21"/>
              <w:szCs w:val="21"/>
            </w:rPr>
            <w:instrText xml:space="preserve"> TOC \o "1-1" \h \z \t "Heading 2,2,H2,2" </w:instrText>
          </w:r>
          <w:r w:rsidRPr="00B20540">
            <w:rPr>
              <w:rFonts w:asciiTheme="minorHAnsi" w:hAnsiTheme="minorHAnsi"/>
              <w:b w:val="0"/>
              <w:color w:val="15272F" w:themeColor="text1"/>
              <w:sz w:val="21"/>
              <w:szCs w:val="21"/>
            </w:rPr>
            <w:fldChar w:fldCharType="separate"/>
          </w:r>
          <w:hyperlink w:anchor="_Toc223594813" w:history="1">
            <w:r w:rsidR="00EC2127" w:rsidRPr="000D4D6A">
              <w:rPr>
                <w:rStyle w:val="Hyperlink"/>
                <w:noProof/>
              </w:rPr>
              <w:t>Table of Contents</w:t>
            </w:r>
            <w:r w:rsidR="00EC2127">
              <w:rPr>
                <w:noProof/>
                <w:webHidden/>
              </w:rPr>
              <w:tab/>
            </w:r>
            <w:r w:rsidR="00EC2127">
              <w:rPr>
                <w:noProof/>
                <w:webHidden/>
              </w:rPr>
              <w:fldChar w:fldCharType="begin"/>
            </w:r>
            <w:r w:rsidR="00EC2127">
              <w:rPr>
                <w:noProof/>
                <w:webHidden/>
              </w:rPr>
              <w:instrText xml:space="preserve"> PAGEREF _Toc223594813 \h </w:instrText>
            </w:r>
            <w:r w:rsidR="00EC2127">
              <w:rPr>
                <w:noProof/>
                <w:webHidden/>
              </w:rPr>
            </w:r>
            <w:r w:rsidR="00EC2127">
              <w:rPr>
                <w:noProof/>
                <w:webHidden/>
              </w:rPr>
              <w:fldChar w:fldCharType="separate"/>
            </w:r>
            <w:r w:rsidR="00EC2127">
              <w:rPr>
                <w:noProof/>
                <w:webHidden/>
              </w:rPr>
              <w:t>4</w:t>
            </w:r>
            <w:r w:rsidR="00EC2127">
              <w:rPr>
                <w:noProof/>
                <w:webHidden/>
              </w:rPr>
              <w:fldChar w:fldCharType="end"/>
            </w:r>
          </w:hyperlink>
        </w:p>
        <w:p w14:paraId="3756AB43" w14:textId="0FE447DA" w:rsidR="00EC2127" w:rsidRDefault="00EC2127">
          <w:pPr>
            <w:pStyle w:val="TOC1"/>
            <w:tabs>
              <w:tab w:val="right" w:leader="dot" w:pos="10082"/>
            </w:tabs>
            <w:rPr>
              <w:rFonts w:asciiTheme="minorHAnsi" w:eastAsiaTheme="minorEastAsia" w:hAnsiTheme="minorHAnsi"/>
              <w:b w:val="0"/>
              <w:noProof/>
              <w:kern w:val="2"/>
              <w:sz w:val="24"/>
              <w:szCs w:val="24"/>
              <w:lang w:eastAsia="en-AU"/>
              <w14:ligatures w14:val="standardContextual"/>
            </w:rPr>
          </w:pPr>
          <w:hyperlink w:anchor="_Toc223594814" w:history="1">
            <w:r w:rsidRPr="000D4D6A">
              <w:rPr>
                <w:rStyle w:val="Hyperlink"/>
                <w:noProof/>
              </w:rPr>
              <w:t>Abbreviations and acronyms</w:t>
            </w:r>
            <w:r>
              <w:rPr>
                <w:noProof/>
                <w:webHidden/>
              </w:rPr>
              <w:tab/>
            </w:r>
            <w:r>
              <w:rPr>
                <w:noProof/>
                <w:webHidden/>
              </w:rPr>
              <w:fldChar w:fldCharType="begin"/>
            </w:r>
            <w:r>
              <w:rPr>
                <w:noProof/>
                <w:webHidden/>
              </w:rPr>
              <w:instrText xml:space="preserve"> PAGEREF _Toc223594814 \h </w:instrText>
            </w:r>
            <w:r>
              <w:rPr>
                <w:noProof/>
                <w:webHidden/>
              </w:rPr>
            </w:r>
            <w:r>
              <w:rPr>
                <w:noProof/>
                <w:webHidden/>
              </w:rPr>
              <w:fldChar w:fldCharType="separate"/>
            </w:r>
            <w:r>
              <w:rPr>
                <w:noProof/>
                <w:webHidden/>
              </w:rPr>
              <w:t>5</w:t>
            </w:r>
            <w:r>
              <w:rPr>
                <w:noProof/>
                <w:webHidden/>
              </w:rPr>
              <w:fldChar w:fldCharType="end"/>
            </w:r>
          </w:hyperlink>
        </w:p>
        <w:p w14:paraId="12F4FCBD" w14:textId="312E4950" w:rsidR="00EC2127" w:rsidRDefault="00EC2127">
          <w:pPr>
            <w:pStyle w:val="TOC1"/>
            <w:tabs>
              <w:tab w:val="left" w:pos="720"/>
              <w:tab w:val="right" w:leader="dot" w:pos="10082"/>
            </w:tabs>
            <w:rPr>
              <w:rFonts w:asciiTheme="minorHAnsi" w:eastAsiaTheme="minorEastAsia" w:hAnsiTheme="minorHAnsi"/>
              <w:b w:val="0"/>
              <w:noProof/>
              <w:kern w:val="2"/>
              <w:sz w:val="24"/>
              <w:szCs w:val="24"/>
              <w:lang w:eastAsia="en-AU"/>
              <w14:ligatures w14:val="standardContextual"/>
            </w:rPr>
          </w:pPr>
          <w:hyperlink w:anchor="_Toc223594815" w:history="1">
            <w:r w:rsidRPr="000D4D6A">
              <w:rPr>
                <w:rStyle w:val="Hyperlink"/>
                <w:noProof/>
              </w:rPr>
              <w:t>1.</w:t>
            </w:r>
            <w:r>
              <w:rPr>
                <w:rFonts w:asciiTheme="minorHAnsi" w:eastAsiaTheme="minorEastAsia" w:hAnsiTheme="minorHAnsi"/>
                <w:b w:val="0"/>
                <w:noProof/>
                <w:kern w:val="2"/>
                <w:sz w:val="24"/>
                <w:szCs w:val="24"/>
                <w:lang w:eastAsia="en-AU"/>
                <w14:ligatures w14:val="standardContextual"/>
              </w:rPr>
              <w:tab/>
            </w:r>
            <w:r w:rsidRPr="000D4D6A">
              <w:rPr>
                <w:rStyle w:val="Hyperlink"/>
                <w:noProof/>
              </w:rPr>
              <w:t>Introduction</w:t>
            </w:r>
            <w:r>
              <w:rPr>
                <w:noProof/>
                <w:webHidden/>
              </w:rPr>
              <w:tab/>
            </w:r>
            <w:r>
              <w:rPr>
                <w:noProof/>
                <w:webHidden/>
              </w:rPr>
              <w:fldChar w:fldCharType="begin"/>
            </w:r>
            <w:r>
              <w:rPr>
                <w:noProof/>
                <w:webHidden/>
              </w:rPr>
              <w:instrText xml:space="preserve"> PAGEREF _Toc223594815 \h </w:instrText>
            </w:r>
            <w:r>
              <w:rPr>
                <w:noProof/>
                <w:webHidden/>
              </w:rPr>
            </w:r>
            <w:r>
              <w:rPr>
                <w:noProof/>
                <w:webHidden/>
              </w:rPr>
              <w:fldChar w:fldCharType="separate"/>
            </w:r>
            <w:r>
              <w:rPr>
                <w:noProof/>
                <w:webHidden/>
              </w:rPr>
              <w:t>6</w:t>
            </w:r>
            <w:r>
              <w:rPr>
                <w:noProof/>
                <w:webHidden/>
              </w:rPr>
              <w:fldChar w:fldCharType="end"/>
            </w:r>
          </w:hyperlink>
        </w:p>
        <w:p w14:paraId="5B909881" w14:textId="63B3F8E6"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16" w:history="1">
            <w:r w:rsidRPr="000D4D6A">
              <w:rPr>
                <w:rStyle w:val="Hyperlink"/>
              </w:rPr>
              <w:t>1.1</w:t>
            </w:r>
            <w:r>
              <w:rPr>
                <w:rFonts w:asciiTheme="minorHAnsi" w:eastAsiaTheme="minorEastAsia" w:hAnsiTheme="minorHAnsi" w:cstheme="minorBidi"/>
                <w:kern w:val="2"/>
                <w:sz w:val="24"/>
                <w:szCs w:val="24"/>
                <w:lang w:eastAsia="en-AU"/>
                <w14:ligatures w14:val="standardContextual"/>
              </w:rPr>
              <w:tab/>
            </w:r>
            <w:r w:rsidRPr="000D4D6A">
              <w:rPr>
                <w:rStyle w:val="Hyperlink"/>
              </w:rPr>
              <w:t>Purpose</w:t>
            </w:r>
            <w:r>
              <w:rPr>
                <w:webHidden/>
              </w:rPr>
              <w:tab/>
            </w:r>
            <w:r>
              <w:rPr>
                <w:webHidden/>
              </w:rPr>
              <w:fldChar w:fldCharType="begin"/>
            </w:r>
            <w:r>
              <w:rPr>
                <w:webHidden/>
              </w:rPr>
              <w:instrText xml:space="preserve"> PAGEREF _Toc223594816 \h </w:instrText>
            </w:r>
            <w:r>
              <w:rPr>
                <w:webHidden/>
              </w:rPr>
            </w:r>
            <w:r>
              <w:rPr>
                <w:webHidden/>
              </w:rPr>
              <w:fldChar w:fldCharType="separate"/>
            </w:r>
            <w:r>
              <w:rPr>
                <w:webHidden/>
              </w:rPr>
              <w:t>6</w:t>
            </w:r>
            <w:r>
              <w:rPr>
                <w:webHidden/>
              </w:rPr>
              <w:fldChar w:fldCharType="end"/>
            </w:r>
          </w:hyperlink>
        </w:p>
        <w:p w14:paraId="55376F65" w14:textId="31394809" w:rsidR="00EC2127" w:rsidRDefault="00EC2127">
          <w:pPr>
            <w:pStyle w:val="TOC1"/>
            <w:tabs>
              <w:tab w:val="left" w:pos="720"/>
              <w:tab w:val="right" w:leader="dot" w:pos="10082"/>
            </w:tabs>
            <w:rPr>
              <w:rFonts w:asciiTheme="minorHAnsi" w:eastAsiaTheme="minorEastAsia" w:hAnsiTheme="minorHAnsi"/>
              <w:b w:val="0"/>
              <w:noProof/>
              <w:kern w:val="2"/>
              <w:sz w:val="24"/>
              <w:szCs w:val="24"/>
              <w:lang w:eastAsia="en-AU"/>
              <w14:ligatures w14:val="standardContextual"/>
            </w:rPr>
          </w:pPr>
          <w:hyperlink w:anchor="_Toc223594817" w:history="1">
            <w:r w:rsidRPr="000D4D6A">
              <w:rPr>
                <w:rStyle w:val="Hyperlink"/>
                <w:noProof/>
              </w:rPr>
              <w:t>2.</w:t>
            </w:r>
            <w:r>
              <w:rPr>
                <w:rFonts w:asciiTheme="minorHAnsi" w:eastAsiaTheme="minorEastAsia" w:hAnsiTheme="minorHAnsi"/>
                <w:b w:val="0"/>
                <w:noProof/>
                <w:kern w:val="2"/>
                <w:sz w:val="24"/>
                <w:szCs w:val="24"/>
                <w:lang w:eastAsia="en-AU"/>
                <w14:ligatures w14:val="standardContextual"/>
              </w:rPr>
              <w:tab/>
            </w:r>
            <w:r w:rsidRPr="000D4D6A">
              <w:rPr>
                <w:rStyle w:val="Hyperlink"/>
                <w:noProof/>
              </w:rPr>
              <w:t>Key activities – Public hospitals</w:t>
            </w:r>
            <w:r>
              <w:rPr>
                <w:noProof/>
                <w:webHidden/>
              </w:rPr>
              <w:tab/>
            </w:r>
            <w:r>
              <w:rPr>
                <w:noProof/>
                <w:webHidden/>
              </w:rPr>
              <w:fldChar w:fldCharType="begin"/>
            </w:r>
            <w:r>
              <w:rPr>
                <w:noProof/>
                <w:webHidden/>
              </w:rPr>
              <w:instrText xml:space="preserve"> PAGEREF _Toc223594817 \h </w:instrText>
            </w:r>
            <w:r>
              <w:rPr>
                <w:noProof/>
                <w:webHidden/>
              </w:rPr>
            </w:r>
            <w:r>
              <w:rPr>
                <w:noProof/>
                <w:webHidden/>
              </w:rPr>
              <w:fldChar w:fldCharType="separate"/>
            </w:r>
            <w:r>
              <w:rPr>
                <w:noProof/>
                <w:webHidden/>
              </w:rPr>
              <w:t>8</w:t>
            </w:r>
            <w:r>
              <w:rPr>
                <w:noProof/>
                <w:webHidden/>
              </w:rPr>
              <w:fldChar w:fldCharType="end"/>
            </w:r>
          </w:hyperlink>
        </w:p>
        <w:p w14:paraId="4AB94A0F" w14:textId="30972DBF"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18" w:history="1">
            <w:r w:rsidRPr="000D4D6A">
              <w:rPr>
                <w:rStyle w:val="Hyperlink"/>
              </w:rPr>
              <w:t>2.1</w:t>
            </w:r>
            <w:r>
              <w:rPr>
                <w:rFonts w:asciiTheme="minorHAnsi" w:eastAsiaTheme="minorEastAsia" w:hAnsiTheme="minorHAnsi" w:cstheme="minorBidi"/>
                <w:kern w:val="2"/>
                <w:sz w:val="24"/>
                <w:szCs w:val="24"/>
                <w:lang w:eastAsia="en-AU"/>
                <w14:ligatures w14:val="standardContextual"/>
              </w:rPr>
              <w:tab/>
            </w:r>
            <w:r w:rsidRPr="000D4D6A">
              <w:rPr>
                <w:rStyle w:val="Hyperlink"/>
              </w:rPr>
              <w:t>Pricing for Australian public hospital services</w:t>
            </w:r>
            <w:r>
              <w:rPr>
                <w:webHidden/>
              </w:rPr>
              <w:tab/>
            </w:r>
            <w:r>
              <w:rPr>
                <w:webHidden/>
              </w:rPr>
              <w:fldChar w:fldCharType="begin"/>
            </w:r>
            <w:r>
              <w:rPr>
                <w:webHidden/>
              </w:rPr>
              <w:instrText xml:space="preserve"> PAGEREF _Toc223594818 \h </w:instrText>
            </w:r>
            <w:r>
              <w:rPr>
                <w:webHidden/>
              </w:rPr>
            </w:r>
            <w:r>
              <w:rPr>
                <w:webHidden/>
              </w:rPr>
              <w:fldChar w:fldCharType="separate"/>
            </w:r>
            <w:r>
              <w:rPr>
                <w:webHidden/>
              </w:rPr>
              <w:t>8</w:t>
            </w:r>
            <w:r>
              <w:rPr>
                <w:webHidden/>
              </w:rPr>
              <w:fldChar w:fldCharType="end"/>
            </w:r>
          </w:hyperlink>
        </w:p>
        <w:p w14:paraId="415B0F85" w14:textId="733678B6"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19" w:history="1">
            <w:r w:rsidRPr="000D4D6A">
              <w:rPr>
                <w:rStyle w:val="Hyperlink"/>
              </w:rPr>
              <w:t>2.2</w:t>
            </w:r>
            <w:r>
              <w:rPr>
                <w:rFonts w:asciiTheme="minorHAnsi" w:eastAsiaTheme="minorEastAsia" w:hAnsiTheme="minorHAnsi" w:cstheme="minorBidi"/>
                <w:kern w:val="2"/>
                <w:sz w:val="24"/>
                <w:szCs w:val="24"/>
                <w:lang w:eastAsia="en-AU"/>
                <w14:ligatures w14:val="standardContextual"/>
              </w:rPr>
              <w:tab/>
            </w:r>
            <w:r w:rsidRPr="000D4D6A">
              <w:rPr>
                <w:rStyle w:val="Hyperlink"/>
              </w:rPr>
              <w:t>Data and information requirements</w:t>
            </w:r>
            <w:r>
              <w:rPr>
                <w:webHidden/>
              </w:rPr>
              <w:tab/>
            </w:r>
            <w:r>
              <w:rPr>
                <w:webHidden/>
              </w:rPr>
              <w:fldChar w:fldCharType="begin"/>
            </w:r>
            <w:r>
              <w:rPr>
                <w:webHidden/>
              </w:rPr>
              <w:instrText xml:space="preserve"> PAGEREF _Toc223594819 \h </w:instrText>
            </w:r>
            <w:r>
              <w:rPr>
                <w:webHidden/>
              </w:rPr>
            </w:r>
            <w:r>
              <w:rPr>
                <w:webHidden/>
              </w:rPr>
              <w:fldChar w:fldCharType="separate"/>
            </w:r>
            <w:r>
              <w:rPr>
                <w:webHidden/>
              </w:rPr>
              <w:t>12</w:t>
            </w:r>
            <w:r>
              <w:rPr>
                <w:webHidden/>
              </w:rPr>
              <w:fldChar w:fldCharType="end"/>
            </w:r>
          </w:hyperlink>
        </w:p>
        <w:p w14:paraId="5D6F34A3" w14:textId="24AC21DF"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20" w:history="1">
            <w:r w:rsidRPr="000D4D6A">
              <w:rPr>
                <w:rStyle w:val="Hyperlink"/>
              </w:rPr>
              <w:t>2.3</w:t>
            </w:r>
            <w:r>
              <w:rPr>
                <w:rFonts w:asciiTheme="minorHAnsi" w:eastAsiaTheme="minorEastAsia" w:hAnsiTheme="minorHAnsi" w:cstheme="minorBidi"/>
                <w:kern w:val="2"/>
                <w:sz w:val="24"/>
                <w:szCs w:val="24"/>
                <w:lang w:eastAsia="en-AU"/>
                <w14:ligatures w14:val="standardContextual"/>
              </w:rPr>
              <w:tab/>
            </w:r>
            <w:r w:rsidRPr="000D4D6A">
              <w:rPr>
                <w:rStyle w:val="Hyperlink"/>
              </w:rPr>
              <w:t>Classifications</w:t>
            </w:r>
            <w:r>
              <w:rPr>
                <w:webHidden/>
              </w:rPr>
              <w:tab/>
            </w:r>
            <w:r>
              <w:rPr>
                <w:webHidden/>
              </w:rPr>
              <w:fldChar w:fldCharType="begin"/>
            </w:r>
            <w:r>
              <w:rPr>
                <w:webHidden/>
              </w:rPr>
              <w:instrText xml:space="preserve"> PAGEREF _Toc223594820 \h </w:instrText>
            </w:r>
            <w:r>
              <w:rPr>
                <w:webHidden/>
              </w:rPr>
            </w:r>
            <w:r>
              <w:rPr>
                <w:webHidden/>
              </w:rPr>
              <w:fldChar w:fldCharType="separate"/>
            </w:r>
            <w:r>
              <w:rPr>
                <w:webHidden/>
              </w:rPr>
              <w:t>15</w:t>
            </w:r>
            <w:r>
              <w:rPr>
                <w:webHidden/>
              </w:rPr>
              <w:fldChar w:fldCharType="end"/>
            </w:r>
          </w:hyperlink>
        </w:p>
        <w:p w14:paraId="0E432A75" w14:textId="51FCBA66"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21" w:history="1">
            <w:r w:rsidRPr="000D4D6A">
              <w:rPr>
                <w:rStyle w:val="Hyperlink"/>
              </w:rPr>
              <w:t>2.4</w:t>
            </w:r>
            <w:r>
              <w:rPr>
                <w:rFonts w:asciiTheme="minorHAnsi" w:eastAsiaTheme="minorEastAsia" w:hAnsiTheme="minorHAnsi" w:cstheme="minorBidi"/>
                <w:kern w:val="2"/>
                <w:sz w:val="24"/>
                <w:szCs w:val="24"/>
                <w:lang w:eastAsia="en-AU"/>
                <w14:ligatures w14:val="standardContextual"/>
              </w:rPr>
              <w:tab/>
            </w:r>
            <w:r w:rsidRPr="000D4D6A">
              <w:rPr>
                <w:rStyle w:val="Hyperlink"/>
              </w:rPr>
              <w:t>Decision making and engagement</w:t>
            </w:r>
            <w:r>
              <w:rPr>
                <w:webHidden/>
              </w:rPr>
              <w:tab/>
            </w:r>
            <w:r>
              <w:rPr>
                <w:webHidden/>
              </w:rPr>
              <w:fldChar w:fldCharType="begin"/>
            </w:r>
            <w:r>
              <w:rPr>
                <w:webHidden/>
              </w:rPr>
              <w:instrText xml:space="preserve"> PAGEREF _Toc223594821 \h </w:instrText>
            </w:r>
            <w:r>
              <w:rPr>
                <w:webHidden/>
              </w:rPr>
            </w:r>
            <w:r>
              <w:rPr>
                <w:webHidden/>
              </w:rPr>
              <w:fldChar w:fldCharType="separate"/>
            </w:r>
            <w:r>
              <w:rPr>
                <w:webHidden/>
              </w:rPr>
              <w:t>18</w:t>
            </w:r>
            <w:r>
              <w:rPr>
                <w:webHidden/>
              </w:rPr>
              <w:fldChar w:fldCharType="end"/>
            </w:r>
          </w:hyperlink>
        </w:p>
        <w:p w14:paraId="41C08ACB" w14:textId="5F9D5F8C" w:rsidR="00EC2127" w:rsidRDefault="00EC2127">
          <w:pPr>
            <w:pStyle w:val="TOC1"/>
            <w:tabs>
              <w:tab w:val="left" w:pos="720"/>
              <w:tab w:val="right" w:leader="dot" w:pos="10082"/>
            </w:tabs>
            <w:rPr>
              <w:rFonts w:asciiTheme="minorHAnsi" w:eastAsiaTheme="minorEastAsia" w:hAnsiTheme="minorHAnsi"/>
              <w:b w:val="0"/>
              <w:noProof/>
              <w:kern w:val="2"/>
              <w:sz w:val="24"/>
              <w:szCs w:val="24"/>
              <w:lang w:eastAsia="en-AU"/>
              <w14:ligatures w14:val="standardContextual"/>
            </w:rPr>
          </w:pPr>
          <w:hyperlink w:anchor="_Toc223594822" w:history="1">
            <w:r w:rsidRPr="000D4D6A">
              <w:rPr>
                <w:rStyle w:val="Hyperlink"/>
                <w:noProof/>
              </w:rPr>
              <w:t>3.</w:t>
            </w:r>
            <w:r>
              <w:rPr>
                <w:rFonts w:asciiTheme="minorHAnsi" w:eastAsiaTheme="minorEastAsia" w:hAnsiTheme="minorHAnsi"/>
                <w:b w:val="0"/>
                <w:noProof/>
                <w:kern w:val="2"/>
                <w:sz w:val="24"/>
                <w:szCs w:val="24"/>
                <w:lang w:eastAsia="en-AU"/>
                <w14:ligatures w14:val="standardContextual"/>
              </w:rPr>
              <w:tab/>
            </w:r>
            <w:r w:rsidRPr="000D4D6A">
              <w:rPr>
                <w:rStyle w:val="Hyperlink"/>
                <w:noProof/>
              </w:rPr>
              <w:t>Key activities – Aged care</w:t>
            </w:r>
            <w:r>
              <w:rPr>
                <w:noProof/>
                <w:webHidden/>
              </w:rPr>
              <w:tab/>
            </w:r>
            <w:r>
              <w:rPr>
                <w:noProof/>
                <w:webHidden/>
              </w:rPr>
              <w:fldChar w:fldCharType="begin"/>
            </w:r>
            <w:r>
              <w:rPr>
                <w:noProof/>
                <w:webHidden/>
              </w:rPr>
              <w:instrText xml:space="preserve"> PAGEREF _Toc223594822 \h </w:instrText>
            </w:r>
            <w:r>
              <w:rPr>
                <w:noProof/>
                <w:webHidden/>
              </w:rPr>
            </w:r>
            <w:r>
              <w:rPr>
                <w:noProof/>
                <w:webHidden/>
              </w:rPr>
              <w:fldChar w:fldCharType="separate"/>
            </w:r>
            <w:r>
              <w:rPr>
                <w:noProof/>
                <w:webHidden/>
              </w:rPr>
              <w:t>21</w:t>
            </w:r>
            <w:r>
              <w:rPr>
                <w:noProof/>
                <w:webHidden/>
              </w:rPr>
              <w:fldChar w:fldCharType="end"/>
            </w:r>
          </w:hyperlink>
        </w:p>
        <w:p w14:paraId="129961BE" w14:textId="2084E9B7"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23" w:history="1">
            <w:r w:rsidRPr="000D4D6A">
              <w:rPr>
                <w:rStyle w:val="Hyperlink"/>
              </w:rPr>
              <w:t>3.1</w:t>
            </w:r>
            <w:r>
              <w:rPr>
                <w:rFonts w:asciiTheme="minorHAnsi" w:eastAsiaTheme="minorEastAsia" w:hAnsiTheme="minorHAnsi" w:cstheme="minorBidi"/>
                <w:kern w:val="2"/>
                <w:sz w:val="24"/>
                <w:szCs w:val="24"/>
                <w:lang w:eastAsia="en-AU"/>
                <w14:ligatures w14:val="standardContextual"/>
              </w:rPr>
              <w:tab/>
            </w:r>
            <w:r w:rsidRPr="000D4D6A">
              <w:rPr>
                <w:rStyle w:val="Hyperlink"/>
              </w:rPr>
              <w:t>Pricing for Australian aged care services</w:t>
            </w:r>
            <w:r>
              <w:rPr>
                <w:webHidden/>
              </w:rPr>
              <w:tab/>
            </w:r>
            <w:r>
              <w:rPr>
                <w:webHidden/>
              </w:rPr>
              <w:fldChar w:fldCharType="begin"/>
            </w:r>
            <w:r>
              <w:rPr>
                <w:webHidden/>
              </w:rPr>
              <w:instrText xml:space="preserve"> PAGEREF _Toc223594823 \h </w:instrText>
            </w:r>
            <w:r>
              <w:rPr>
                <w:webHidden/>
              </w:rPr>
            </w:r>
            <w:r>
              <w:rPr>
                <w:webHidden/>
              </w:rPr>
              <w:fldChar w:fldCharType="separate"/>
            </w:r>
            <w:r>
              <w:rPr>
                <w:webHidden/>
              </w:rPr>
              <w:t>21</w:t>
            </w:r>
            <w:r>
              <w:rPr>
                <w:webHidden/>
              </w:rPr>
              <w:fldChar w:fldCharType="end"/>
            </w:r>
          </w:hyperlink>
        </w:p>
        <w:p w14:paraId="21478141" w14:textId="70EC0C90"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24" w:history="1">
            <w:r w:rsidRPr="000D4D6A">
              <w:rPr>
                <w:rStyle w:val="Hyperlink"/>
              </w:rPr>
              <w:t>3.2</w:t>
            </w:r>
            <w:r>
              <w:rPr>
                <w:rFonts w:asciiTheme="minorHAnsi" w:eastAsiaTheme="minorEastAsia" w:hAnsiTheme="minorHAnsi" w:cstheme="minorBidi"/>
                <w:kern w:val="2"/>
                <w:sz w:val="24"/>
                <w:szCs w:val="24"/>
                <w:lang w:eastAsia="en-AU"/>
                <w14:ligatures w14:val="standardContextual"/>
              </w:rPr>
              <w:tab/>
            </w:r>
            <w:r w:rsidRPr="000D4D6A">
              <w:rPr>
                <w:rStyle w:val="Hyperlink"/>
              </w:rPr>
              <w:t>Data and information requirements</w:t>
            </w:r>
            <w:r>
              <w:rPr>
                <w:webHidden/>
              </w:rPr>
              <w:tab/>
            </w:r>
            <w:r>
              <w:rPr>
                <w:webHidden/>
              </w:rPr>
              <w:fldChar w:fldCharType="begin"/>
            </w:r>
            <w:r>
              <w:rPr>
                <w:webHidden/>
              </w:rPr>
              <w:instrText xml:space="preserve"> PAGEREF _Toc223594824 \h </w:instrText>
            </w:r>
            <w:r>
              <w:rPr>
                <w:webHidden/>
              </w:rPr>
            </w:r>
            <w:r>
              <w:rPr>
                <w:webHidden/>
              </w:rPr>
              <w:fldChar w:fldCharType="separate"/>
            </w:r>
            <w:r>
              <w:rPr>
                <w:webHidden/>
              </w:rPr>
              <w:t>24</w:t>
            </w:r>
            <w:r>
              <w:rPr>
                <w:webHidden/>
              </w:rPr>
              <w:fldChar w:fldCharType="end"/>
            </w:r>
          </w:hyperlink>
        </w:p>
        <w:p w14:paraId="4F365C2D" w14:textId="7B0207E3"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25" w:history="1">
            <w:r w:rsidRPr="000D4D6A">
              <w:rPr>
                <w:rStyle w:val="Hyperlink"/>
              </w:rPr>
              <w:t>3.3</w:t>
            </w:r>
            <w:r>
              <w:rPr>
                <w:rFonts w:asciiTheme="minorHAnsi" w:eastAsiaTheme="minorEastAsia" w:hAnsiTheme="minorHAnsi" w:cstheme="minorBidi"/>
                <w:kern w:val="2"/>
                <w:sz w:val="24"/>
                <w:szCs w:val="24"/>
                <w:lang w:eastAsia="en-AU"/>
                <w14:ligatures w14:val="standardContextual"/>
              </w:rPr>
              <w:tab/>
            </w:r>
            <w:r w:rsidRPr="000D4D6A">
              <w:rPr>
                <w:rStyle w:val="Hyperlink"/>
              </w:rPr>
              <w:t>Decision making and engagement</w:t>
            </w:r>
            <w:r>
              <w:rPr>
                <w:webHidden/>
              </w:rPr>
              <w:tab/>
            </w:r>
            <w:r>
              <w:rPr>
                <w:webHidden/>
              </w:rPr>
              <w:fldChar w:fldCharType="begin"/>
            </w:r>
            <w:r>
              <w:rPr>
                <w:webHidden/>
              </w:rPr>
              <w:instrText xml:space="preserve"> PAGEREF _Toc223594825 \h </w:instrText>
            </w:r>
            <w:r>
              <w:rPr>
                <w:webHidden/>
              </w:rPr>
            </w:r>
            <w:r>
              <w:rPr>
                <w:webHidden/>
              </w:rPr>
              <w:fldChar w:fldCharType="separate"/>
            </w:r>
            <w:r>
              <w:rPr>
                <w:webHidden/>
              </w:rPr>
              <w:t>26</w:t>
            </w:r>
            <w:r>
              <w:rPr>
                <w:webHidden/>
              </w:rPr>
              <w:fldChar w:fldCharType="end"/>
            </w:r>
          </w:hyperlink>
        </w:p>
        <w:p w14:paraId="737B01B6" w14:textId="40A9DAE8" w:rsidR="00EC2127" w:rsidRDefault="00EC2127">
          <w:pPr>
            <w:pStyle w:val="TOC1"/>
            <w:tabs>
              <w:tab w:val="left" w:pos="720"/>
              <w:tab w:val="right" w:leader="dot" w:pos="10082"/>
            </w:tabs>
            <w:rPr>
              <w:rFonts w:asciiTheme="minorHAnsi" w:eastAsiaTheme="minorEastAsia" w:hAnsiTheme="minorHAnsi"/>
              <w:b w:val="0"/>
              <w:noProof/>
              <w:kern w:val="2"/>
              <w:sz w:val="24"/>
              <w:szCs w:val="24"/>
              <w:lang w:eastAsia="en-AU"/>
              <w14:ligatures w14:val="standardContextual"/>
            </w:rPr>
          </w:pPr>
          <w:hyperlink w:anchor="_Toc223594826" w:history="1">
            <w:r w:rsidRPr="000D4D6A">
              <w:rPr>
                <w:rStyle w:val="Hyperlink"/>
                <w:noProof/>
              </w:rPr>
              <w:t>4.</w:t>
            </w:r>
            <w:r>
              <w:rPr>
                <w:rFonts w:asciiTheme="minorHAnsi" w:eastAsiaTheme="minorEastAsia" w:hAnsiTheme="minorHAnsi"/>
                <w:b w:val="0"/>
                <w:noProof/>
                <w:kern w:val="2"/>
                <w:sz w:val="24"/>
                <w:szCs w:val="24"/>
                <w:lang w:eastAsia="en-AU"/>
                <w14:ligatures w14:val="standardContextual"/>
              </w:rPr>
              <w:tab/>
            </w:r>
            <w:r w:rsidRPr="000D4D6A">
              <w:rPr>
                <w:rStyle w:val="Hyperlink"/>
                <w:noProof/>
              </w:rPr>
              <w:t>Key activities – Other healthcare pricing and costing</w:t>
            </w:r>
            <w:r>
              <w:rPr>
                <w:noProof/>
                <w:webHidden/>
              </w:rPr>
              <w:tab/>
            </w:r>
            <w:r>
              <w:rPr>
                <w:noProof/>
                <w:webHidden/>
              </w:rPr>
              <w:fldChar w:fldCharType="begin"/>
            </w:r>
            <w:r>
              <w:rPr>
                <w:noProof/>
                <w:webHidden/>
              </w:rPr>
              <w:instrText xml:space="preserve"> PAGEREF _Toc223594826 \h </w:instrText>
            </w:r>
            <w:r>
              <w:rPr>
                <w:noProof/>
                <w:webHidden/>
              </w:rPr>
            </w:r>
            <w:r>
              <w:rPr>
                <w:noProof/>
                <w:webHidden/>
              </w:rPr>
              <w:fldChar w:fldCharType="separate"/>
            </w:r>
            <w:r>
              <w:rPr>
                <w:noProof/>
                <w:webHidden/>
              </w:rPr>
              <w:t>27</w:t>
            </w:r>
            <w:r>
              <w:rPr>
                <w:noProof/>
                <w:webHidden/>
              </w:rPr>
              <w:fldChar w:fldCharType="end"/>
            </w:r>
          </w:hyperlink>
        </w:p>
        <w:p w14:paraId="50FD9B60" w14:textId="602E0F44"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27" w:history="1">
            <w:r w:rsidRPr="000D4D6A">
              <w:rPr>
                <w:rStyle w:val="Hyperlink"/>
              </w:rPr>
              <w:t>4.1</w:t>
            </w:r>
            <w:r>
              <w:rPr>
                <w:rFonts w:asciiTheme="minorHAnsi" w:eastAsiaTheme="minorEastAsia" w:hAnsiTheme="minorHAnsi" w:cstheme="minorBidi"/>
                <w:kern w:val="2"/>
                <w:sz w:val="24"/>
                <w:szCs w:val="24"/>
                <w:lang w:eastAsia="en-AU"/>
                <w14:ligatures w14:val="standardContextual"/>
              </w:rPr>
              <w:tab/>
            </w:r>
            <w:r w:rsidRPr="000D4D6A">
              <w:rPr>
                <w:rStyle w:val="Hyperlink"/>
              </w:rPr>
              <w:t xml:space="preserve">Deliverables under section 131(1A) of the </w:t>
            </w:r>
            <w:r w:rsidRPr="000D4D6A">
              <w:rPr>
                <w:rStyle w:val="Hyperlink"/>
                <w:i/>
                <w:iCs/>
              </w:rPr>
              <w:t>National Health Reform Act 2011</w:t>
            </w:r>
            <w:r>
              <w:rPr>
                <w:webHidden/>
              </w:rPr>
              <w:tab/>
            </w:r>
            <w:r>
              <w:rPr>
                <w:webHidden/>
              </w:rPr>
              <w:fldChar w:fldCharType="begin"/>
            </w:r>
            <w:r>
              <w:rPr>
                <w:webHidden/>
              </w:rPr>
              <w:instrText xml:space="preserve"> PAGEREF _Toc223594827 \h </w:instrText>
            </w:r>
            <w:r>
              <w:rPr>
                <w:webHidden/>
              </w:rPr>
            </w:r>
            <w:r>
              <w:rPr>
                <w:webHidden/>
              </w:rPr>
              <w:fldChar w:fldCharType="separate"/>
            </w:r>
            <w:r>
              <w:rPr>
                <w:webHidden/>
              </w:rPr>
              <w:t>27</w:t>
            </w:r>
            <w:r>
              <w:rPr>
                <w:webHidden/>
              </w:rPr>
              <w:fldChar w:fldCharType="end"/>
            </w:r>
          </w:hyperlink>
        </w:p>
        <w:p w14:paraId="2C3EA03F" w14:textId="161ED951" w:rsidR="00EC2127" w:rsidRDefault="00EC2127">
          <w:pPr>
            <w:pStyle w:val="TOC1"/>
            <w:tabs>
              <w:tab w:val="left" w:pos="720"/>
              <w:tab w:val="right" w:leader="dot" w:pos="10082"/>
            </w:tabs>
            <w:rPr>
              <w:rFonts w:asciiTheme="minorHAnsi" w:eastAsiaTheme="minorEastAsia" w:hAnsiTheme="minorHAnsi"/>
              <w:b w:val="0"/>
              <w:noProof/>
              <w:kern w:val="2"/>
              <w:sz w:val="24"/>
              <w:szCs w:val="24"/>
              <w:lang w:eastAsia="en-AU"/>
              <w14:ligatures w14:val="standardContextual"/>
            </w:rPr>
          </w:pPr>
          <w:hyperlink w:anchor="_Toc223594828" w:history="1">
            <w:r w:rsidRPr="000D4D6A">
              <w:rPr>
                <w:rStyle w:val="Hyperlink"/>
                <w:noProof/>
              </w:rPr>
              <w:t>5.</w:t>
            </w:r>
            <w:r>
              <w:rPr>
                <w:rFonts w:asciiTheme="minorHAnsi" w:eastAsiaTheme="minorEastAsia" w:hAnsiTheme="minorHAnsi"/>
                <w:b w:val="0"/>
                <w:noProof/>
                <w:kern w:val="2"/>
                <w:sz w:val="24"/>
                <w:szCs w:val="24"/>
                <w:lang w:eastAsia="en-AU"/>
                <w14:ligatures w14:val="standardContextual"/>
              </w:rPr>
              <w:tab/>
            </w:r>
            <w:r w:rsidRPr="000D4D6A">
              <w:rPr>
                <w:rStyle w:val="Hyperlink"/>
                <w:noProof/>
              </w:rPr>
              <w:t>Key activities – Agency</w:t>
            </w:r>
            <w:r>
              <w:rPr>
                <w:noProof/>
                <w:webHidden/>
              </w:rPr>
              <w:tab/>
            </w:r>
            <w:r>
              <w:rPr>
                <w:noProof/>
                <w:webHidden/>
              </w:rPr>
              <w:fldChar w:fldCharType="begin"/>
            </w:r>
            <w:r>
              <w:rPr>
                <w:noProof/>
                <w:webHidden/>
              </w:rPr>
              <w:instrText xml:space="preserve"> PAGEREF _Toc223594828 \h </w:instrText>
            </w:r>
            <w:r>
              <w:rPr>
                <w:noProof/>
                <w:webHidden/>
              </w:rPr>
            </w:r>
            <w:r>
              <w:rPr>
                <w:noProof/>
                <w:webHidden/>
              </w:rPr>
              <w:fldChar w:fldCharType="separate"/>
            </w:r>
            <w:r>
              <w:rPr>
                <w:noProof/>
                <w:webHidden/>
              </w:rPr>
              <w:t>29</w:t>
            </w:r>
            <w:r>
              <w:rPr>
                <w:noProof/>
                <w:webHidden/>
              </w:rPr>
              <w:fldChar w:fldCharType="end"/>
            </w:r>
          </w:hyperlink>
        </w:p>
        <w:p w14:paraId="799659B7" w14:textId="2D723995"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29" w:history="1">
            <w:r w:rsidRPr="000D4D6A">
              <w:rPr>
                <w:rStyle w:val="Hyperlink"/>
              </w:rPr>
              <w:t>5.1</w:t>
            </w:r>
            <w:r>
              <w:rPr>
                <w:rFonts w:asciiTheme="minorHAnsi" w:eastAsiaTheme="minorEastAsia" w:hAnsiTheme="minorHAnsi" w:cstheme="minorBidi"/>
                <w:kern w:val="2"/>
                <w:sz w:val="24"/>
                <w:szCs w:val="24"/>
                <w:lang w:eastAsia="en-AU"/>
                <w14:ligatures w14:val="standardContextual"/>
              </w:rPr>
              <w:tab/>
            </w:r>
            <w:r w:rsidRPr="000D4D6A">
              <w:rPr>
                <w:rStyle w:val="Hyperlink"/>
              </w:rPr>
              <w:t>Data and information requirements</w:t>
            </w:r>
            <w:r>
              <w:rPr>
                <w:webHidden/>
              </w:rPr>
              <w:tab/>
            </w:r>
            <w:r>
              <w:rPr>
                <w:webHidden/>
              </w:rPr>
              <w:fldChar w:fldCharType="begin"/>
            </w:r>
            <w:r>
              <w:rPr>
                <w:webHidden/>
              </w:rPr>
              <w:instrText xml:space="preserve"> PAGEREF _Toc223594829 \h </w:instrText>
            </w:r>
            <w:r>
              <w:rPr>
                <w:webHidden/>
              </w:rPr>
            </w:r>
            <w:r>
              <w:rPr>
                <w:webHidden/>
              </w:rPr>
              <w:fldChar w:fldCharType="separate"/>
            </w:r>
            <w:r>
              <w:rPr>
                <w:webHidden/>
              </w:rPr>
              <w:t>29</w:t>
            </w:r>
            <w:r>
              <w:rPr>
                <w:webHidden/>
              </w:rPr>
              <w:fldChar w:fldCharType="end"/>
            </w:r>
          </w:hyperlink>
        </w:p>
        <w:p w14:paraId="17FCB09A" w14:textId="3A1A6DE1" w:rsidR="00EC2127" w:rsidRDefault="00EC2127">
          <w:pPr>
            <w:pStyle w:val="TOC2"/>
            <w:tabs>
              <w:tab w:val="left" w:pos="960"/>
              <w:tab w:val="right" w:leader="dot" w:pos="10082"/>
            </w:tabs>
            <w:rPr>
              <w:rFonts w:asciiTheme="minorHAnsi" w:eastAsiaTheme="minorEastAsia" w:hAnsiTheme="minorHAnsi" w:cstheme="minorBidi"/>
              <w:kern w:val="2"/>
              <w:sz w:val="24"/>
              <w:szCs w:val="24"/>
              <w:lang w:eastAsia="en-AU"/>
              <w14:ligatures w14:val="standardContextual"/>
            </w:rPr>
          </w:pPr>
          <w:hyperlink w:anchor="_Toc223594830" w:history="1">
            <w:r w:rsidRPr="000D4D6A">
              <w:rPr>
                <w:rStyle w:val="Hyperlink"/>
              </w:rPr>
              <w:t>5.2</w:t>
            </w:r>
            <w:r>
              <w:rPr>
                <w:rFonts w:asciiTheme="minorHAnsi" w:eastAsiaTheme="minorEastAsia" w:hAnsiTheme="minorHAnsi" w:cstheme="minorBidi"/>
                <w:kern w:val="2"/>
                <w:sz w:val="24"/>
                <w:szCs w:val="24"/>
                <w:lang w:eastAsia="en-AU"/>
                <w14:ligatures w14:val="standardContextual"/>
              </w:rPr>
              <w:tab/>
            </w:r>
            <w:r w:rsidRPr="000D4D6A">
              <w:rPr>
                <w:rStyle w:val="Hyperlink"/>
              </w:rPr>
              <w:t>Stakeholder engagement</w:t>
            </w:r>
            <w:r>
              <w:rPr>
                <w:webHidden/>
              </w:rPr>
              <w:tab/>
            </w:r>
            <w:r>
              <w:rPr>
                <w:webHidden/>
              </w:rPr>
              <w:fldChar w:fldCharType="begin"/>
            </w:r>
            <w:r>
              <w:rPr>
                <w:webHidden/>
              </w:rPr>
              <w:instrText xml:space="preserve"> PAGEREF _Toc223594830 \h </w:instrText>
            </w:r>
            <w:r>
              <w:rPr>
                <w:webHidden/>
              </w:rPr>
            </w:r>
            <w:r>
              <w:rPr>
                <w:webHidden/>
              </w:rPr>
              <w:fldChar w:fldCharType="separate"/>
            </w:r>
            <w:r>
              <w:rPr>
                <w:webHidden/>
              </w:rPr>
              <w:t>30</w:t>
            </w:r>
            <w:r>
              <w:rPr>
                <w:webHidden/>
              </w:rPr>
              <w:fldChar w:fldCharType="end"/>
            </w:r>
          </w:hyperlink>
        </w:p>
        <w:p w14:paraId="1A559381" w14:textId="540FC5CE" w:rsidR="00AD75B9" w:rsidRPr="00B20540" w:rsidRDefault="004763FD" w:rsidP="00F33F85">
          <w:pPr>
            <w:pStyle w:val="TOC1"/>
            <w:tabs>
              <w:tab w:val="right" w:pos="9072"/>
            </w:tabs>
            <w:ind w:left="142"/>
            <w:rPr>
              <w:b w:val="0"/>
            </w:rPr>
          </w:pPr>
          <w:r w:rsidRPr="00B20540">
            <w:rPr>
              <w:rFonts w:asciiTheme="minorHAnsi" w:hAnsiTheme="minorHAnsi"/>
              <w:b w:val="0"/>
              <w:color w:val="15272F" w:themeColor="text1"/>
              <w:sz w:val="21"/>
              <w:szCs w:val="21"/>
            </w:rPr>
            <w:fldChar w:fldCharType="end"/>
          </w:r>
        </w:p>
      </w:sdtContent>
    </w:sdt>
    <w:p w14:paraId="6F9649D4" w14:textId="77777777" w:rsidR="00655E09" w:rsidRDefault="00655E09">
      <w:pPr>
        <w:rPr>
          <w:rFonts w:asciiTheme="majorHAnsi" w:hAnsiTheme="majorHAnsi" w:cs="Arial"/>
          <w:sz w:val="56"/>
          <w:szCs w:val="56"/>
        </w:rPr>
      </w:pPr>
      <w:bookmarkStart w:id="12" w:name="_Toc55044570"/>
      <w:r>
        <w:rPr>
          <w:sz w:val="56"/>
          <w:szCs w:val="56"/>
        </w:rPr>
        <w:br w:type="page"/>
      </w:r>
    </w:p>
    <w:p w14:paraId="1DCEDD38" w14:textId="3C3C47AB" w:rsidR="009F09C6" w:rsidRPr="00AC04B2" w:rsidRDefault="00631851" w:rsidP="00D05BDE">
      <w:pPr>
        <w:pStyle w:val="TOCHeading"/>
      </w:pPr>
      <w:bookmarkStart w:id="13" w:name="_Toc223594814"/>
      <w:r w:rsidRPr="00AC04B2">
        <w:lastRenderedPageBreak/>
        <w:t>Abbreviations and</w:t>
      </w:r>
      <w:r w:rsidR="00BE509C" w:rsidRPr="00AC04B2">
        <w:t> </w:t>
      </w:r>
      <w:r w:rsidRPr="00AC04B2">
        <w:t>acronyms</w:t>
      </w:r>
      <w:bookmarkEnd w:id="12"/>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388"/>
      </w:tblGrid>
      <w:tr w:rsidR="00FF0E74" w:rsidRPr="00F373CC" w14:paraId="69D9AB09" w14:textId="77777777" w:rsidTr="00FF0E74">
        <w:tc>
          <w:tcPr>
            <w:tcW w:w="2694" w:type="dxa"/>
          </w:tcPr>
          <w:p w14:paraId="0753F5B5" w14:textId="4046A2FF" w:rsidR="00FF0E74" w:rsidRPr="00F00D91" w:rsidRDefault="00FF0E74" w:rsidP="000F3E16">
            <w:pPr>
              <w:spacing w:after="140"/>
              <w:rPr>
                <w:rFonts w:ascii="Arial" w:hAnsi="Arial" w:cs="Arial"/>
                <w:sz w:val="20"/>
                <w:szCs w:val="20"/>
              </w:rPr>
            </w:pPr>
            <w:r w:rsidRPr="00F00D91">
              <w:rPr>
                <w:rFonts w:ascii="Arial" w:hAnsi="Arial" w:cs="Arial"/>
                <w:b/>
                <w:sz w:val="20"/>
                <w:szCs w:val="20"/>
              </w:rPr>
              <w:t>ABF</w:t>
            </w:r>
          </w:p>
        </w:tc>
        <w:tc>
          <w:tcPr>
            <w:tcW w:w="7388" w:type="dxa"/>
          </w:tcPr>
          <w:p w14:paraId="3B05D56E" w14:textId="475AB9C7" w:rsidR="00FF0E74" w:rsidRPr="00F00D91" w:rsidRDefault="00FF0E74" w:rsidP="000F3E16">
            <w:pPr>
              <w:spacing w:after="140"/>
              <w:rPr>
                <w:rFonts w:ascii="Arial" w:hAnsi="Arial" w:cs="Arial"/>
                <w:sz w:val="20"/>
                <w:szCs w:val="20"/>
              </w:rPr>
            </w:pPr>
            <w:r w:rsidRPr="00F00D91">
              <w:rPr>
                <w:rFonts w:ascii="Arial" w:hAnsi="Arial" w:cs="Arial"/>
                <w:sz w:val="20"/>
                <w:szCs w:val="20"/>
              </w:rPr>
              <w:t>Activity based funding</w:t>
            </w:r>
          </w:p>
        </w:tc>
      </w:tr>
      <w:tr w:rsidR="00FF0E74" w:rsidRPr="00F373CC" w14:paraId="3F67C5C5" w14:textId="77777777" w:rsidTr="00FF0E74">
        <w:tc>
          <w:tcPr>
            <w:tcW w:w="2694" w:type="dxa"/>
          </w:tcPr>
          <w:p w14:paraId="5E835C72" w14:textId="58A8BD60" w:rsidR="00FF0E74" w:rsidRPr="00F00D91" w:rsidRDefault="00FF0E74" w:rsidP="000F3E16">
            <w:pPr>
              <w:spacing w:after="140"/>
              <w:rPr>
                <w:rFonts w:ascii="Arial" w:hAnsi="Arial" w:cs="Arial"/>
                <w:sz w:val="20"/>
                <w:szCs w:val="20"/>
              </w:rPr>
            </w:pPr>
            <w:r w:rsidRPr="00F00D91">
              <w:rPr>
                <w:rFonts w:ascii="Arial" w:hAnsi="Arial" w:cs="Arial"/>
                <w:b/>
                <w:sz w:val="20"/>
                <w:szCs w:val="20"/>
              </w:rPr>
              <w:t>ACHI</w:t>
            </w:r>
          </w:p>
        </w:tc>
        <w:tc>
          <w:tcPr>
            <w:tcW w:w="7388" w:type="dxa"/>
          </w:tcPr>
          <w:p w14:paraId="707E7BFE" w14:textId="66F0BB5E" w:rsidR="00FF0E74" w:rsidRPr="00F00D91" w:rsidRDefault="00FF0E74" w:rsidP="000F3E16">
            <w:pPr>
              <w:spacing w:after="140"/>
              <w:rPr>
                <w:rFonts w:ascii="Arial" w:hAnsi="Arial" w:cs="Arial"/>
                <w:sz w:val="20"/>
                <w:szCs w:val="20"/>
              </w:rPr>
            </w:pPr>
            <w:r w:rsidRPr="00F00D91">
              <w:rPr>
                <w:rFonts w:ascii="Arial" w:hAnsi="Arial" w:cs="Arial"/>
                <w:sz w:val="20"/>
                <w:szCs w:val="20"/>
              </w:rPr>
              <w:t>Australian Classification of Health Interventions</w:t>
            </w:r>
          </w:p>
        </w:tc>
      </w:tr>
      <w:tr w:rsidR="00FF0E74" w:rsidRPr="00F373CC" w14:paraId="2DAA03E8" w14:textId="77777777" w:rsidTr="00FF0E74">
        <w:tc>
          <w:tcPr>
            <w:tcW w:w="2694" w:type="dxa"/>
          </w:tcPr>
          <w:p w14:paraId="0B1AF235" w14:textId="3D2E8F14" w:rsidR="00FF0E74" w:rsidRPr="00F00D91" w:rsidRDefault="00FF0E74" w:rsidP="000F3E16">
            <w:pPr>
              <w:spacing w:after="140"/>
              <w:rPr>
                <w:rFonts w:ascii="Arial" w:hAnsi="Arial" w:cs="Arial"/>
                <w:sz w:val="20"/>
                <w:szCs w:val="20"/>
              </w:rPr>
            </w:pPr>
            <w:r w:rsidRPr="00F00D91">
              <w:rPr>
                <w:rFonts w:ascii="Arial" w:hAnsi="Arial" w:cs="Arial"/>
                <w:b/>
                <w:sz w:val="20"/>
                <w:szCs w:val="20"/>
              </w:rPr>
              <w:t>ACS</w:t>
            </w:r>
          </w:p>
        </w:tc>
        <w:tc>
          <w:tcPr>
            <w:tcW w:w="7388" w:type="dxa"/>
          </w:tcPr>
          <w:p w14:paraId="23CA945A" w14:textId="4545976F" w:rsidR="00FF0E74" w:rsidRPr="00F00D91" w:rsidRDefault="00FF0E74" w:rsidP="000F3E16">
            <w:pPr>
              <w:spacing w:after="140"/>
              <w:rPr>
                <w:rFonts w:ascii="Arial" w:hAnsi="Arial" w:cs="Arial"/>
                <w:sz w:val="20"/>
                <w:szCs w:val="20"/>
              </w:rPr>
            </w:pPr>
            <w:r w:rsidRPr="00F00D91">
              <w:rPr>
                <w:rFonts w:ascii="Arial" w:hAnsi="Arial" w:cs="Arial"/>
                <w:sz w:val="20"/>
                <w:szCs w:val="20"/>
              </w:rPr>
              <w:t>Australian Coding Standards</w:t>
            </w:r>
          </w:p>
        </w:tc>
      </w:tr>
      <w:tr w:rsidR="00FF0E74" w:rsidRPr="00F373CC" w14:paraId="061F2B1F" w14:textId="77777777" w:rsidTr="00FF0E74">
        <w:tc>
          <w:tcPr>
            <w:tcW w:w="2694" w:type="dxa"/>
          </w:tcPr>
          <w:p w14:paraId="6E64B27F" w14:textId="4C83A0EA" w:rsidR="00FF0E74" w:rsidRPr="00F00D91" w:rsidRDefault="00FF0E74" w:rsidP="000F3E16">
            <w:pPr>
              <w:spacing w:after="140"/>
              <w:rPr>
                <w:rFonts w:ascii="Arial" w:hAnsi="Arial" w:cs="Arial"/>
                <w:sz w:val="20"/>
                <w:szCs w:val="20"/>
              </w:rPr>
            </w:pPr>
            <w:r w:rsidRPr="00F00D91">
              <w:rPr>
                <w:rFonts w:ascii="Arial" w:hAnsi="Arial" w:cs="Arial"/>
                <w:b/>
                <w:sz w:val="20"/>
                <w:szCs w:val="20"/>
              </w:rPr>
              <w:t>AECC</w:t>
            </w:r>
          </w:p>
        </w:tc>
        <w:tc>
          <w:tcPr>
            <w:tcW w:w="7388" w:type="dxa"/>
          </w:tcPr>
          <w:p w14:paraId="28209C76" w14:textId="333A1E4D" w:rsidR="00FF0E74" w:rsidRPr="00F00D91" w:rsidRDefault="00FF0E74" w:rsidP="000F3E16">
            <w:pPr>
              <w:spacing w:after="140"/>
              <w:rPr>
                <w:rFonts w:ascii="Arial" w:hAnsi="Arial" w:cs="Arial"/>
                <w:sz w:val="20"/>
                <w:szCs w:val="20"/>
              </w:rPr>
            </w:pPr>
            <w:r w:rsidRPr="00F00D91">
              <w:rPr>
                <w:rFonts w:ascii="Arial" w:hAnsi="Arial" w:cs="Arial"/>
                <w:sz w:val="20"/>
                <w:szCs w:val="20"/>
              </w:rPr>
              <w:t>Australian Emergency Care Classification</w:t>
            </w:r>
          </w:p>
        </w:tc>
      </w:tr>
      <w:tr w:rsidR="00FF0E74" w:rsidRPr="00F373CC" w14:paraId="1CFD9142" w14:textId="77777777" w:rsidTr="00FF0E74">
        <w:tc>
          <w:tcPr>
            <w:tcW w:w="2694" w:type="dxa"/>
          </w:tcPr>
          <w:p w14:paraId="74C5E5FA" w14:textId="26795254" w:rsidR="00FF0E74" w:rsidRPr="00F00D91" w:rsidRDefault="00FF0E74" w:rsidP="000F3E16">
            <w:pPr>
              <w:spacing w:after="140"/>
              <w:rPr>
                <w:rFonts w:ascii="Arial" w:hAnsi="Arial" w:cs="Arial"/>
                <w:sz w:val="20"/>
                <w:szCs w:val="20"/>
              </w:rPr>
            </w:pPr>
            <w:r w:rsidRPr="00F00D91">
              <w:rPr>
                <w:rFonts w:ascii="Arial" w:hAnsi="Arial" w:cs="Arial"/>
                <w:b/>
                <w:sz w:val="20"/>
                <w:szCs w:val="20"/>
              </w:rPr>
              <w:t>AHPCS</w:t>
            </w:r>
          </w:p>
        </w:tc>
        <w:tc>
          <w:tcPr>
            <w:tcW w:w="7388" w:type="dxa"/>
          </w:tcPr>
          <w:p w14:paraId="67149DFB" w14:textId="0C1B1282" w:rsidR="00FF0E74" w:rsidRPr="00F00D91" w:rsidRDefault="00FF0E74" w:rsidP="000F3E16">
            <w:pPr>
              <w:spacing w:after="140"/>
              <w:rPr>
                <w:rFonts w:ascii="Arial" w:hAnsi="Arial" w:cs="Arial"/>
                <w:sz w:val="20"/>
                <w:szCs w:val="20"/>
              </w:rPr>
            </w:pPr>
            <w:r w:rsidRPr="00F00D91">
              <w:rPr>
                <w:rFonts w:ascii="Arial" w:hAnsi="Arial" w:cs="Arial"/>
                <w:sz w:val="20"/>
                <w:szCs w:val="20"/>
              </w:rPr>
              <w:t>Australian Hospital Patient Costing Standards</w:t>
            </w:r>
          </w:p>
        </w:tc>
      </w:tr>
      <w:tr w:rsidR="00FF0E74" w:rsidRPr="00F373CC" w14:paraId="36A77A5B" w14:textId="77777777" w:rsidTr="00FF0E74">
        <w:tc>
          <w:tcPr>
            <w:tcW w:w="2694" w:type="dxa"/>
          </w:tcPr>
          <w:p w14:paraId="46BA5A1B" w14:textId="6FAE01CB" w:rsidR="00FF0E74" w:rsidRPr="00F00D91" w:rsidRDefault="00FF0E74" w:rsidP="000F3E16">
            <w:pPr>
              <w:spacing w:after="140"/>
              <w:rPr>
                <w:rFonts w:ascii="Arial" w:hAnsi="Arial" w:cs="Arial"/>
                <w:sz w:val="20"/>
                <w:szCs w:val="20"/>
              </w:rPr>
            </w:pPr>
            <w:r w:rsidRPr="00F00D91">
              <w:rPr>
                <w:rFonts w:ascii="Arial" w:hAnsi="Arial" w:cs="Arial"/>
                <w:b/>
                <w:sz w:val="20"/>
                <w:szCs w:val="20"/>
              </w:rPr>
              <w:t>AMHCC</w:t>
            </w:r>
          </w:p>
        </w:tc>
        <w:tc>
          <w:tcPr>
            <w:tcW w:w="7388" w:type="dxa"/>
          </w:tcPr>
          <w:p w14:paraId="761FA26F" w14:textId="0E037423" w:rsidR="00FF0E74" w:rsidRPr="00F00D91" w:rsidRDefault="00FF0E74" w:rsidP="000F3E16">
            <w:pPr>
              <w:spacing w:after="140"/>
              <w:rPr>
                <w:rFonts w:ascii="Arial" w:hAnsi="Arial" w:cs="Arial"/>
                <w:sz w:val="20"/>
                <w:szCs w:val="20"/>
              </w:rPr>
            </w:pPr>
            <w:r w:rsidRPr="00F00D91">
              <w:rPr>
                <w:rFonts w:ascii="Arial" w:hAnsi="Arial" w:cs="Arial"/>
                <w:sz w:val="20"/>
                <w:szCs w:val="20"/>
              </w:rPr>
              <w:t>Australian Mental Health Care Classification</w:t>
            </w:r>
          </w:p>
        </w:tc>
      </w:tr>
      <w:tr w:rsidR="004B165C" w:rsidRPr="00F373CC" w14:paraId="196C6C22" w14:textId="77777777" w:rsidTr="00FF0E74">
        <w:tc>
          <w:tcPr>
            <w:tcW w:w="2694" w:type="dxa"/>
          </w:tcPr>
          <w:p w14:paraId="4ACD575A" w14:textId="0E278C08" w:rsidR="004B165C" w:rsidRPr="00F00D91" w:rsidRDefault="004B165C" w:rsidP="000F3E16">
            <w:pPr>
              <w:spacing w:after="140"/>
              <w:rPr>
                <w:rFonts w:ascii="Arial" w:hAnsi="Arial" w:cs="Arial"/>
                <w:b/>
                <w:sz w:val="20"/>
                <w:szCs w:val="20"/>
              </w:rPr>
            </w:pPr>
            <w:r w:rsidRPr="00F00D91">
              <w:rPr>
                <w:rFonts w:ascii="Arial" w:hAnsi="Arial" w:cs="Arial"/>
                <w:b/>
                <w:sz w:val="20"/>
                <w:szCs w:val="20"/>
              </w:rPr>
              <w:t>AN-ACC</w:t>
            </w:r>
          </w:p>
        </w:tc>
        <w:tc>
          <w:tcPr>
            <w:tcW w:w="7388" w:type="dxa"/>
          </w:tcPr>
          <w:p w14:paraId="429CEE3D" w14:textId="6F7DB0B2" w:rsidR="004B165C" w:rsidRPr="00F00D91" w:rsidRDefault="004B165C" w:rsidP="000F3E16">
            <w:pPr>
              <w:spacing w:after="140"/>
              <w:rPr>
                <w:rFonts w:ascii="Arial" w:hAnsi="Arial" w:cs="Arial"/>
                <w:sz w:val="20"/>
                <w:szCs w:val="20"/>
              </w:rPr>
            </w:pPr>
            <w:r w:rsidRPr="00F00D91">
              <w:rPr>
                <w:rFonts w:ascii="Arial" w:hAnsi="Arial" w:cs="Arial"/>
                <w:sz w:val="20"/>
                <w:szCs w:val="20"/>
              </w:rPr>
              <w:t xml:space="preserve">Australian National Aged Care </w:t>
            </w:r>
            <w:r w:rsidR="003272CA" w:rsidRPr="00F00D91">
              <w:rPr>
                <w:rFonts w:ascii="Arial" w:hAnsi="Arial" w:cs="Arial"/>
                <w:sz w:val="20"/>
                <w:szCs w:val="20"/>
              </w:rPr>
              <w:t>Classification</w:t>
            </w:r>
          </w:p>
        </w:tc>
      </w:tr>
      <w:tr w:rsidR="0090459F" w:rsidRPr="00F373CC" w14:paraId="372639A2" w14:textId="77777777" w:rsidTr="00FF0E74">
        <w:tc>
          <w:tcPr>
            <w:tcW w:w="2694" w:type="dxa"/>
          </w:tcPr>
          <w:p w14:paraId="3C753D0F" w14:textId="68C5C799" w:rsidR="0090459F" w:rsidRPr="00F00D91" w:rsidRDefault="0090459F" w:rsidP="000F3E16">
            <w:pPr>
              <w:spacing w:after="140"/>
              <w:rPr>
                <w:rFonts w:ascii="Arial" w:hAnsi="Arial" w:cs="Arial"/>
                <w:b/>
                <w:sz w:val="20"/>
                <w:szCs w:val="20"/>
              </w:rPr>
            </w:pPr>
            <w:r>
              <w:rPr>
                <w:rFonts w:ascii="Arial" w:hAnsi="Arial" w:cs="Arial"/>
                <w:b/>
                <w:sz w:val="20"/>
                <w:szCs w:val="20"/>
              </w:rPr>
              <w:t>ANAPP</w:t>
            </w:r>
          </w:p>
        </w:tc>
        <w:tc>
          <w:tcPr>
            <w:tcW w:w="7388" w:type="dxa"/>
          </w:tcPr>
          <w:p w14:paraId="78B44775" w14:textId="3EE8A08D" w:rsidR="0090459F" w:rsidRPr="00F00D91" w:rsidRDefault="00953CB6" w:rsidP="000F3E16">
            <w:pPr>
              <w:spacing w:after="140"/>
              <w:rPr>
                <w:rFonts w:ascii="Arial" w:hAnsi="Arial" w:cs="Arial"/>
                <w:sz w:val="20"/>
                <w:szCs w:val="20"/>
              </w:rPr>
            </w:pPr>
            <w:r w:rsidRPr="00953CB6">
              <w:rPr>
                <w:rFonts w:ascii="Arial" w:hAnsi="Arial" w:cs="Arial"/>
                <w:sz w:val="20"/>
                <w:szCs w:val="20"/>
              </w:rPr>
              <w:t>Australian Non-Admitted Patient Classification Project</w:t>
            </w:r>
          </w:p>
        </w:tc>
      </w:tr>
      <w:tr w:rsidR="00FF0E74" w:rsidRPr="00F373CC" w14:paraId="34E8E024" w14:textId="77777777" w:rsidTr="00FF0E74">
        <w:tc>
          <w:tcPr>
            <w:tcW w:w="2694" w:type="dxa"/>
          </w:tcPr>
          <w:p w14:paraId="520DBC9D" w14:textId="7D77F4E8" w:rsidR="00FF0E74" w:rsidRPr="00F00D91" w:rsidRDefault="00FF0E74" w:rsidP="000F3E16">
            <w:pPr>
              <w:spacing w:after="140"/>
              <w:rPr>
                <w:rFonts w:ascii="Arial" w:hAnsi="Arial" w:cs="Arial"/>
                <w:sz w:val="20"/>
                <w:szCs w:val="20"/>
              </w:rPr>
            </w:pPr>
            <w:r w:rsidRPr="00F00D91">
              <w:rPr>
                <w:rFonts w:ascii="Arial" w:hAnsi="Arial" w:cs="Arial"/>
                <w:b/>
                <w:sz w:val="20"/>
                <w:szCs w:val="20"/>
              </w:rPr>
              <w:t>AN-SNAP</w:t>
            </w:r>
          </w:p>
        </w:tc>
        <w:tc>
          <w:tcPr>
            <w:tcW w:w="7388" w:type="dxa"/>
          </w:tcPr>
          <w:p w14:paraId="7409BEC7" w14:textId="41B9DC7A" w:rsidR="00FF0E74" w:rsidRPr="00F00D91" w:rsidRDefault="00FF0E74" w:rsidP="000F3E16">
            <w:pPr>
              <w:spacing w:after="140"/>
              <w:rPr>
                <w:rFonts w:ascii="Arial" w:hAnsi="Arial" w:cs="Arial"/>
                <w:sz w:val="20"/>
                <w:szCs w:val="20"/>
              </w:rPr>
            </w:pPr>
            <w:r w:rsidRPr="00F00D91">
              <w:rPr>
                <w:rFonts w:ascii="Arial" w:hAnsi="Arial" w:cs="Arial"/>
                <w:sz w:val="20"/>
                <w:szCs w:val="20"/>
              </w:rPr>
              <w:t>Australian National Subacute and Non-Acute Patient Classification</w:t>
            </w:r>
          </w:p>
        </w:tc>
      </w:tr>
      <w:tr w:rsidR="00FF0E74" w:rsidRPr="00F373CC" w14:paraId="6B380CA7" w14:textId="77777777" w:rsidTr="00FF0E74">
        <w:tc>
          <w:tcPr>
            <w:tcW w:w="2694" w:type="dxa"/>
          </w:tcPr>
          <w:p w14:paraId="64EB84B1" w14:textId="75A0C674" w:rsidR="00FF0E74" w:rsidRPr="00F00D91" w:rsidRDefault="00FF0E74" w:rsidP="000F3E16">
            <w:pPr>
              <w:spacing w:after="140"/>
              <w:rPr>
                <w:rFonts w:ascii="Arial" w:hAnsi="Arial" w:cs="Arial"/>
                <w:sz w:val="20"/>
                <w:szCs w:val="20"/>
              </w:rPr>
            </w:pPr>
            <w:r w:rsidRPr="00F00D91">
              <w:rPr>
                <w:rFonts w:ascii="Arial" w:hAnsi="Arial" w:cs="Arial"/>
                <w:b/>
                <w:sz w:val="20"/>
                <w:szCs w:val="20"/>
              </w:rPr>
              <w:t>AR-DRG</w:t>
            </w:r>
          </w:p>
        </w:tc>
        <w:tc>
          <w:tcPr>
            <w:tcW w:w="7388" w:type="dxa"/>
          </w:tcPr>
          <w:p w14:paraId="3A4E5C4F" w14:textId="67E8B2F1" w:rsidR="00FF0E74" w:rsidRPr="00F00D91" w:rsidRDefault="00FF0E74" w:rsidP="000F3E16">
            <w:pPr>
              <w:spacing w:after="140"/>
              <w:rPr>
                <w:rFonts w:ascii="Arial" w:hAnsi="Arial" w:cs="Arial"/>
                <w:sz w:val="20"/>
                <w:szCs w:val="20"/>
              </w:rPr>
            </w:pPr>
            <w:r w:rsidRPr="00F00D91">
              <w:rPr>
                <w:rFonts w:ascii="Arial" w:hAnsi="Arial" w:cs="Arial"/>
                <w:sz w:val="20"/>
                <w:szCs w:val="20"/>
              </w:rPr>
              <w:t>Australian Refined Diagnosis Related Groups Classification</w:t>
            </w:r>
          </w:p>
        </w:tc>
      </w:tr>
      <w:tr w:rsidR="00FF0E74" w:rsidRPr="00F373CC" w14:paraId="0BDD9A4F" w14:textId="77777777" w:rsidTr="00FF0E74">
        <w:tc>
          <w:tcPr>
            <w:tcW w:w="2694" w:type="dxa"/>
          </w:tcPr>
          <w:p w14:paraId="26373CBA" w14:textId="3C4824A8" w:rsidR="00FF0E74" w:rsidRPr="00F00D91" w:rsidRDefault="00FF0E74" w:rsidP="000F3E16">
            <w:pPr>
              <w:spacing w:after="140"/>
              <w:rPr>
                <w:rFonts w:ascii="Arial" w:hAnsi="Arial" w:cs="Arial"/>
                <w:b/>
                <w:sz w:val="20"/>
                <w:szCs w:val="20"/>
              </w:rPr>
            </w:pPr>
            <w:r w:rsidRPr="00F00D91">
              <w:rPr>
                <w:rFonts w:ascii="Arial" w:hAnsi="Arial" w:cs="Arial"/>
                <w:b/>
                <w:sz w:val="20"/>
                <w:szCs w:val="20"/>
              </w:rPr>
              <w:t>ATTC</w:t>
            </w:r>
          </w:p>
        </w:tc>
        <w:tc>
          <w:tcPr>
            <w:tcW w:w="7388" w:type="dxa"/>
          </w:tcPr>
          <w:p w14:paraId="302162F2" w14:textId="4DF247FA" w:rsidR="00FF0E74" w:rsidRPr="00F00D91" w:rsidRDefault="00FF0E74" w:rsidP="000F3E16">
            <w:pPr>
              <w:spacing w:after="140"/>
              <w:rPr>
                <w:rFonts w:ascii="Arial" w:hAnsi="Arial" w:cs="Arial"/>
                <w:sz w:val="20"/>
                <w:szCs w:val="20"/>
              </w:rPr>
            </w:pPr>
            <w:r w:rsidRPr="00F00D91">
              <w:rPr>
                <w:rFonts w:ascii="Arial" w:hAnsi="Arial" w:cs="Arial"/>
                <w:sz w:val="20"/>
                <w:szCs w:val="20"/>
              </w:rPr>
              <w:t>Australian Teaching and Training Classification</w:t>
            </w:r>
          </w:p>
        </w:tc>
      </w:tr>
      <w:tr w:rsidR="00FF0E74" w:rsidRPr="00F373CC" w14:paraId="3F0E5531" w14:textId="77777777" w:rsidTr="00FF0E74">
        <w:tc>
          <w:tcPr>
            <w:tcW w:w="2694" w:type="dxa"/>
          </w:tcPr>
          <w:p w14:paraId="3D0A0405" w14:textId="4996E3BE" w:rsidR="00FF0E74" w:rsidRPr="00F00D91" w:rsidRDefault="00FF0E74" w:rsidP="000F3E16">
            <w:pPr>
              <w:spacing w:after="140"/>
              <w:rPr>
                <w:rFonts w:ascii="Arial" w:hAnsi="Arial" w:cs="Arial"/>
                <w:b/>
                <w:sz w:val="20"/>
                <w:szCs w:val="20"/>
              </w:rPr>
            </w:pPr>
            <w:r w:rsidRPr="00F00D91">
              <w:rPr>
                <w:rFonts w:ascii="Arial" w:hAnsi="Arial" w:cs="Arial"/>
                <w:b/>
                <w:sz w:val="20"/>
                <w:szCs w:val="20"/>
              </w:rPr>
              <w:t>CEO</w:t>
            </w:r>
          </w:p>
        </w:tc>
        <w:tc>
          <w:tcPr>
            <w:tcW w:w="7388" w:type="dxa"/>
          </w:tcPr>
          <w:p w14:paraId="4448FC92" w14:textId="1C30E595" w:rsidR="00FF0E74" w:rsidRPr="00F00D91" w:rsidRDefault="00FF0E74" w:rsidP="000F3E16">
            <w:pPr>
              <w:spacing w:after="140"/>
              <w:rPr>
                <w:rFonts w:ascii="Arial" w:hAnsi="Arial" w:cs="Arial"/>
                <w:sz w:val="20"/>
                <w:szCs w:val="20"/>
              </w:rPr>
            </w:pPr>
            <w:r w:rsidRPr="00F00D91">
              <w:rPr>
                <w:rFonts w:ascii="Arial" w:hAnsi="Arial" w:cs="Arial"/>
                <w:sz w:val="20"/>
                <w:szCs w:val="20"/>
              </w:rPr>
              <w:t>Chief Executive Officer</w:t>
            </w:r>
          </w:p>
        </w:tc>
      </w:tr>
      <w:tr w:rsidR="0090459F" w:rsidRPr="00F373CC" w14:paraId="38DCADF7" w14:textId="77777777" w:rsidTr="00FF0E74">
        <w:tc>
          <w:tcPr>
            <w:tcW w:w="2694" w:type="dxa"/>
          </w:tcPr>
          <w:p w14:paraId="1E2E638A" w14:textId="5AEEAB11" w:rsidR="0090459F" w:rsidRPr="00F00D91" w:rsidRDefault="0090459F" w:rsidP="0090459F">
            <w:pPr>
              <w:spacing w:after="140"/>
              <w:rPr>
                <w:rFonts w:ascii="Arial" w:hAnsi="Arial" w:cs="Arial"/>
                <w:b/>
                <w:sz w:val="20"/>
                <w:szCs w:val="20"/>
              </w:rPr>
            </w:pPr>
            <w:r w:rsidRPr="0090459F">
              <w:rPr>
                <w:rFonts w:ascii="Arial" w:hAnsi="Arial" w:cs="Arial"/>
                <w:b/>
                <w:sz w:val="20"/>
                <w:szCs w:val="20"/>
              </w:rPr>
              <w:t>EPD Short</w:t>
            </w:r>
            <w:r>
              <w:rPr>
                <w:rFonts w:ascii="Arial" w:hAnsi="Arial" w:cs="Arial"/>
                <w:b/>
                <w:sz w:val="20"/>
                <w:szCs w:val="20"/>
              </w:rPr>
              <w:t xml:space="preserve"> </w:t>
            </w:r>
            <w:r w:rsidRPr="0090459F">
              <w:rPr>
                <w:rFonts w:ascii="Arial" w:hAnsi="Arial" w:cs="Arial"/>
                <w:b/>
                <w:sz w:val="20"/>
                <w:szCs w:val="20"/>
              </w:rPr>
              <w:t>List</w:t>
            </w:r>
          </w:p>
        </w:tc>
        <w:tc>
          <w:tcPr>
            <w:tcW w:w="7388" w:type="dxa"/>
          </w:tcPr>
          <w:p w14:paraId="74AD5682" w14:textId="34AFD1D2" w:rsidR="0090459F" w:rsidRPr="00F00D91" w:rsidRDefault="005A781A" w:rsidP="000F3E16">
            <w:pPr>
              <w:spacing w:after="140"/>
              <w:rPr>
                <w:rFonts w:ascii="Arial" w:hAnsi="Arial" w:cs="Arial"/>
                <w:sz w:val="20"/>
                <w:szCs w:val="20"/>
              </w:rPr>
            </w:pPr>
            <w:r w:rsidRPr="005A781A">
              <w:rPr>
                <w:rFonts w:ascii="Arial" w:hAnsi="Arial" w:cs="Arial"/>
                <w:sz w:val="20"/>
                <w:szCs w:val="20"/>
              </w:rPr>
              <w:t>Emergency Care ICD-10-AM Thirteenth Edition Principal Diagnosis Short List</w:t>
            </w:r>
          </w:p>
        </w:tc>
      </w:tr>
      <w:tr w:rsidR="00FF0E74" w:rsidRPr="00F373CC" w14:paraId="11019146" w14:textId="77777777" w:rsidTr="00FF0E74">
        <w:tc>
          <w:tcPr>
            <w:tcW w:w="2694" w:type="dxa"/>
          </w:tcPr>
          <w:p w14:paraId="0FB14546" w14:textId="115A461A" w:rsidR="00FF0E74" w:rsidRPr="00F00D91" w:rsidRDefault="00FF0E74" w:rsidP="000F3E16">
            <w:pPr>
              <w:spacing w:after="140"/>
              <w:rPr>
                <w:rFonts w:ascii="Arial" w:hAnsi="Arial" w:cs="Arial"/>
                <w:b/>
                <w:sz w:val="20"/>
                <w:szCs w:val="20"/>
              </w:rPr>
            </w:pPr>
            <w:r w:rsidRPr="00F00D91">
              <w:rPr>
                <w:rFonts w:ascii="Arial" w:hAnsi="Arial" w:cs="Arial"/>
                <w:b/>
                <w:sz w:val="20"/>
                <w:szCs w:val="20"/>
              </w:rPr>
              <w:t>HAC</w:t>
            </w:r>
          </w:p>
        </w:tc>
        <w:tc>
          <w:tcPr>
            <w:tcW w:w="7388" w:type="dxa"/>
          </w:tcPr>
          <w:p w14:paraId="1EBB42E2" w14:textId="1D9E45F8" w:rsidR="00FF0E74" w:rsidRPr="00F00D91" w:rsidRDefault="00FF0E74" w:rsidP="000F3E16">
            <w:pPr>
              <w:spacing w:after="140"/>
              <w:rPr>
                <w:rFonts w:ascii="Arial" w:hAnsi="Arial" w:cs="Arial"/>
                <w:sz w:val="20"/>
                <w:szCs w:val="20"/>
              </w:rPr>
            </w:pPr>
            <w:r w:rsidRPr="00F00D91">
              <w:rPr>
                <w:rFonts w:ascii="Arial" w:hAnsi="Arial" w:cs="Arial"/>
                <w:sz w:val="20"/>
                <w:szCs w:val="20"/>
              </w:rPr>
              <w:t>Hospital acquired complication</w:t>
            </w:r>
          </w:p>
        </w:tc>
      </w:tr>
      <w:tr w:rsidR="00976580" w:rsidRPr="00F373CC" w14:paraId="1B3EC351" w14:textId="77777777" w:rsidTr="00FF0E74">
        <w:tc>
          <w:tcPr>
            <w:tcW w:w="2694" w:type="dxa"/>
          </w:tcPr>
          <w:p w14:paraId="4CB3FEA2" w14:textId="4186852C" w:rsidR="00976580" w:rsidRPr="00F00D91" w:rsidRDefault="00976580" w:rsidP="000F3E16">
            <w:pPr>
              <w:spacing w:after="140"/>
              <w:rPr>
                <w:rFonts w:ascii="Arial" w:hAnsi="Arial" w:cs="Arial"/>
                <w:b/>
                <w:sz w:val="20"/>
                <w:szCs w:val="20"/>
              </w:rPr>
            </w:pPr>
            <w:proofErr w:type="spellStart"/>
            <w:r>
              <w:rPr>
                <w:rFonts w:ascii="Arial" w:hAnsi="Arial" w:cs="Arial"/>
                <w:b/>
                <w:sz w:val="20"/>
                <w:szCs w:val="20"/>
              </w:rPr>
              <w:t>HoNOS</w:t>
            </w:r>
            <w:proofErr w:type="spellEnd"/>
          </w:p>
        </w:tc>
        <w:tc>
          <w:tcPr>
            <w:tcW w:w="7388" w:type="dxa"/>
          </w:tcPr>
          <w:p w14:paraId="303C7AC6" w14:textId="51AEB5DC" w:rsidR="00976580" w:rsidRPr="00F00D91" w:rsidRDefault="00976580" w:rsidP="000F3E16">
            <w:pPr>
              <w:spacing w:after="140"/>
              <w:rPr>
                <w:rFonts w:ascii="Arial" w:hAnsi="Arial" w:cs="Arial"/>
                <w:sz w:val="20"/>
                <w:szCs w:val="20"/>
              </w:rPr>
            </w:pPr>
            <w:r w:rsidRPr="00A81D23">
              <w:rPr>
                <w:rFonts w:ascii="Arial" w:hAnsi="Arial" w:cs="Arial"/>
                <w:sz w:val="20"/>
                <w:szCs w:val="20"/>
              </w:rPr>
              <w:t>Health of the Nation Outcome Scales</w:t>
            </w:r>
          </w:p>
        </w:tc>
      </w:tr>
      <w:tr w:rsidR="00FF0E74" w:rsidRPr="00F373CC" w14:paraId="5621EE3B" w14:textId="77777777" w:rsidTr="00FF0E74">
        <w:tc>
          <w:tcPr>
            <w:tcW w:w="2694" w:type="dxa"/>
          </w:tcPr>
          <w:p w14:paraId="4CACD887" w14:textId="614D1A97" w:rsidR="00FF0E74" w:rsidRPr="00F00D91" w:rsidRDefault="00FF0E74" w:rsidP="000F3E16">
            <w:pPr>
              <w:spacing w:after="140"/>
              <w:rPr>
                <w:rFonts w:ascii="Arial" w:hAnsi="Arial" w:cs="Arial"/>
                <w:b/>
                <w:sz w:val="20"/>
                <w:szCs w:val="20"/>
              </w:rPr>
            </w:pPr>
            <w:r w:rsidRPr="00F00D91">
              <w:rPr>
                <w:rFonts w:ascii="Arial" w:hAnsi="Arial" w:cs="Arial"/>
                <w:b/>
                <w:sz w:val="20"/>
                <w:szCs w:val="20"/>
              </w:rPr>
              <w:t>ICD</w:t>
            </w:r>
            <w:r w:rsidRPr="00F00D91">
              <w:rPr>
                <w:rFonts w:ascii="Cambria Math" w:hAnsi="Cambria Math" w:cs="Cambria Math"/>
                <w:b/>
                <w:sz w:val="20"/>
                <w:szCs w:val="20"/>
              </w:rPr>
              <w:t>‑</w:t>
            </w:r>
            <w:r w:rsidRPr="00F00D91">
              <w:rPr>
                <w:rFonts w:ascii="Arial" w:hAnsi="Arial" w:cs="Arial"/>
                <w:b/>
                <w:sz w:val="20"/>
                <w:szCs w:val="20"/>
              </w:rPr>
              <w:t>10</w:t>
            </w:r>
            <w:r w:rsidRPr="00F00D91">
              <w:rPr>
                <w:rFonts w:ascii="Cambria Math" w:hAnsi="Cambria Math" w:cs="Cambria Math"/>
                <w:b/>
                <w:sz w:val="20"/>
                <w:szCs w:val="20"/>
              </w:rPr>
              <w:t>‑</w:t>
            </w:r>
            <w:r w:rsidRPr="00F00D91">
              <w:rPr>
                <w:rFonts w:ascii="Arial" w:hAnsi="Arial" w:cs="Arial"/>
                <w:b/>
                <w:sz w:val="20"/>
                <w:szCs w:val="20"/>
              </w:rPr>
              <w:t>AM</w:t>
            </w:r>
          </w:p>
        </w:tc>
        <w:tc>
          <w:tcPr>
            <w:tcW w:w="7388" w:type="dxa"/>
          </w:tcPr>
          <w:p w14:paraId="1DFB8B76" w14:textId="335B8210" w:rsidR="00FF0E74" w:rsidRPr="00F00D91" w:rsidRDefault="00FF0E74" w:rsidP="000F3E16">
            <w:pPr>
              <w:spacing w:after="140"/>
              <w:rPr>
                <w:rFonts w:ascii="Arial" w:hAnsi="Arial" w:cs="Arial"/>
                <w:sz w:val="20"/>
                <w:szCs w:val="20"/>
              </w:rPr>
            </w:pPr>
            <w:r w:rsidRPr="00F00D91">
              <w:rPr>
                <w:rFonts w:ascii="Arial" w:hAnsi="Arial" w:cs="Arial"/>
                <w:sz w:val="20"/>
                <w:szCs w:val="20"/>
              </w:rPr>
              <w:t>International Statistical Classification of Diseases and Related Health Problems, Tenth Revision, Australian Modification</w:t>
            </w:r>
          </w:p>
        </w:tc>
      </w:tr>
      <w:tr w:rsidR="005331A6" w:rsidRPr="00F373CC" w14:paraId="31E1CCD8" w14:textId="77777777" w:rsidTr="00FF0E74">
        <w:tc>
          <w:tcPr>
            <w:tcW w:w="2694" w:type="dxa"/>
          </w:tcPr>
          <w:p w14:paraId="11C18CCC" w14:textId="699AE122" w:rsidR="005331A6" w:rsidRPr="00F00D91" w:rsidRDefault="005331A6" w:rsidP="000F3E16">
            <w:pPr>
              <w:spacing w:after="140"/>
              <w:rPr>
                <w:rFonts w:ascii="Arial" w:hAnsi="Arial" w:cs="Arial"/>
                <w:b/>
                <w:sz w:val="20"/>
                <w:szCs w:val="20"/>
              </w:rPr>
            </w:pPr>
            <w:r w:rsidRPr="00F00D91">
              <w:rPr>
                <w:rFonts w:ascii="Arial" w:hAnsi="Arial" w:cs="Arial"/>
                <w:b/>
                <w:sz w:val="20"/>
                <w:szCs w:val="20"/>
              </w:rPr>
              <w:t>IHACPA</w:t>
            </w:r>
          </w:p>
        </w:tc>
        <w:tc>
          <w:tcPr>
            <w:tcW w:w="7388" w:type="dxa"/>
          </w:tcPr>
          <w:p w14:paraId="494331FF" w14:textId="75BBC73D" w:rsidR="005331A6" w:rsidRPr="00F00D91" w:rsidRDefault="005331A6" w:rsidP="000F3E16">
            <w:pPr>
              <w:spacing w:after="140"/>
              <w:rPr>
                <w:rFonts w:ascii="Arial" w:hAnsi="Arial" w:cs="Arial"/>
                <w:sz w:val="20"/>
                <w:szCs w:val="20"/>
              </w:rPr>
            </w:pPr>
            <w:r w:rsidRPr="00F00D91">
              <w:rPr>
                <w:rFonts w:ascii="Arial" w:hAnsi="Arial" w:cs="Arial"/>
                <w:sz w:val="20"/>
                <w:szCs w:val="20"/>
              </w:rPr>
              <w:t>Independent Health and Aged Care Pricing Authority</w:t>
            </w:r>
          </w:p>
        </w:tc>
      </w:tr>
      <w:tr w:rsidR="005331A6" w:rsidRPr="00F373CC" w14:paraId="421A81B2" w14:textId="77777777" w:rsidTr="00FF0E74">
        <w:tc>
          <w:tcPr>
            <w:tcW w:w="2694" w:type="dxa"/>
          </w:tcPr>
          <w:p w14:paraId="2D32F1B3" w14:textId="0CE8057A" w:rsidR="005331A6" w:rsidRPr="00F00D91" w:rsidRDefault="005331A6" w:rsidP="000F3E16">
            <w:pPr>
              <w:spacing w:after="140"/>
              <w:rPr>
                <w:rFonts w:ascii="Arial" w:hAnsi="Arial" w:cs="Arial"/>
                <w:b/>
                <w:sz w:val="20"/>
                <w:szCs w:val="20"/>
              </w:rPr>
            </w:pPr>
            <w:r w:rsidRPr="00F00D91">
              <w:rPr>
                <w:rFonts w:ascii="Arial" w:hAnsi="Arial" w:cs="Arial"/>
                <w:b/>
                <w:sz w:val="20"/>
                <w:szCs w:val="20"/>
              </w:rPr>
              <w:t>MSAC</w:t>
            </w:r>
          </w:p>
        </w:tc>
        <w:tc>
          <w:tcPr>
            <w:tcW w:w="7388" w:type="dxa"/>
          </w:tcPr>
          <w:p w14:paraId="166F2CE8" w14:textId="3F85927A" w:rsidR="005331A6" w:rsidRPr="00F00D91" w:rsidRDefault="005331A6" w:rsidP="000F3E16">
            <w:pPr>
              <w:spacing w:after="140"/>
              <w:rPr>
                <w:rFonts w:ascii="Arial" w:hAnsi="Arial" w:cs="Arial"/>
                <w:sz w:val="20"/>
                <w:szCs w:val="20"/>
              </w:rPr>
            </w:pPr>
            <w:r w:rsidRPr="00F00D91">
              <w:rPr>
                <w:rFonts w:ascii="Arial" w:hAnsi="Arial" w:cs="Arial"/>
                <w:sz w:val="20"/>
                <w:szCs w:val="20"/>
              </w:rPr>
              <w:t>Medical Services Advisory Committee</w:t>
            </w:r>
          </w:p>
        </w:tc>
      </w:tr>
      <w:tr w:rsidR="005331A6" w:rsidRPr="00F373CC" w14:paraId="6EEF7EAF" w14:textId="77777777" w:rsidTr="00FF0E74">
        <w:tc>
          <w:tcPr>
            <w:tcW w:w="2694" w:type="dxa"/>
          </w:tcPr>
          <w:p w14:paraId="6780F73B" w14:textId="3F572D9C" w:rsidR="005331A6" w:rsidRPr="00F00D91" w:rsidRDefault="005331A6" w:rsidP="000F3E16">
            <w:pPr>
              <w:spacing w:after="140"/>
              <w:rPr>
                <w:rFonts w:ascii="Arial" w:hAnsi="Arial" w:cs="Arial"/>
                <w:b/>
                <w:sz w:val="20"/>
                <w:szCs w:val="20"/>
              </w:rPr>
            </w:pPr>
            <w:r w:rsidRPr="00F00D91">
              <w:rPr>
                <w:rFonts w:ascii="Arial" w:hAnsi="Arial" w:cs="Arial"/>
                <w:b/>
                <w:sz w:val="20"/>
                <w:szCs w:val="20"/>
              </w:rPr>
              <w:t>NBP</w:t>
            </w:r>
          </w:p>
        </w:tc>
        <w:tc>
          <w:tcPr>
            <w:tcW w:w="7388" w:type="dxa"/>
          </w:tcPr>
          <w:p w14:paraId="59997377" w14:textId="38AF13A3" w:rsidR="005331A6" w:rsidRPr="00F00D91" w:rsidRDefault="005331A6" w:rsidP="000F3E16">
            <w:pPr>
              <w:spacing w:after="140"/>
              <w:rPr>
                <w:rFonts w:ascii="Arial" w:hAnsi="Arial" w:cs="Arial"/>
                <w:sz w:val="20"/>
                <w:szCs w:val="20"/>
              </w:rPr>
            </w:pPr>
            <w:r w:rsidRPr="00F00D91">
              <w:rPr>
                <w:rFonts w:ascii="Arial" w:hAnsi="Arial" w:cs="Arial"/>
                <w:sz w:val="20"/>
                <w:szCs w:val="20"/>
              </w:rPr>
              <w:t>National Benchmarking Portal</w:t>
            </w:r>
          </w:p>
        </w:tc>
      </w:tr>
      <w:tr w:rsidR="005331A6" w:rsidRPr="00F373CC" w14:paraId="2FC1FF17" w14:textId="77777777" w:rsidTr="00FF0E74">
        <w:tc>
          <w:tcPr>
            <w:tcW w:w="2694" w:type="dxa"/>
          </w:tcPr>
          <w:p w14:paraId="097152E4" w14:textId="497F4178" w:rsidR="005331A6" w:rsidRPr="00F00D91" w:rsidRDefault="005331A6" w:rsidP="000F3E16">
            <w:pPr>
              <w:spacing w:after="140"/>
              <w:rPr>
                <w:rFonts w:ascii="Arial" w:hAnsi="Arial" w:cs="Arial"/>
                <w:b/>
                <w:sz w:val="20"/>
                <w:szCs w:val="20"/>
              </w:rPr>
            </w:pPr>
            <w:r w:rsidRPr="00F00D91">
              <w:rPr>
                <w:rFonts w:ascii="Arial" w:hAnsi="Arial" w:cs="Arial"/>
                <w:b/>
                <w:sz w:val="20"/>
                <w:szCs w:val="20"/>
              </w:rPr>
              <w:t>NEC</w:t>
            </w:r>
          </w:p>
        </w:tc>
        <w:tc>
          <w:tcPr>
            <w:tcW w:w="7388" w:type="dxa"/>
          </w:tcPr>
          <w:p w14:paraId="5B859C17" w14:textId="0CC53AD4" w:rsidR="005331A6" w:rsidRPr="00F00D91" w:rsidRDefault="005331A6" w:rsidP="000F3E16">
            <w:pPr>
              <w:spacing w:after="140"/>
              <w:rPr>
                <w:rFonts w:ascii="Arial" w:hAnsi="Arial" w:cs="Arial"/>
                <w:sz w:val="20"/>
                <w:szCs w:val="20"/>
              </w:rPr>
            </w:pPr>
            <w:r w:rsidRPr="00F00D91">
              <w:rPr>
                <w:rFonts w:ascii="Arial" w:hAnsi="Arial" w:cs="Arial"/>
                <w:sz w:val="20"/>
                <w:szCs w:val="20"/>
              </w:rPr>
              <w:t>National efficient cost</w:t>
            </w:r>
          </w:p>
        </w:tc>
      </w:tr>
      <w:tr w:rsidR="005331A6" w:rsidRPr="00F373CC" w14:paraId="2124BF91" w14:textId="77777777" w:rsidTr="00FF0E74">
        <w:tc>
          <w:tcPr>
            <w:tcW w:w="2694" w:type="dxa"/>
          </w:tcPr>
          <w:p w14:paraId="20725037" w14:textId="5E8E8637" w:rsidR="005331A6" w:rsidRPr="00F00D91" w:rsidRDefault="005331A6" w:rsidP="000F3E16">
            <w:pPr>
              <w:spacing w:after="140"/>
              <w:rPr>
                <w:rFonts w:ascii="Arial" w:hAnsi="Arial" w:cs="Arial"/>
                <w:b/>
                <w:sz w:val="20"/>
                <w:szCs w:val="20"/>
              </w:rPr>
            </w:pPr>
            <w:r w:rsidRPr="00F00D91">
              <w:rPr>
                <w:rFonts w:ascii="Arial" w:hAnsi="Arial" w:cs="Arial"/>
                <w:b/>
                <w:sz w:val="20"/>
                <w:szCs w:val="20"/>
              </w:rPr>
              <w:t>NEP</w:t>
            </w:r>
          </w:p>
        </w:tc>
        <w:tc>
          <w:tcPr>
            <w:tcW w:w="7388" w:type="dxa"/>
          </w:tcPr>
          <w:p w14:paraId="5C7C21AD" w14:textId="2B93E798" w:rsidR="005331A6" w:rsidRPr="00F00D91" w:rsidRDefault="005331A6" w:rsidP="000F3E16">
            <w:pPr>
              <w:spacing w:after="140"/>
              <w:rPr>
                <w:rFonts w:ascii="Arial" w:hAnsi="Arial" w:cs="Arial"/>
                <w:sz w:val="20"/>
                <w:szCs w:val="20"/>
              </w:rPr>
            </w:pPr>
            <w:r w:rsidRPr="00F00D91">
              <w:rPr>
                <w:rFonts w:ascii="Arial" w:hAnsi="Arial" w:cs="Arial"/>
                <w:sz w:val="20"/>
                <w:szCs w:val="20"/>
              </w:rPr>
              <w:t>National efficient price</w:t>
            </w:r>
          </w:p>
        </w:tc>
      </w:tr>
      <w:tr w:rsidR="005331A6" w:rsidRPr="00F373CC" w14:paraId="2BA23295" w14:textId="77777777" w:rsidTr="00FF0E74">
        <w:tc>
          <w:tcPr>
            <w:tcW w:w="2694" w:type="dxa"/>
          </w:tcPr>
          <w:p w14:paraId="0C663480" w14:textId="1A7CFE5E" w:rsidR="005331A6" w:rsidRPr="00F00D91" w:rsidRDefault="005331A6" w:rsidP="000F3E16">
            <w:pPr>
              <w:spacing w:after="140"/>
              <w:rPr>
                <w:rFonts w:ascii="Arial" w:hAnsi="Arial" w:cs="Arial"/>
                <w:b/>
                <w:sz w:val="20"/>
                <w:szCs w:val="20"/>
              </w:rPr>
            </w:pPr>
            <w:r w:rsidRPr="00F00D91">
              <w:rPr>
                <w:rFonts w:ascii="Arial" w:hAnsi="Arial" w:cs="Arial"/>
                <w:b/>
                <w:sz w:val="20"/>
                <w:szCs w:val="20"/>
              </w:rPr>
              <w:t>NHCDC</w:t>
            </w:r>
          </w:p>
        </w:tc>
        <w:tc>
          <w:tcPr>
            <w:tcW w:w="7388" w:type="dxa"/>
          </w:tcPr>
          <w:p w14:paraId="47F8B771" w14:textId="38DE07BE" w:rsidR="005331A6" w:rsidRPr="00F00D91" w:rsidRDefault="005331A6" w:rsidP="000F3E16">
            <w:pPr>
              <w:spacing w:after="140"/>
              <w:rPr>
                <w:rFonts w:ascii="Arial" w:hAnsi="Arial" w:cs="Arial"/>
                <w:sz w:val="20"/>
                <w:szCs w:val="20"/>
              </w:rPr>
            </w:pPr>
            <w:r w:rsidRPr="00F00D91">
              <w:rPr>
                <w:rFonts w:ascii="Arial" w:hAnsi="Arial" w:cs="Arial"/>
                <w:sz w:val="20"/>
                <w:szCs w:val="20"/>
              </w:rPr>
              <w:t>National Hospital Cost Data Collection</w:t>
            </w:r>
          </w:p>
        </w:tc>
      </w:tr>
      <w:tr w:rsidR="005331A6" w:rsidRPr="00F373CC" w14:paraId="16D0BD31" w14:textId="77777777" w:rsidTr="00FF0E74">
        <w:tc>
          <w:tcPr>
            <w:tcW w:w="2694" w:type="dxa"/>
          </w:tcPr>
          <w:p w14:paraId="4D06D0B4" w14:textId="17002B8D" w:rsidR="005331A6" w:rsidRPr="00F00D91" w:rsidRDefault="005331A6" w:rsidP="000F3E16">
            <w:pPr>
              <w:spacing w:after="140"/>
              <w:rPr>
                <w:rFonts w:ascii="Arial" w:hAnsi="Arial" w:cs="Arial"/>
                <w:b/>
                <w:sz w:val="20"/>
                <w:szCs w:val="20"/>
              </w:rPr>
            </w:pPr>
            <w:r w:rsidRPr="00F00D91">
              <w:rPr>
                <w:rFonts w:ascii="Arial" w:hAnsi="Arial" w:cs="Arial"/>
                <w:b/>
                <w:sz w:val="20"/>
                <w:szCs w:val="20"/>
              </w:rPr>
              <w:t>NHRA</w:t>
            </w:r>
          </w:p>
        </w:tc>
        <w:tc>
          <w:tcPr>
            <w:tcW w:w="7388" w:type="dxa"/>
          </w:tcPr>
          <w:p w14:paraId="19817777" w14:textId="68C8A7DE" w:rsidR="005331A6" w:rsidRPr="00F00D91" w:rsidRDefault="005331A6" w:rsidP="000F3E16">
            <w:pPr>
              <w:spacing w:after="140"/>
              <w:rPr>
                <w:rFonts w:ascii="Arial" w:hAnsi="Arial" w:cs="Arial"/>
                <w:sz w:val="20"/>
                <w:szCs w:val="20"/>
              </w:rPr>
            </w:pPr>
            <w:r w:rsidRPr="00F00D91">
              <w:rPr>
                <w:rFonts w:ascii="Arial" w:hAnsi="Arial" w:cs="Arial"/>
                <w:sz w:val="20"/>
                <w:szCs w:val="20"/>
              </w:rPr>
              <w:t>National Health Reform Agreement</w:t>
            </w:r>
          </w:p>
        </w:tc>
      </w:tr>
      <w:tr w:rsidR="005331A6" w:rsidRPr="00F373CC" w14:paraId="010E957C" w14:textId="77777777" w:rsidTr="00FF0E74">
        <w:tc>
          <w:tcPr>
            <w:tcW w:w="2694" w:type="dxa"/>
          </w:tcPr>
          <w:p w14:paraId="59B67F21" w14:textId="6930C980" w:rsidR="005331A6" w:rsidRPr="00F00D91" w:rsidRDefault="005331A6" w:rsidP="000F3E16">
            <w:pPr>
              <w:spacing w:after="140"/>
              <w:rPr>
                <w:rFonts w:ascii="Arial" w:hAnsi="Arial" w:cs="Arial"/>
                <w:b/>
                <w:sz w:val="20"/>
                <w:szCs w:val="20"/>
              </w:rPr>
            </w:pPr>
            <w:r w:rsidRPr="00F00D91">
              <w:rPr>
                <w:rFonts w:ascii="Arial" w:hAnsi="Arial" w:cs="Arial"/>
                <w:b/>
                <w:sz w:val="20"/>
                <w:szCs w:val="20"/>
              </w:rPr>
              <w:t>NWAU</w:t>
            </w:r>
          </w:p>
        </w:tc>
        <w:tc>
          <w:tcPr>
            <w:tcW w:w="7388" w:type="dxa"/>
          </w:tcPr>
          <w:p w14:paraId="4937E9BB" w14:textId="68097C40" w:rsidR="005331A6" w:rsidRPr="00F00D91" w:rsidRDefault="005331A6" w:rsidP="000F3E16">
            <w:pPr>
              <w:spacing w:after="140"/>
              <w:rPr>
                <w:rFonts w:ascii="Arial" w:hAnsi="Arial" w:cs="Arial"/>
                <w:sz w:val="20"/>
                <w:szCs w:val="20"/>
              </w:rPr>
            </w:pPr>
            <w:r w:rsidRPr="00F00D91">
              <w:rPr>
                <w:rFonts w:ascii="Arial" w:hAnsi="Arial" w:cs="Arial"/>
                <w:sz w:val="20"/>
                <w:szCs w:val="20"/>
              </w:rPr>
              <w:t>National weighted activity unit</w:t>
            </w:r>
          </w:p>
        </w:tc>
      </w:tr>
      <w:tr w:rsidR="005331A6" w:rsidRPr="00F373CC" w14:paraId="1D84D93B" w14:textId="77777777" w:rsidTr="00FF0E74">
        <w:tc>
          <w:tcPr>
            <w:tcW w:w="2694" w:type="dxa"/>
          </w:tcPr>
          <w:p w14:paraId="122EA958" w14:textId="761377FC" w:rsidR="005331A6" w:rsidRPr="00F00D91" w:rsidRDefault="005331A6" w:rsidP="000F3E16">
            <w:pPr>
              <w:spacing w:after="140"/>
              <w:rPr>
                <w:rFonts w:ascii="Arial" w:hAnsi="Arial" w:cs="Arial"/>
                <w:b/>
                <w:sz w:val="20"/>
                <w:szCs w:val="20"/>
              </w:rPr>
            </w:pPr>
            <w:r w:rsidRPr="00F00D91">
              <w:rPr>
                <w:rFonts w:ascii="Arial" w:hAnsi="Arial" w:cs="Arial"/>
                <w:b/>
                <w:sz w:val="20"/>
                <w:szCs w:val="20"/>
              </w:rPr>
              <w:t>SDMS</w:t>
            </w:r>
          </w:p>
        </w:tc>
        <w:tc>
          <w:tcPr>
            <w:tcW w:w="7388" w:type="dxa"/>
          </w:tcPr>
          <w:p w14:paraId="2323551C" w14:textId="2232F11C" w:rsidR="005331A6" w:rsidRPr="00F00D91" w:rsidRDefault="005331A6" w:rsidP="000F3E16">
            <w:pPr>
              <w:spacing w:after="140"/>
              <w:rPr>
                <w:rFonts w:ascii="Arial" w:hAnsi="Arial" w:cs="Arial"/>
                <w:sz w:val="20"/>
                <w:szCs w:val="20"/>
              </w:rPr>
            </w:pPr>
            <w:r w:rsidRPr="00F00D91">
              <w:rPr>
                <w:rFonts w:ascii="Arial" w:hAnsi="Arial" w:cs="Arial"/>
                <w:sz w:val="20"/>
                <w:szCs w:val="20"/>
              </w:rPr>
              <w:t>Secure Data Management System</w:t>
            </w:r>
          </w:p>
        </w:tc>
      </w:tr>
      <w:tr w:rsidR="00FF3EBC" w:rsidRPr="00F373CC" w14:paraId="17A4C069" w14:textId="77777777" w:rsidTr="00FF0E74">
        <w:tc>
          <w:tcPr>
            <w:tcW w:w="2694" w:type="dxa"/>
          </w:tcPr>
          <w:p w14:paraId="66D5FDEA" w14:textId="3B6056D6" w:rsidR="00FF3EBC" w:rsidRPr="00F00D91" w:rsidRDefault="00FF3EBC" w:rsidP="000F3E16">
            <w:pPr>
              <w:spacing w:after="140"/>
              <w:rPr>
                <w:rFonts w:ascii="Arial" w:hAnsi="Arial" w:cs="Arial"/>
                <w:b/>
                <w:sz w:val="20"/>
                <w:szCs w:val="20"/>
              </w:rPr>
            </w:pPr>
            <w:r>
              <w:rPr>
                <w:rFonts w:ascii="Arial" w:hAnsi="Arial" w:cs="Arial"/>
                <w:b/>
                <w:sz w:val="20"/>
                <w:szCs w:val="20"/>
              </w:rPr>
              <w:t>The addendum</w:t>
            </w:r>
          </w:p>
        </w:tc>
        <w:tc>
          <w:tcPr>
            <w:tcW w:w="7388" w:type="dxa"/>
          </w:tcPr>
          <w:p w14:paraId="3A7AE4B5" w14:textId="7AF73C4C" w:rsidR="00FF3EBC" w:rsidRPr="00F00D91" w:rsidRDefault="00FF3EBC" w:rsidP="000F3E16">
            <w:pPr>
              <w:spacing w:after="140"/>
              <w:rPr>
                <w:rFonts w:ascii="Arial" w:hAnsi="Arial" w:cs="Arial"/>
                <w:sz w:val="20"/>
                <w:szCs w:val="20"/>
              </w:rPr>
            </w:pPr>
            <w:r>
              <w:rPr>
                <w:rFonts w:ascii="Arial" w:hAnsi="Arial" w:cs="Arial"/>
                <w:sz w:val="20"/>
                <w:szCs w:val="20"/>
              </w:rPr>
              <w:t>Addendum to the National Health Reform Agreement 2020–26</w:t>
            </w:r>
            <w:r w:rsidR="00B818E8">
              <w:rPr>
                <w:rStyle w:val="FootnoteReference"/>
                <w:rFonts w:ascii="Arial" w:hAnsi="Arial" w:cs="Arial"/>
                <w:sz w:val="20"/>
                <w:szCs w:val="20"/>
              </w:rPr>
              <w:footnoteReference w:id="1"/>
            </w:r>
          </w:p>
        </w:tc>
      </w:tr>
      <w:tr w:rsidR="00800030" w:rsidRPr="00F373CC" w14:paraId="12CC6A0C" w14:textId="77777777" w:rsidTr="00FF0E74">
        <w:tc>
          <w:tcPr>
            <w:tcW w:w="2694" w:type="dxa"/>
          </w:tcPr>
          <w:p w14:paraId="754DC30A" w14:textId="57B9A6D0" w:rsidR="00800030" w:rsidRPr="00F00D91" w:rsidRDefault="00800030" w:rsidP="000F3E16">
            <w:pPr>
              <w:spacing w:after="140"/>
              <w:rPr>
                <w:rFonts w:ascii="Arial" w:hAnsi="Arial" w:cs="Arial"/>
                <w:b/>
                <w:sz w:val="20"/>
                <w:szCs w:val="20"/>
              </w:rPr>
            </w:pPr>
            <w:r>
              <w:rPr>
                <w:rFonts w:ascii="Arial" w:hAnsi="Arial" w:cs="Arial"/>
                <w:b/>
                <w:sz w:val="20"/>
                <w:szCs w:val="20"/>
              </w:rPr>
              <w:t>The Administrator</w:t>
            </w:r>
          </w:p>
        </w:tc>
        <w:tc>
          <w:tcPr>
            <w:tcW w:w="7388" w:type="dxa"/>
          </w:tcPr>
          <w:p w14:paraId="43403F62" w14:textId="406CB76C" w:rsidR="00800030" w:rsidRPr="00F00D91" w:rsidRDefault="00800030" w:rsidP="000F3E16">
            <w:pPr>
              <w:spacing w:after="140"/>
              <w:rPr>
                <w:rFonts w:ascii="Arial" w:hAnsi="Arial" w:cs="Arial"/>
                <w:sz w:val="20"/>
                <w:szCs w:val="20"/>
              </w:rPr>
            </w:pPr>
            <w:r>
              <w:rPr>
                <w:rFonts w:ascii="Arial" w:hAnsi="Arial" w:cs="Arial"/>
                <w:sz w:val="20"/>
                <w:szCs w:val="20"/>
              </w:rPr>
              <w:t>Administrator of the National Health Funding Pool</w:t>
            </w:r>
          </w:p>
        </w:tc>
      </w:tr>
      <w:tr w:rsidR="0084434E" w:rsidRPr="00F373CC" w14:paraId="49FE0CFE" w14:textId="77777777" w:rsidTr="00FF0E74">
        <w:tc>
          <w:tcPr>
            <w:tcW w:w="2694" w:type="dxa"/>
          </w:tcPr>
          <w:p w14:paraId="4D15D581" w14:textId="60E6670F" w:rsidR="0084434E" w:rsidRPr="00F00D91" w:rsidRDefault="0084434E" w:rsidP="000F3E16">
            <w:pPr>
              <w:spacing w:after="140"/>
              <w:rPr>
                <w:rFonts w:ascii="Arial" w:hAnsi="Arial" w:cs="Arial"/>
                <w:b/>
                <w:sz w:val="20"/>
                <w:szCs w:val="20"/>
              </w:rPr>
            </w:pPr>
            <w:r>
              <w:rPr>
                <w:rFonts w:ascii="Arial" w:hAnsi="Arial" w:cs="Arial"/>
                <w:b/>
                <w:sz w:val="20"/>
                <w:szCs w:val="20"/>
              </w:rPr>
              <w:t>The Aged Care Act</w:t>
            </w:r>
          </w:p>
        </w:tc>
        <w:tc>
          <w:tcPr>
            <w:tcW w:w="7388" w:type="dxa"/>
          </w:tcPr>
          <w:p w14:paraId="59AC81D7" w14:textId="33026193" w:rsidR="0084434E" w:rsidRPr="0084434E" w:rsidRDefault="0084434E" w:rsidP="000F3E16">
            <w:pPr>
              <w:spacing w:after="140"/>
              <w:rPr>
                <w:rFonts w:ascii="Arial" w:hAnsi="Arial" w:cs="Arial"/>
                <w:i/>
                <w:iCs/>
                <w:sz w:val="20"/>
                <w:szCs w:val="20"/>
              </w:rPr>
            </w:pPr>
            <w:r>
              <w:rPr>
                <w:rFonts w:ascii="Arial" w:hAnsi="Arial" w:cs="Arial"/>
                <w:i/>
                <w:iCs/>
                <w:sz w:val="20"/>
                <w:szCs w:val="20"/>
              </w:rPr>
              <w:t>Aged Care Act 2024</w:t>
            </w:r>
          </w:p>
        </w:tc>
      </w:tr>
      <w:tr w:rsidR="005331A6" w:rsidRPr="00F373CC" w14:paraId="36426E6F" w14:textId="77777777" w:rsidTr="00FF0E74">
        <w:tc>
          <w:tcPr>
            <w:tcW w:w="2694" w:type="dxa"/>
          </w:tcPr>
          <w:p w14:paraId="2F1E0A64" w14:textId="02792921" w:rsidR="005331A6" w:rsidRPr="00F00D91" w:rsidRDefault="005331A6" w:rsidP="000F3E16">
            <w:pPr>
              <w:spacing w:after="140"/>
              <w:rPr>
                <w:rFonts w:ascii="Arial" w:hAnsi="Arial" w:cs="Arial"/>
                <w:b/>
                <w:sz w:val="20"/>
                <w:szCs w:val="20"/>
              </w:rPr>
            </w:pPr>
            <w:r w:rsidRPr="00F00D91">
              <w:rPr>
                <w:rFonts w:ascii="Arial" w:hAnsi="Arial" w:cs="Arial"/>
                <w:b/>
                <w:sz w:val="20"/>
                <w:szCs w:val="20"/>
              </w:rPr>
              <w:t>The Commission</w:t>
            </w:r>
          </w:p>
        </w:tc>
        <w:tc>
          <w:tcPr>
            <w:tcW w:w="7388" w:type="dxa"/>
          </w:tcPr>
          <w:p w14:paraId="2E816D14" w14:textId="151C955C" w:rsidR="005331A6" w:rsidRPr="00F00D91" w:rsidRDefault="005331A6" w:rsidP="000F3E16">
            <w:pPr>
              <w:spacing w:after="140"/>
              <w:rPr>
                <w:rFonts w:ascii="Arial" w:hAnsi="Arial" w:cs="Arial"/>
                <w:sz w:val="20"/>
                <w:szCs w:val="20"/>
              </w:rPr>
            </w:pPr>
            <w:r w:rsidRPr="00F00D91">
              <w:rPr>
                <w:rFonts w:ascii="Arial" w:hAnsi="Arial" w:cs="Arial"/>
                <w:sz w:val="20"/>
                <w:szCs w:val="20"/>
              </w:rPr>
              <w:t>Australian Commission on Safety and Quality in Health Care</w:t>
            </w:r>
          </w:p>
        </w:tc>
      </w:tr>
      <w:tr w:rsidR="005331A6" w:rsidRPr="00F373CC" w14:paraId="5FB9423F" w14:textId="77777777" w:rsidTr="00FF0E74">
        <w:tc>
          <w:tcPr>
            <w:tcW w:w="2694" w:type="dxa"/>
          </w:tcPr>
          <w:p w14:paraId="2D55C9A2" w14:textId="5B9F6995" w:rsidR="005331A6" w:rsidRPr="00F00D91" w:rsidRDefault="005331A6" w:rsidP="000F3E16">
            <w:pPr>
              <w:spacing w:after="140"/>
              <w:rPr>
                <w:rFonts w:ascii="Arial" w:hAnsi="Arial" w:cs="Arial"/>
                <w:b/>
                <w:sz w:val="20"/>
                <w:szCs w:val="20"/>
              </w:rPr>
            </w:pPr>
            <w:r w:rsidRPr="00F00D91">
              <w:rPr>
                <w:rFonts w:ascii="Arial" w:hAnsi="Arial" w:cs="Arial"/>
                <w:b/>
                <w:sz w:val="20"/>
                <w:szCs w:val="20"/>
              </w:rPr>
              <w:t>The NHR Act</w:t>
            </w:r>
          </w:p>
        </w:tc>
        <w:tc>
          <w:tcPr>
            <w:tcW w:w="7388" w:type="dxa"/>
          </w:tcPr>
          <w:p w14:paraId="4F252996" w14:textId="26786B2D" w:rsidR="005331A6" w:rsidRPr="00F00D91" w:rsidRDefault="005331A6" w:rsidP="000F3E16">
            <w:pPr>
              <w:spacing w:after="140"/>
              <w:rPr>
                <w:rFonts w:ascii="Arial" w:hAnsi="Arial" w:cs="Arial"/>
                <w:i/>
                <w:iCs/>
                <w:sz w:val="20"/>
                <w:szCs w:val="20"/>
              </w:rPr>
            </w:pPr>
            <w:r w:rsidRPr="00F00D91">
              <w:rPr>
                <w:rFonts w:ascii="Arial" w:hAnsi="Arial" w:cs="Arial"/>
                <w:i/>
                <w:iCs/>
                <w:sz w:val="20"/>
                <w:szCs w:val="20"/>
              </w:rPr>
              <w:t>National Health Reform Act 2011</w:t>
            </w:r>
          </w:p>
        </w:tc>
      </w:tr>
      <w:tr w:rsidR="005331A6" w:rsidRPr="00F373CC" w14:paraId="6F62D1E2" w14:textId="77777777" w:rsidTr="00FF0E74">
        <w:tc>
          <w:tcPr>
            <w:tcW w:w="2694" w:type="dxa"/>
          </w:tcPr>
          <w:p w14:paraId="4A808A21" w14:textId="24057D35" w:rsidR="005331A6" w:rsidRPr="00F00D91" w:rsidRDefault="005331A6" w:rsidP="000F3E16">
            <w:pPr>
              <w:spacing w:after="140"/>
              <w:rPr>
                <w:rFonts w:ascii="Arial" w:hAnsi="Arial" w:cs="Arial"/>
                <w:b/>
                <w:sz w:val="20"/>
                <w:szCs w:val="20"/>
              </w:rPr>
            </w:pPr>
            <w:r w:rsidRPr="00F00D91">
              <w:rPr>
                <w:rFonts w:ascii="Arial" w:hAnsi="Arial" w:cs="Arial"/>
                <w:b/>
                <w:sz w:val="20"/>
                <w:szCs w:val="20"/>
              </w:rPr>
              <w:t>The PGPA Act</w:t>
            </w:r>
          </w:p>
        </w:tc>
        <w:tc>
          <w:tcPr>
            <w:tcW w:w="7388" w:type="dxa"/>
          </w:tcPr>
          <w:p w14:paraId="403FEC8E" w14:textId="0BD4DB0B" w:rsidR="005331A6" w:rsidRPr="00F00D91" w:rsidRDefault="005331A6" w:rsidP="000F3E16">
            <w:pPr>
              <w:spacing w:after="140"/>
              <w:rPr>
                <w:rFonts w:ascii="Arial" w:hAnsi="Arial" w:cs="Arial"/>
                <w:i/>
                <w:iCs/>
                <w:sz w:val="20"/>
                <w:szCs w:val="20"/>
              </w:rPr>
            </w:pPr>
            <w:r w:rsidRPr="00F00D91">
              <w:rPr>
                <w:rFonts w:ascii="Arial" w:hAnsi="Arial" w:cs="Arial"/>
                <w:i/>
                <w:iCs/>
                <w:sz w:val="20"/>
                <w:szCs w:val="20"/>
              </w:rPr>
              <w:t>Public Governance, Performance and Accountability Act 2013</w:t>
            </w:r>
          </w:p>
        </w:tc>
      </w:tr>
      <w:tr w:rsidR="008550D6" w:rsidRPr="00F373CC" w14:paraId="38B556E2" w14:textId="77777777" w:rsidTr="00FF0E74">
        <w:tc>
          <w:tcPr>
            <w:tcW w:w="2694" w:type="dxa"/>
          </w:tcPr>
          <w:p w14:paraId="4DC8FF07" w14:textId="785B3995" w:rsidR="008550D6" w:rsidRPr="00F00D91" w:rsidRDefault="008550D6" w:rsidP="000F3E16">
            <w:pPr>
              <w:spacing w:after="140"/>
              <w:rPr>
                <w:rFonts w:ascii="Arial" w:hAnsi="Arial" w:cs="Arial"/>
                <w:b/>
                <w:sz w:val="20"/>
                <w:szCs w:val="20"/>
              </w:rPr>
            </w:pPr>
            <w:r w:rsidRPr="00F00D91">
              <w:rPr>
                <w:rFonts w:ascii="Arial" w:hAnsi="Arial" w:cs="Arial"/>
                <w:b/>
                <w:sz w:val="20"/>
                <w:szCs w:val="20"/>
              </w:rPr>
              <w:t>The PGPA Rule</w:t>
            </w:r>
          </w:p>
        </w:tc>
        <w:tc>
          <w:tcPr>
            <w:tcW w:w="7388" w:type="dxa"/>
          </w:tcPr>
          <w:p w14:paraId="32EC924D" w14:textId="022F919D" w:rsidR="008550D6" w:rsidRPr="00F00D91" w:rsidRDefault="00040A82" w:rsidP="000F3E16">
            <w:pPr>
              <w:spacing w:after="140"/>
              <w:rPr>
                <w:rFonts w:ascii="Arial" w:hAnsi="Arial" w:cs="Arial"/>
                <w:i/>
                <w:iCs/>
                <w:sz w:val="20"/>
                <w:szCs w:val="20"/>
              </w:rPr>
            </w:pPr>
            <w:r w:rsidRPr="00F00D91">
              <w:rPr>
                <w:rFonts w:ascii="Arial" w:hAnsi="Arial" w:cs="Arial"/>
                <w:i/>
                <w:iCs/>
                <w:sz w:val="20"/>
                <w:szCs w:val="20"/>
              </w:rPr>
              <w:t>Public Governance, Performance and Accountability Rule 2014</w:t>
            </w:r>
          </w:p>
        </w:tc>
      </w:tr>
      <w:tr w:rsidR="005331A6" w:rsidRPr="00F373CC" w14:paraId="7F98AE6B" w14:textId="77777777" w:rsidTr="00FF0E74">
        <w:tc>
          <w:tcPr>
            <w:tcW w:w="2694" w:type="dxa"/>
          </w:tcPr>
          <w:p w14:paraId="69096D81" w14:textId="7EF7BA3F" w:rsidR="005331A6" w:rsidRPr="00F00D91" w:rsidRDefault="005331A6" w:rsidP="000F3E16">
            <w:pPr>
              <w:spacing w:after="140"/>
              <w:rPr>
                <w:rFonts w:ascii="Arial" w:hAnsi="Arial" w:cs="Arial"/>
                <w:b/>
                <w:sz w:val="20"/>
                <w:szCs w:val="20"/>
              </w:rPr>
            </w:pPr>
            <w:r w:rsidRPr="00F00D91">
              <w:rPr>
                <w:rFonts w:ascii="Arial" w:hAnsi="Arial" w:cs="Arial"/>
                <w:b/>
                <w:sz w:val="20"/>
                <w:szCs w:val="20"/>
              </w:rPr>
              <w:t>The Pricing Authority</w:t>
            </w:r>
          </w:p>
        </w:tc>
        <w:tc>
          <w:tcPr>
            <w:tcW w:w="7388" w:type="dxa"/>
          </w:tcPr>
          <w:p w14:paraId="29BAD561" w14:textId="310441DD" w:rsidR="005331A6" w:rsidRPr="00F00D91" w:rsidRDefault="005331A6" w:rsidP="000F3E16">
            <w:pPr>
              <w:spacing w:after="140"/>
              <w:rPr>
                <w:rFonts w:ascii="Arial" w:hAnsi="Arial" w:cs="Arial"/>
                <w:sz w:val="20"/>
                <w:szCs w:val="20"/>
                <w:u w:val="single"/>
              </w:rPr>
            </w:pPr>
            <w:r w:rsidRPr="00F00D91">
              <w:rPr>
                <w:rFonts w:ascii="Arial" w:hAnsi="Arial" w:cs="Arial"/>
                <w:sz w:val="20"/>
                <w:szCs w:val="20"/>
              </w:rPr>
              <w:t>Governing body of the Independent Health and Aged Care Pricing Authority</w:t>
            </w:r>
          </w:p>
        </w:tc>
      </w:tr>
    </w:tbl>
    <w:p w14:paraId="38F07479" w14:textId="5DE2FC8C" w:rsidR="00021213" w:rsidRPr="00AC04B2" w:rsidRDefault="00021213" w:rsidP="00F00D91">
      <w:pPr>
        <w:pStyle w:val="Body"/>
      </w:pPr>
      <w:bookmarkStart w:id="14" w:name="_Toc55044571"/>
    </w:p>
    <w:p w14:paraId="611DF28A" w14:textId="7BB1160D" w:rsidR="0091323E" w:rsidRPr="00D05BDE" w:rsidRDefault="008D5984" w:rsidP="00D05BDE">
      <w:pPr>
        <w:pStyle w:val="TOCHeading"/>
      </w:pPr>
      <w:bookmarkStart w:id="15" w:name="_Toc223594815"/>
      <w:r w:rsidRPr="00D05BDE">
        <w:t>1.</w:t>
      </w:r>
      <w:r w:rsidRPr="00D05BDE">
        <w:tab/>
      </w:r>
      <w:r w:rsidR="001C2002" w:rsidRPr="00D05BDE">
        <w:t>Introduction</w:t>
      </w:r>
      <w:bookmarkEnd w:id="14"/>
      <w:bookmarkEnd w:id="15"/>
    </w:p>
    <w:p w14:paraId="094B57C1" w14:textId="56255EF6" w:rsidR="00F728CB" w:rsidRPr="00AC04B2" w:rsidDel="00AF719D" w:rsidRDefault="00F728CB" w:rsidP="00F00D91">
      <w:pPr>
        <w:pStyle w:val="Body"/>
      </w:pPr>
      <w:r w:rsidRPr="00AC04B2" w:rsidDel="00AF719D">
        <w:t xml:space="preserve">The Independent </w:t>
      </w:r>
      <w:r w:rsidR="002C6351">
        <w:t>Health and Aged Care</w:t>
      </w:r>
      <w:r w:rsidR="002C6351" w:rsidRPr="00AC04B2" w:rsidDel="00AF719D">
        <w:t xml:space="preserve"> </w:t>
      </w:r>
      <w:r w:rsidRPr="00AC04B2" w:rsidDel="00AF719D">
        <w:t>Pricing Authority (IH</w:t>
      </w:r>
      <w:r w:rsidR="002C6351">
        <w:t>AC</w:t>
      </w:r>
      <w:r w:rsidRPr="00AC04B2" w:rsidDel="00AF719D">
        <w:t xml:space="preserve">PA) </w:t>
      </w:r>
      <w:r w:rsidR="007B7509">
        <w:t>i</w:t>
      </w:r>
      <w:r w:rsidR="007B7509" w:rsidRPr="00AC04B2" w:rsidDel="00AF719D">
        <w:t xml:space="preserve">s </w:t>
      </w:r>
      <w:r w:rsidR="00E603DD">
        <w:t xml:space="preserve">an independent government agency </w:t>
      </w:r>
      <w:r w:rsidRPr="00AC04B2" w:rsidDel="00AF719D">
        <w:t xml:space="preserve">established </w:t>
      </w:r>
      <w:r w:rsidR="00132B10">
        <w:t>through</w:t>
      </w:r>
      <w:r w:rsidRPr="00AC04B2">
        <w:t xml:space="preserve"> the National Health Reform Agreement </w:t>
      </w:r>
      <w:r w:rsidR="00B35743">
        <w:t xml:space="preserve">(NHRA) </w:t>
      </w:r>
      <w:r w:rsidRPr="00AC04B2">
        <w:t xml:space="preserve">and </w:t>
      </w:r>
      <w:r w:rsidRPr="00AC04B2" w:rsidDel="00AF719D">
        <w:t xml:space="preserve">under the </w:t>
      </w:r>
      <w:r w:rsidRPr="00AC04B2">
        <w:rPr>
          <w:i/>
          <w:iCs/>
        </w:rPr>
        <w:t>National Health Reform Act 2011</w:t>
      </w:r>
      <w:r w:rsidRPr="00AC04B2">
        <w:t xml:space="preserve"> (the </w:t>
      </w:r>
      <w:r w:rsidRPr="00AC04B2" w:rsidDel="00AF719D">
        <w:t>NHR Act</w:t>
      </w:r>
      <w:r w:rsidRPr="00AC04B2">
        <w:t>)</w:t>
      </w:r>
      <w:r w:rsidRPr="00AC04B2" w:rsidDel="00AF719D">
        <w:t xml:space="preserve"> to improve health </w:t>
      </w:r>
      <w:r w:rsidR="00F55C6A">
        <w:t xml:space="preserve">and aged care </w:t>
      </w:r>
      <w:r w:rsidRPr="00AC04B2" w:rsidDel="00AF719D">
        <w:t>outcomes for all Australians.</w:t>
      </w:r>
    </w:p>
    <w:p w14:paraId="10701B91" w14:textId="22F5FD14" w:rsidR="008F77BB" w:rsidRDefault="006319C9" w:rsidP="00F00D91">
      <w:pPr>
        <w:pStyle w:val="Body"/>
      </w:pPr>
      <w:r w:rsidRPr="00AC04B2" w:rsidDel="00AF719D">
        <w:t xml:space="preserve">The </w:t>
      </w:r>
      <w:r w:rsidR="004C492C" w:rsidRPr="00AC04B2" w:rsidDel="00AF719D">
        <w:t>IH</w:t>
      </w:r>
      <w:r w:rsidR="004C6791" w:rsidRPr="00AC04B2" w:rsidDel="00AF719D">
        <w:t>AC</w:t>
      </w:r>
      <w:r w:rsidR="004C492C" w:rsidRPr="00AC04B2" w:rsidDel="00AF719D">
        <w:t>PA Work Program 202</w:t>
      </w:r>
      <w:r w:rsidR="00A86C63">
        <w:t>6</w:t>
      </w:r>
      <w:r w:rsidR="004C492C" w:rsidRPr="00AC04B2" w:rsidDel="00AF719D">
        <w:t>–2</w:t>
      </w:r>
      <w:r w:rsidR="00A86C63">
        <w:t>7</w:t>
      </w:r>
      <w:r w:rsidR="005A7F48">
        <w:t xml:space="preserve"> articulates the key activities under sections 131, 131A and 131(1A) of the NHR Act that IHACPA </w:t>
      </w:r>
      <w:r w:rsidR="00185373">
        <w:t>w</w:t>
      </w:r>
      <w:r w:rsidR="005A7F48">
        <w:t xml:space="preserve">ill undertake </w:t>
      </w:r>
      <w:r w:rsidR="005B4888">
        <w:t xml:space="preserve">during the </w:t>
      </w:r>
      <w:r w:rsidR="00555D27">
        <w:t>2026–27 reporting period</w:t>
      </w:r>
      <w:r w:rsidR="004C492C" w:rsidRPr="00AC04B2">
        <w:t>.</w:t>
      </w:r>
      <w:r w:rsidR="00555D27">
        <w:t xml:space="preserve"> </w:t>
      </w:r>
      <w:r w:rsidR="004C492C" w:rsidRPr="00AC04B2">
        <w:t xml:space="preserve">The project deliverables under each </w:t>
      </w:r>
      <w:r w:rsidR="00555D27">
        <w:t>key activity</w:t>
      </w:r>
      <w:r w:rsidR="004C492C" w:rsidRPr="00AC04B2">
        <w:t xml:space="preserve"> are prioritised and shaped by engagement with stakeholders through</w:t>
      </w:r>
      <w:r w:rsidR="00C663C3" w:rsidRPr="00AC04B2">
        <w:t xml:space="preserve"> the Pricing Authority </w:t>
      </w:r>
      <w:r w:rsidRPr="00AC04B2">
        <w:t>(</w:t>
      </w:r>
      <w:r w:rsidR="00B67BE0" w:rsidRPr="00AC04B2">
        <w:t>the governing body of IHACPA</w:t>
      </w:r>
      <w:r w:rsidRPr="00AC04B2">
        <w:t xml:space="preserve">), </w:t>
      </w:r>
      <w:r w:rsidR="004C492C" w:rsidRPr="00AC04B2">
        <w:t>advisory committees and working groups, and through public consultation.</w:t>
      </w:r>
    </w:p>
    <w:p w14:paraId="2FAE0E88" w14:textId="53C11806" w:rsidR="00B35743" w:rsidRPr="00AC04B2" w:rsidRDefault="00B35743" w:rsidP="00F00D91">
      <w:pPr>
        <w:pStyle w:val="Body"/>
      </w:pPr>
      <w:r>
        <w:t>The new Addendum to the NHRA</w:t>
      </w:r>
      <w:r w:rsidR="00C3531D">
        <w:t xml:space="preserve"> 2026</w:t>
      </w:r>
      <w:r w:rsidR="009E2A19">
        <w:t>–</w:t>
      </w:r>
      <w:r w:rsidR="00C3531D">
        <w:t>2031</w:t>
      </w:r>
      <w:r>
        <w:t xml:space="preserve"> </w:t>
      </w:r>
      <w:bookmarkStart w:id="16" w:name="_Hlk222123618"/>
      <w:r w:rsidR="00A94232">
        <w:t>has been</w:t>
      </w:r>
      <w:r>
        <w:t xml:space="preserve"> finalised </w:t>
      </w:r>
      <w:r w:rsidR="00A6538F">
        <w:t>and</w:t>
      </w:r>
      <w:r>
        <w:rPr>
          <w:rFonts w:eastAsiaTheme="majorEastAsia"/>
          <w:szCs w:val="18"/>
        </w:rPr>
        <w:t xml:space="preserve"> </w:t>
      </w:r>
      <w:r w:rsidR="00A94232">
        <w:rPr>
          <w:rFonts w:eastAsiaTheme="majorEastAsia"/>
          <w:szCs w:val="18"/>
        </w:rPr>
        <w:t>contains</w:t>
      </w:r>
      <w:r>
        <w:rPr>
          <w:rFonts w:eastAsiaTheme="majorEastAsia"/>
          <w:szCs w:val="18"/>
        </w:rPr>
        <w:t xml:space="preserve"> reforms </w:t>
      </w:r>
      <w:r w:rsidR="00A6538F">
        <w:rPr>
          <w:rFonts w:eastAsiaTheme="majorEastAsia"/>
          <w:szCs w:val="18"/>
        </w:rPr>
        <w:t>r</w:t>
      </w:r>
      <w:r>
        <w:rPr>
          <w:rFonts w:eastAsiaTheme="majorEastAsia"/>
          <w:szCs w:val="18"/>
        </w:rPr>
        <w:t>equiring</w:t>
      </w:r>
      <w:r w:rsidR="00A6538F">
        <w:rPr>
          <w:rFonts w:eastAsiaTheme="majorEastAsia"/>
          <w:szCs w:val="18"/>
        </w:rPr>
        <w:t xml:space="preserve"> IHACPA to undertake a significant body of </w:t>
      </w:r>
      <w:r w:rsidR="00BC1A37">
        <w:rPr>
          <w:rFonts w:eastAsiaTheme="majorEastAsia"/>
          <w:szCs w:val="18"/>
        </w:rPr>
        <w:t xml:space="preserve">new </w:t>
      </w:r>
      <w:r w:rsidR="00A6538F">
        <w:rPr>
          <w:rFonts w:eastAsiaTheme="majorEastAsia"/>
          <w:szCs w:val="18"/>
        </w:rPr>
        <w:t>work</w:t>
      </w:r>
      <w:r>
        <w:t xml:space="preserve">. </w:t>
      </w:r>
      <w:r w:rsidR="00BC1A37">
        <w:t>F</w:t>
      </w:r>
      <w:r w:rsidR="00A6538F">
        <w:t xml:space="preserve">ollowing publication of the </w:t>
      </w:r>
      <w:r w:rsidR="00BC1A37">
        <w:t>Addendum to the NHRA 2026</w:t>
      </w:r>
      <w:r w:rsidR="00556F76">
        <w:t>–</w:t>
      </w:r>
      <w:r w:rsidR="00BC1A37">
        <w:t>2031, IHACPA</w:t>
      </w:r>
      <w:r w:rsidR="00E2295A">
        <w:t xml:space="preserve"> will review and update the Work Program 2026</w:t>
      </w:r>
      <w:r w:rsidR="00556F76">
        <w:t>–</w:t>
      </w:r>
      <w:r w:rsidR="00E2295A">
        <w:t>27</w:t>
      </w:r>
      <w:r w:rsidR="00CB7B35">
        <w:t xml:space="preserve"> prior to its finalisation</w:t>
      </w:r>
      <w:r w:rsidR="00A6538F">
        <w:t>.</w:t>
      </w:r>
      <w:r>
        <w:t xml:space="preserve"> </w:t>
      </w:r>
      <w:bookmarkEnd w:id="16"/>
    </w:p>
    <w:p w14:paraId="6E1559CC" w14:textId="730FB2CE" w:rsidR="006E7666" w:rsidRPr="00D05BDE" w:rsidRDefault="00CE28D7" w:rsidP="00D05BDE">
      <w:pPr>
        <w:pStyle w:val="H2"/>
      </w:pPr>
      <w:bookmarkStart w:id="17" w:name="_Toc55044572"/>
      <w:bookmarkStart w:id="18" w:name="_Toc55053978"/>
      <w:bookmarkStart w:id="19" w:name="_Toc223594816"/>
      <w:r w:rsidRPr="00D05BDE">
        <w:t>1.1</w:t>
      </w:r>
      <w:bookmarkEnd w:id="17"/>
      <w:bookmarkEnd w:id="18"/>
      <w:r w:rsidR="007F392E" w:rsidRPr="00D05BDE">
        <w:tab/>
      </w:r>
      <w:r w:rsidR="004C492C" w:rsidRPr="00D05BDE">
        <w:t>Purpose</w:t>
      </w:r>
      <w:bookmarkEnd w:id="19"/>
    </w:p>
    <w:p w14:paraId="64C78882" w14:textId="77777777" w:rsidR="00F55C6A" w:rsidRPr="00AB5FE4" w:rsidRDefault="00F55C6A" w:rsidP="00D05BDE">
      <w:pPr>
        <w:pStyle w:val="Heading3"/>
        <w:rPr>
          <w:sz w:val="26"/>
          <w:szCs w:val="26"/>
        </w:rPr>
      </w:pPr>
      <w:bookmarkStart w:id="20" w:name="_Hlk118122702"/>
      <w:r w:rsidRPr="00AB5FE4">
        <w:rPr>
          <w:sz w:val="26"/>
          <w:szCs w:val="26"/>
        </w:rPr>
        <w:t>Public hospitals</w:t>
      </w:r>
    </w:p>
    <w:p w14:paraId="4422C6DE" w14:textId="304C3BDE" w:rsidR="006E7666" w:rsidRPr="00AC04B2" w:rsidRDefault="00FF7D5B" w:rsidP="00F00D91">
      <w:pPr>
        <w:pStyle w:val="Body"/>
      </w:pPr>
      <w:r w:rsidRPr="00AC04B2">
        <w:t>IH</w:t>
      </w:r>
      <w:r w:rsidR="00BE373B" w:rsidRPr="00AC04B2">
        <w:t>AC</w:t>
      </w:r>
      <w:r w:rsidRPr="00AC04B2">
        <w:t>PA’s role</w:t>
      </w:r>
      <w:r w:rsidR="00BE373B" w:rsidRPr="00AC04B2">
        <w:t xml:space="preserve"> </w:t>
      </w:r>
      <w:r w:rsidR="002112FE" w:rsidRPr="00AC04B2">
        <w:t xml:space="preserve">pertaining to pricing and funding for </w:t>
      </w:r>
      <w:r w:rsidR="00BE373B" w:rsidRPr="00AC04B2">
        <w:t>public hospital</w:t>
      </w:r>
      <w:r w:rsidR="001E5633" w:rsidRPr="00AC04B2">
        <w:t xml:space="preserve"> service</w:t>
      </w:r>
      <w:r w:rsidR="00BE373B" w:rsidRPr="00AC04B2">
        <w:t xml:space="preserve">s </w:t>
      </w:r>
      <w:r w:rsidR="002112FE" w:rsidRPr="00AC04B2">
        <w:t>include</w:t>
      </w:r>
      <w:r w:rsidR="001E5633" w:rsidRPr="00AC04B2">
        <w:t>s</w:t>
      </w:r>
      <w:r w:rsidR="006E7666" w:rsidRPr="00AC04B2">
        <w:t>:</w:t>
      </w:r>
    </w:p>
    <w:p w14:paraId="5D216B2B" w14:textId="47AFF5B1" w:rsidR="002112FE" w:rsidRPr="00F00D91" w:rsidRDefault="002112FE" w:rsidP="002852C9">
      <w:pPr>
        <w:pStyle w:val="BulletList"/>
      </w:pPr>
      <w:r w:rsidRPr="00E25924">
        <w:t>determining</w:t>
      </w:r>
      <w:r w:rsidRPr="00AC04B2">
        <w:t xml:space="preserve"> the </w:t>
      </w:r>
      <w:r w:rsidR="00B67BE0" w:rsidRPr="00F00D91">
        <w:t>national efficient price (</w:t>
      </w:r>
      <w:r w:rsidRPr="00F00D91">
        <w:t>NEP</w:t>
      </w:r>
      <w:r w:rsidR="00B67BE0" w:rsidRPr="00F00D91">
        <w:t>)</w:t>
      </w:r>
      <w:r w:rsidRPr="00F00D91">
        <w:t xml:space="preserve"> for health care services provided by public hospitals where the services are funded on an activity basis</w:t>
      </w:r>
    </w:p>
    <w:p w14:paraId="661934F3" w14:textId="44715E11" w:rsidR="002112FE" w:rsidRPr="00F00D91" w:rsidRDefault="002112FE" w:rsidP="00E25924">
      <w:pPr>
        <w:pStyle w:val="BulletList"/>
      </w:pPr>
      <w:r w:rsidRPr="00F00D91">
        <w:t xml:space="preserve">determining the </w:t>
      </w:r>
      <w:r w:rsidR="00B67BE0" w:rsidRPr="00F00D91">
        <w:t>national efficient cost (</w:t>
      </w:r>
      <w:r w:rsidRPr="00F00D91">
        <w:t>NEC</w:t>
      </w:r>
      <w:r w:rsidR="00B67BE0" w:rsidRPr="00F00D91">
        <w:t>)</w:t>
      </w:r>
      <w:r w:rsidRPr="00F00D91">
        <w:t xml:space="preserve"> for health care services provided by public hospitals where the services are block funded</w:t>
      </w:r>
    </w:p>
    <w:p w14:paraId="0E1CFBC0" w14:textId="4C32990D" w:rsidR="004E69C5" w:rsidRDefault="004E69C5" w:rsidP="00F07EB5">
      <w:pPr>
        <w:pStyle w:val="BulletList"/>
      </w:pPr>
      <w:r>
        <w:t>developing block funding criteria and determining which hospital</w:t>
      </w:r>
      <w:r w:rsidR="005C0C09">
        <w:t>s,</w:t>
      </w:r>
      <w:r>
        <w:t xml:space="preserve"> services and functions are eligible for block funding or a combination of </w:t>
      </w:r>
      <w:proofErr w:type="gramStart"/>
      <w:r>
        <w:t>activity based</w:t>
      </w:r>
      <w:proofErr w:type="gramEnd"/>
      <w:r>
        <w:t xml:space="preserve"> funding (ABF) and block funding</w:t>
      </w:r>
    </w:p>
    <w:p w14:paraId="7011306E" w14:textId="4C26709F" w:rsidR="002112FE" w:rsidRPr="00F00D91" w:rsidRDefault="002112FE" w:rsidP="00F07EB5">
      <w:pPr>
        <w:pStyle w:val="BulletList"/>
      </w:pPr>
      <w:r w:rsidRPr="00F00D91">
        <w:t>developing and specifying classification systems for health care and other services provided by public hospitals</w:t>
      </w:r>
    </w:p>
    <w:p w14:paraId="5E7BEA37" w14:textId="79BB68FD" w:rsidR="002112FE" w:rsidRPr="00F00D91" w:rsidRDefault="002112FE" w:rsidP="00E25924">
      <w:pPr>
        <w:pStyle w:val="BulletList"/>
      </w:pPr>
      <w:r w:rsidRPr="00F00D91">
        <w:t>determining adjustments to the NEP to reflect legitimate and unavoidable variations in the costs of delivering health care services</w:t>
      </w:r>
    </w:p>
    <w:p w14:paraId="54AE1A90" w14:textId="38258B8C" w:rsidR="002112FE" w:rsidRPr="00AC04B2" w:rsidRDefault="002112FE" w:rsidP="00E25924">
      <w:pPr>
        <w:pStyle w:val="BulletList"/>
      </w:pPr>
      <w:r w:rsidRPr="00F00D91">
        <w:t xml:space="preserve">determining data requirements and data </w:t>
      </w:r>
      <w:r w:rsidR="008C1221" w:rsidRPr="00F00D91">
        <w:t xml:space="preserve">and coding </w:t>
      </w:r>
      <w:r w:rsidRPr="00F00D91">
        <w:t>standards to apply in relation to data to be provided by jurisdictions</w:t>
      </w:r>
      <w:r w:rsidRPr="00AC04B2">
        <w:t>, including:</w:t>
      </w:r>
    </w:p>
    <w:p w14:paraId="363DED0A" w14:textId="77777777" w:rsidR="002112FE" w:rsidRPr="00AC04B2" w:rsidRDefault="002112FE" w:rsidP="00B35743">
      <w:pPr>
        <w:pStyle w:val="BulletList"/>
        <w:numPr>
          <w:ilvl w:val="1"/>
          <w:numId w:val="62"/>
        </w:numPr>
      </w:pPr>
      <w:r w:rsidRPr="00AC04B2">
        <w:t>data and coding standards to support uniform provision of data; and</w:t>
      </w:r>
    </w:p>
    <w:p w14:paraId="00BB739A" w14:textId="2F92FD0E" w:rsidR="002112FE" w:rsidRPr="00AC04B2" w:rsidRDefault="002112FE" w:rsidP="00B35743">
      <w:pPr>
        <w:pStyle w:val="BulletList"/>
        <w:numPr>
          <w:ilvl w:val="1"/>
          <w:numId w:val="62"/>
        </w:numPr>
      </w:pPr>
      <w:r w:rsidRPr="00AC04B2">
        <w:t>requirements and standards relating to patient demographic characteristics and other information relevant to classifying, costing and paying for public hospital functions</w:t>
      </w:r>
    </w:p>
    <w:p w14:paraId="1EFB6C26" w14:textId="475B05E1" w:rsidR="006E7666" w:rsidRPr="00AC04B2" w:rsidRDefault="002112FE" w:rsidP="00B20E4E">
      <w:pPr>
        <w:pStyle w:val="BulletList"/>
      </w:pPr>
      <w:r w:rsidRPr="00AC04B2">
        <w:t>except where otherwise agreed between the Commonwealth and a state or territory – determining the public hospital functions that are to be funded in the state or territory by the Commonwealth</w:t>
      </w:r>
      <w:r w:rsidR="008C1221" w:rsidRPr="00AC04B2">
        <w:t>.</w:t>
      </w:r>
    </w:p>
    <w:p w14:paraId="32121858" w14:textId="77777777" w:rsidR="00F55C6A" w:rsidRPr="00AB5FE4" w:rsidRDefault="00F55C6A" w:rsidP="00D05BDE">
      <w:pPr>
        <w:pStyle w:val="Heading3"/>
        <w:rPr>
          <w:sz w:val="26"/>
          <w:szCs w:val="26"/>
        </w:rPr>
      </w:pPr>
      <w:r w:rsidRPr="00AB5FE4">
        <w:rPr>
          <w:sz w:val="26"/>
          <w:szCs w:val="26"/>
        </w:rPr>
        <w:t>Aged care</w:t>
      </w:r>
    </w:p>
    <w:p w14:paraId="47B87BE3" w14:textId="06D56FD6" w:rsidR="00BE373B" w:rsidRPr="00AC04B2" w:rsidRDefault="00BE373B" w:rsidP="00F00D91">
      <w:pPr>
        <w:pStyle w:val="Body"/>
      </w:pPr>
      <w:r w:rsidRPr="00AC04B2">
        <w:t xml:space="preserve">IHACPA’s role </w:t>
      </w:r>
      <w:r w:rsidR="006444BE" w:rsidRPr="00AC04B2">
        <w:t xml:space="preserve">pertaining to the provision of </w:t>
      </w:r>
      <w:r w:rsidR="002A2BAE" w:rsidRPr="00AC04B2">
        <w:t xml:space="preserve">advice on aged care </w:t>
      </w:r>
      <w:r w:rsidR="000A1BFE">
        <w:t xml:space="preserve">pricing and </w:t>
      </w:r>
      <w:r w:rsidR="002A2BAE" w:rsidRPr="00AC04B2">
        <w:t xml:space="preserve">costing matters to the </w:t>
      </w:r>
      <w:r w:rsidR="00B20E4E">
        <w:t>Australian Government</w:t>
      </w:r>
      <w:r w:rsidR="00B20E4E" w:rsidRPr="00AC04B2">
        <w:t xml:space="preserve"> </w:t>
      </w:r>
      <w:r w:rsidR="00542C0D">
        <w:t>Minister for Health and Ageing</w:t>
      </w:r>
      <w:r w:rsidR="006444BE" w:rsidRPr="00AC04B2">
        <w:t xml:space="preserve"> includes</w:t>
      </w:r>
      <w:r w:rsidRPr="00AC04B2">
        <w:t>:</w:t>
      </w:r>
    </w:p>
    <w:p w14:paraId="6DBAD59E" w14:textId="77777777" w:rsidR="00213BA3" w:rsidRDefault="00213BA3" w:rsidP="00213BA3">
      <w:pPr>
        <w:pStyle w:val="BulletList"/>
      </w:pPr>
      <w:r>
        <w:t>providing advice in relation to one or more aged care pricing or costing matters, including in relation to methods for calculating amounts of subsidies to be paid for aged care services, for consideration in Australian Government funding decisions</w:t>
      </w:r>
    </w:p>
    <w:p w14:paraId="33A208C2" w14:textId="77777777" w:rsidR="00213BA3" w:rsidRDefault="00213BA3" w:rsidP="00213BA3">
      <w:pPr>
        <w:pStyle w:val="BulletList"/>
      </w:pPr>
      <w:r>
        <w:t>collecting and reviewing data, conducting costing and other studies, and undertaking consultation for the purpose of providing aged care pricing and costing advice</w:t>
      </w:r>
    </w:p>
    <w:p w14:paraId="6A36C5C7" w14:textId="3F9DC92C" w:rsidR="00213BA3" w:rsidRDefault="00213BA3" w:rsidP="00213BA3">
      <w:pPr>
        <w:pStyle w:val="BulletList"/>
      </w:pPr>
      <w:r>
        <w:lastRenderedPageBreak/>
        <w:t xml:space="preserve">performing such functions as conferred by the </w:t>
      </w:r>
      <w:r>
        <w:rPr>
          <w:i/>
          <w:iCs/>
        </w:rPr>
        <w:t>Aged Care Act 2024</w:t>
      </w:r>
      <w:r>
        <w:t>, including the approval of accommodation payment amounts above the maximum accommodation payment amount</w:t>
      </w:r>
      <w:r w:rsidR="001B759F" w:rsidRPr="001B759F">
        <w:t>, or the equivalent daily accommodation payment, as prescribed by the Aged Care Rules 2025</w:t>
      </w:r>
      <w:r>
        <w:t>.</w:t>
      </w:r>
    </w:p>
    <w:p w14:paraId="2E47041C" w14:textId="6E1B27AA" w:rsidR="002A2BAE" w:rsidRPr="00AC04B2" w:rsidRDefault="002A2BAE" w:rsidP="00E25924">
      <w:pPr>
        <w:pStyle w:val="BulletList"/>
      </w:pPr>
      <w:r w:rsidRPr="00AC04B2">
        <w:t>performing other functions relating to aged care (if any) specified in regulations</w:t>
      </w:r>
    </w:p>
    <w:p w14:paraId="2C8409E0" w14:textId="720A60DA" w:rsidR="00BE373B" w:rsidRPr="00AC04B2" w:rsidRDefault="002A2BAE" w:rsidP="00E25924">
      <w:pPr>
        <w:pStyle w:val="BulletList"/>
      </w:pPr>
      <w:r w:rsidRPr="00AC04B2">
        <w:t>undertaking other actions incidental or conducive to the performance of the above functions</w:t>
      </w:r>
      <w:r w:rsidR="00BE373B" w:rsidRPr="00AC04B2">
        <w:t>.</w:t>
      </w:r>
    </w:p>
    <w:p w14:paraId="68D5B8B8" w14:textId="77777777" w:rsidR="00BC5048" w:rsidRPr="00AB5FE4" w:rsidRDefault="00BC5048" w:rsidP="00D05BDE">
      <w:pPr>
        <w:pStyle w:val="Heading3"/>
        <w:rPr>
          <w:sz w:val="26"/>
          <w:szCs w:val="26"/>
        </w:rPr>
      </w:pPr>
      <w:bookmarkStart w:id="21" w:name="_Toc55044574"/>
      <w:bookmarkStart w:id="22" w:name="_Toc55053980"/>
      <w:bookmarkStart w:id="23" w:name="_Toc55974108"/>
      <w:bookmarkEnd w:id="20"/>
      <w:r w:rsidRPr="00AB5FE4">
        <w:rPr>
          <w:sz w:val="26"/>
          <w:szCs w:val="26"/>
        </w:rPr>
        <w:t>Provision of advice to the Australian Government on other health care pricing or costing matters</w:t>
      </w:r>
    </w:p>
    <w:p w14:paraId="6A1C5E28" w14:textId="4FB64D1E" w:rsidR="00BC5048" w:rsidRDefault="00BC5048" w:rsidP="00BC5048">
      <w:pPr>
        <w:pStyle w:val="Body"/>
      </w:pPr>
      <w:r>
        <w:t>Under section 131(1</w:t>
      </w:r>
      <w:r w:rsidR="0007528A">
        <w:t>A</w:t>
      </w:r>
      <w:r>
        <w:t xml:space="preserve">) of the NHR Act, where requested by the Australian Government Minister </w:t>
      </w:r>
      <w:r w:rsidR="003E4B3E">
        <w:t xml:space="preserve">for Health and Ageing </w:t>
      </w:r>
      <w:r>
        <w:t xml:space="preserve">or </w:t>
      </w:r>
      <w:r w:rsidR="003E4B3E">
        <w:t xml:space="preserve">the </w:t>
      </w:r>
      <w:r w:rsidR="008A5201">
        <w:t>Secretary</w:t>
      </w:r>
      <w:r>
        <w:t xml:space="preserve"> of the Department of Health</w:t>
      </w:r>
      <w:r w:rsidR="007B7DB5">
        <w:t>, Disability</w:t>
      </w:r>
      <w:r>
        <w:t xml:space="preserve"> and </w:t>
      </w:r>
      <w:r w:rsidR="007B7DB5">
        <w:t>Ageing</w:t>
      </w:r>
      <w:r>
        <w:t xml:space="preserve">, IHACPA is required </w:t>
      </w:r>
      <w:r w:rsidRPr="00D94E17">
        <w:t xml:space="preserve">to advise the </w:t>
      </w:r>
      <w:r>
        <w:t>Australian Government</w:t>
      </w:r>
      <w:r w:rsidRPr="00D94E17">
        <w:t xml:space="preserve"> in relation to</w:t>
      </w:r>
      <w:r>
        <w:t xml:space="preserve"> other</w:t>
      </w:r>
      <w:r w:rsidRPr="00D94E17">
        <w:t xml:space="preserve"> health care pricing or costing matters (whether or not the matters relate to health care services provided by public hospitals)</w:t>
      </w:r>
      <w:r>
        <w:t xml:space="preserve">. </w:t>
      </w:r>
    </w:p>
    <w:p w14:paraId="09BC8005" w14:textId="0515C418" w:rsidR="00DF608A" w:rsidRDefault="00DF608A" w:rsidP="00DF608A">
      <w:pPr>
        <w:pStyle w:val="Body"/>
      </w:pPr>
    </w:p>
    <w:bookmarkEnd w:id="21"/>
    <w:bookmarkEnd w:id="22"/>
    <w:bookmarkEnd w:id="23"/>
    <w:p w14:paraId="4C2FEF51" w14:textId="07CCD082" w:rsidR="008366CF" w:rsidRPr="00AC04B2" w:rsidRDefault="008366CF" w:rsidP="00F00D91">
      <w:pPr>
        <w:pStyle w:val="Body"/>
      </w:pPr>
      <w:r w:rsidRPr="00AC04B2">
        <w:br w:type="page"/>
      </w:r>
    </w:p>
    <w:p w14:paraId="104E4D9F" w14:textId="1B6A10AC" w:rsidR="00BA4A46" w:rsidRPr="00AC04B2" w:rsidRDefault="00241EF6" w:rsidP="00D05BDE">
      <w:pPr>
        <w:pStyle w:val="TOCHeading"/>
      </w:pPr>
      <w:bookmarkStart w:id="24" w:name="_Toc55044575"/>
      <w:bookmarkStart w:id="25" w:name="_Toc223594817"/>
      <w:r w:rsidRPr="00AC04B2">
        <w:lastRenderedPageBreak/>
        <w:t>2</w:t>
      </w:r>
      <w:r w:rsidR="00836334" w:rsidRPr="00AC04B2">
        <w:t>.</w:t>
      </w:r>
      <w:r w:rsidR="008D5984" w:rsidRPr="00AC04B2">
        <w:tab/>
      </w:r>
      <w:r w:rsidR="00BA4A46" w:rsidRPr="00AC04B2">
        <w:t>Key activities</w:t>
      </w:r>
      <w:bookmarkEnd w:id="24"/>
      <w:r w:rsidR="00533395">
        <w:t xml:space="preserve"> – Public hos</w:t>
      </w:r>
      <w:r w:rsidR="00373C55">
        <w:t>pitals</w:t>
      </w:r>
      <w:bookmarkEnd w:id="25"/>
    </w:p>
    <w:p w14:paraId="1583A2EF" w14:textId="6E880905" w:rsidR="002779CC" w:rsidRDefault="003E1056" w:rsidP="00E01ED8">
      <w:pPr>
        <w:pStyle w:val="Body"/>
        <w:ind w:right="-114"/>
      </w:pPr>
      <w:r w:rsidRPr="00AC04B2">
        <w:t xml:space="preserve">The Independent </w:t>
      </w:r>
      <w:r w:rsidR="006914EA" w:rsidRPr="00AC04B2">
        <w:t xml:space="preserve">Health and Aged Care </w:t>
      </w:r>
      <w:r w:rsidRPr="00AC04B2">
        <w:t>Pricing Authority’s (IH</w:t>
      </w:r>
      <w:r w:rsidR="006914EA" w:rsidRPr="00AC04B2">
        <w:t>AC</w:t>
      </w:r>
      <w:r w:rsidRPr="00AC04B2">
        <w:t xml:space="preserve">PA) </w:t>
      </w:r>
      <w:r w:rsidR="00373C55">
        <w:t>key activities</w:t>
      </w:r>
      <w:r w:rsidRPr="00AC04B2">
        <w:t xml:space="preserve"> and the associated deliverables for </w:t>
      </w:r>
      <w:r w:rsidR="00083E7B" w:rsidRPr="00AC04B2">
        <w:t>202</w:t>
      </w:r>
      <w:r w:rsidR="00373C55">
        <w:t>6</w:t>
      </w:r>
      <w:r w:rsidR="00083E7B" w:rsidRPr="00AC04B2">
        <w:t>–2</w:t>
      </w:r>
      <w:r w:rsidR="00373C55">
        <w:t>7</w:t>
      </w:r>
      <w:r w:rsidR="00885CEF">
        <w:t xml:space="preserve"> for public hospitals </w:t>
      </w:r>
      <w:proofErr w:type="gramStart"/>
      <w:r w:rsidRPr="00AC04B2">
        <w:t>are</w:t>
      </w:r>
      <w:proofErr w:type="gramEnd"/>
      <w:r w:rsidRPr="00AC04B2">
        <w:t xml:space="preserve"> detailed below.</w:t>
      </w:r>
      <w:r w:rsidR="002779CC" w:rsidRPr="00AC04B2">
        <w:t xml:space="preserve"> </w:t>
      </w:r>
      <w:bookmarkStart w:id="26" w:name="_Hlk176934694"/>
      <w:r w:rsidR="007460B2">
        <w:t xml:space="preserve">These deliverables are based on the requirements of the </w:t>
      </w:r>
      <w:r w:rsidR="007460B2">
        <w:rPr>
          <w:i/>
          <w:iCs/>
        </w:rPr>
        <w:t xml:space="preserve">National Health Reform Act 2011 </w:t>
      </w:r>
      <w:r w:rsidR="007460B2">
        <w:t>(the NHR Act)</w:t>
      </w:r>
      <w:r w:rsidR="00885CEF">
        <w:t xml:space="preserve"> and</w:t>
      </w:r>
      <w:r w:rsidR="007460B2">
        <w:t xml:space="preserve"> the Addendum to the </w:t>
      </w:r>
      <w:r w:rsidR="007460B2" w:rsidRPr="00CE43BF">
        <w:t>National Health Reform Agreement (NHRA) 202</w:t>
      </w:r>
      <w:r w:rsidR="007460B2">
        <w:t>0</w:t>
      </w:r>
      <w:r w:rsidR="007460B2" w:rsidRPr="00CE43BF">
        <w:t>–</w:t>
      </w:r>
      <w:r w:rsidR="007460B2">
        <w:t xml:space="preserve">26 </w:t>
      </w:r>
      <w:r w:rsidR="00885CEF">
        <w:t>(the addendum</w:t>
      </w:r>
      <w:r w:rsidR="00AC49E6" w:rsidRPr="009D4EAC">
        <w:t>)</w:t>
      </w:r>
      <w:r w:rsidR="007460B2" w:rsidRPr="008B705B">
        <w:t>.</w:t>
      </w:r>
      <w:r w:rsidR="007460B2">
        <w:t xml:space="preserve"> </w:t>
      </w:r>
      <w:r w:rsidR="00B83095" w:rsidRPr="00CE43BF">
        <w:t>Additional work</w:t>
      </w:r>
      <w:r w:rsidR="00720439" w:rsidRPr="00CE43BF">
        <w:t xml:space="preserve"> that may result from </w:t>
      </w:r>
      <w:r w:rsidR="008B3C95">
        <w:t>the</w:t>
      </w:r>
      <w:r w:rsidR="00324B8D">
        <w:t xml:space="preserve"> next Addendum to the NHRA, are</w:t>
      </w:r>
      <w:r w:rsidR="00720439" w:rsidRPr="00CE43BF">
        <w:t xml:space="preserve"> not currently </w:t>
      </w:r>
      <w:bookmarkEnd w:id="26"/>
      <w:r w:rsidR="00720439" w:rsidRPr="00CE43BF">
        <w:t>listed below</w:t>
      </w:r>
      <w:r w:rsidR="00B83095" w:rsidRPr="00CE43BF">
        <w:t>.</w:t>
      </w:r>
      <w:r w:rsidR="00B83095">
        <w:t xml:space="preserve"> </w:t>
      </w:r>
      <w:r w:rsidR="00C96329" w:rsidRPr="00C96329">
        <w:t xml:space="preserve">Should any changes arise from </w:t>
      </w:r>
      <w:r w:rsidR="0087483E">
        <w:t>th</w:t>
      </w:r>
      <w:r w:rsidR="006E361F">
        <w:t>is</w:t>
      </w:r>
      <w:r w:rsidR="00C96329" w:rsidRPr="00C96329">
        <w:t xml:space="preserve"> or other government </w:t>
      </w:r>
      <w:r w:rsidR="0087483E">
        <w:t>decisions</w:t>
      </w:r>
      <w:r w:rsidR="00C96329" w:rsidRPr="00C96329">
        <w:t xml:space="preserve">, IHACPA will consult with </w:t>
      </w:r>
      <w:r w:rsidR="0087483E">
        <w:t xml:space="preserve">relevant </w:t>
      </w:r>
      <w:r w:rsidR="00C96329" w:rsidRPr="00C96329">
        <w:t xml:space="preserve">stakeholders </w:t>
      </w:r>
      <w:r w:rsidR="0087483E">
        <w:t>regarding</w:t>
      </w:r>
      <w:r w:rsidR="00C96329" w:rsidRPr="00C96329">
        <w:t xml:space="preserve"> implementation, including its advisory committees and working groups</w:t>
      </w:r>
      <w:r w:rsidR="00C96329">
        <w:t>.</w:t>
      </w:r>
    </w:p>
    <w:p w14:paraId="318C9183" w14:textId="5220AF7A" w:rsidR="00E21590" w:rsidRPr="00CE59AA" w:rsidRDefault="00E21590" w:rsidP="00D05BDE">
      <w:pPr>
        <w:pStyle w:val="H2"/>
      </w:pPr>
      <w:bookmarkStart w:id="27" w:name="_Toc204856116"/>
      <w:bookmarkStart w:id="28" w:name="_Toc55053982"/>
      <w:bookmarkStart w:id="29" w:name="_Toc55237203"/>
      <w:bookmarkStart w:id="30" w:name="_Toc55237768"/>
      <w:bookmarkStart w:id="31" w:name="_Toc55238294"/>
      <w:bookmarkStart w:id="32" w:name="_Toc55974112"/>
      <w:bookmarkStart w:id="33" w:name="_Toc223594818"/>
      <w:r w:rsidRPr="00CE59AA">
        <w:t>2.1</w:t>
      </w:r>
      <w:r w:rsidRPr="00CE59AA">
        <w:tab/>
        <w:t xml:space="preserve">Pricing </w:t>
      </w:r>
      <w:bookmarkEnd w:id="27"/>
      <w:r w:rsidR="005C66FA" w:rsidRPr="00CE59AA">
        <w:t>for</w:t>
      </w:r>
      <w:r w:rsidR="00796BCB" w:rsidRPr="00CE59AA">
        <w:t xml:space="preserve"> Australian public hospital services</w:t>
      </w:r>
      <w:bookmarkEnd w:id="33"/>
    </w:p>
    <w:p w14:paraId="229D43D2" w14:textId="497A8DCC" w:rsidR="00B8138A" w:rsidRPr="002F7355" w:rsidRDefault="003C75CD" w:rsidP="00A207F8">
      <w:pPr>
        <w:pStyle w:val="H4"/>
      </w:pPr>
      <w:r w:rsidRPr="002F7355">
        <w:t>Development of the Pricing Framework for Australian Public Hospital Services</w:t>
      </w:r>
      <w:bookmarkEnd w:id="28"/>
      <w:bookmarkEnd w:id="29"/>
      <w:bookmarkEnd w:id="30"/>
      <w:bookmarkEnd w:id="31"/>
      <w:bookmarkEnd w:id="32"/>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430"/>
        <w:gridCol w:w="2662"/>
      </w:tblGrid>
      <w:tr w:rsidR="009D7F61" w:rsidRPr="00A207F8" w14:paraId="16B60E73" w14:textId="77777777" w:rsidTr="002B58A4">
        <w:tc>
          <w:tcPr>
            <w:tcW w:w="3681" w:type="pct"/>
            <w:tcBorders>
              <w:top w:val="nil"/>
              <w:bottom w:val="nil"/>
            </w:tcBorders>
            <w:shd w:val="clear" w:color="auto" w:fill="379887" w:themeFill="accent5" w:themeFillShade="BF"/>
            <w:vAlign w:val="center"/>
          </w:tcPr>
          <w:p w14:paraId="063F962D" w14:textId="3D01F2BD" w:rsidR="009D7F61" w:rsidRPr="00A207F8" w:rsidRDefault="00FF0E74" w:rsidP="00A207F8">
            <w:pPr>
              <w:pStyle w:val="TableHeading"/>
            </w:pPr>
            <w:r w:rsidRPr="00A207F8">
              <w:t>Deliverable</w:t>
            </w:r>
          </w:p>
        </w:tc>
        <w:tc>
          <w:tcPr>
            <w:tcW w:w="1319" w:type="pct"/>
            <w:tcBorders>
              <w:top w:val="nil"/>
              <w:bottom w:val="nil"/>
            </w:tcBorders>
            <w:shd w:val="clear" w:color="auto" w:fill="379887" w:themeFill="accent5" w:themeFillShade="BF"/>
            <w:vAlign w:val="center"/>
          </w:tcPr>
          <w:p w14:paraId="5070E961" w14:textId="3460A00E" w:rsidR="009D7F61" w:rsidRPr="00A207F8" w:rsidRDefault="00FF0E74" w:rsidP="00A207F8">
            <w:pPr>
              <w:pStyle w:val="TableHeading"/>
            </w:pPr>
            <w:r w:rsidRPr="00A207F8">
              <w:t>Timeframe</w:t>
            </w:r>
          </w:p>
        </w:tc>
      </w:tr>
      <w:tr w:rsidR="009D7F61" w:rsidRPr="00A207F8" w14:paraId="2EDDA53A" w14:textId="77777777" w:rsidTr="00837B80">
        <w:trPr>
          <w:trHeight w:val="510"/>
        </w:trPr>
        <w:tc>
          <w:tcPr>
            <w:tcW w:w="3681" w:type="pct"/>
            <w:tcBorders>
              <w:top w:val="nil"/>
            </w:tcBorders>
          </w:tcPr>
          <w:p w14:paraId="61550DF1" w14:textId="37EED0E2" w:rsidR="009D7F61" w:rsidRPr="00A207F8" w:rsidRDefault="00A65E3B" w:rsidP="00A207F8">
            <w:pPr>
              <w:pStyle w:val="TableBodySmall"/>
            </w:pPr>
            <w:r w:rsidRPr="00A207F8">
              <w:t>Complete</w:t>
            </w:r>
            <w:r w:rsidR="009D7F61" w:rsidRPr="00A207F8">
              <w:t xml:space="preserve"> </w:t>
            </w:r>
            <w:r w:rsidR="003E1056" w:rsidRPr="00A207F8">
              <w:t xml:space="preserve">the </w:t>
            </w:r>
            <w:r w:rsidR="009D7F61" w:rsidRPr="00A207F8">
              <w:t xml:space="preserve">public </w:t>
            </w:r>
            <w:r w:rsidR="006B06F5" w:rsidRPr="00A207F8">
              <w:t xml:space="preserve">consultation </w:t>
            </w:r>
            <w:r w:rsidR="009D7F61" w:rsidRPr="00A207F8">
              <w:t xml:space="preserve">process for the Pricing Framework for Australian Public Hospital Services </w:t>
            </w:r>
            <w:r w:rsidR="000A3179" w:rsidRPr="00AC04B2">
              <w:t>202</w:t>
            </w:r>
            <w:r w:rsidR="00862462">
              <w:t>7</w:t>
            </w:r>
            <w:r w:rsidR="000A3179" w:rsidRPr="00AC04B2">
              <w:t>−2</w:t>
            </w:r>
            <w:r w:rsidR="00862462">
              <w:t>8</w:t>
            </w:r>
            <w:r w:rsidR="009D7F61" w:rsidRPr="00A207F8">
              <w:t>.</w:t>
            </w:r>
          </w:p>
        </w:tc>
        <w:tc>
          <w:tcPr>
            <w:tcW w:w="1319" w:type="pct"/>
            <w:tcBorders>
              <w:top w:val="nil"/>
            </w:tcBorders>
          </w:tcPr>
          <w:p w14:paraId="1704D149" w14:textId="1D456070" w:rsidR="009D7F61" w:rsidRPr="00A207F8" w:rsidRDefault="002A6E3E" w:rsidP="00A207F8">
            <w:pPr>
              <w:pStyle w:val="TableBodySmall"/>
            </w:pPr>
            <w:r w:rsidRPr="00A207F8">
              <w:t xml:space="preserve">July </w:t>
            </w:r>
            <w:r w:rsidR="009D7F61" w:rsidRPr="00A207F8">
              <w:t>20</w:t>
            </w:r>
            <w:r w:rsidR="00763105" w:rsidRPr="00A207F8">
              <w:t>2</w:t>
            </w:r>
            <w:r w:rsidR="00862462">
              <w:t>6</w:t>
            </w:r>
          </w:p>
        </w:tc>
      </w:tr>
      <w:tr w:rsidR="009D7F61" w:rsidRPr="00A207F8" w14:paraId="4A71DF54" w14:textId="77777777" w:rsidTr="00837B80">
        <w:trPr>
          <w:trHeight w:val="510"/>
        </w:trPr>
        <w:tc>
          <w:tcPr>
            <w:tcW w:w="3681" w:type="pct"/>
            <w:tcBorders>
              <w:bottom w:val="single" w:sz="4" w:space="0" w:color="auto"/>
            </w:tcBorders>
          </w:tcPr>
          <w:p w14:paraId="08187565" w14:textId="695E5748" w:rsidR="009D7F61" w:rsidRPr="00A207F8" w:rsidRDefault="00A65E3B" w:rsidP="00A207F8">
            <w:pPr>
              <w:pStyle w:val="TableBodySmall"/>
            </w:pPr>
            <w:r w:rsidRPr="00A207F8">
              <w:t xml:space="preserve">Provide </w:t>
            </w:r>
            <w:r w:rsidR="009D7F61" w:rsidRPr="00A207F8">
              <w:t xml:space="preserve">the draft Pricing Framework for Australian Public Hospital Services </w:t>
            </w:r>
            <w:r w:rsidR="000A3179" w:rsidRPr="00AC04B2">
              <w:t>202</w:t>
            </w:r>
            <w:r w:rsidR="00862462">
              <w:t>7</w:t>
            </w:r>
            <w:r w:rsidR="000A3179" w:rsidRPr="00AC04B2">
              <w:t>−2</w:t>
            </w:r>
            <w:r w:rsidR="00862462">
              <w:t>8</w:t>
            </w:r>
            <w:r w:rsidR="000A3179">
              <w:t xml:space="preserve"> </w:t>
            </w:r>
            <w:r w:rsidR="009D7F61" w:rsidRPr="00A207F8">
              <w:t>to health ministers for</w:t>
            </w:r>
            <w:r w:rsidR="00DB4CE1" w:rsidRPr="00A207F8">
              <w:t xml:space="preserve"> a</w:t>
            </w:r>
            <w:r w:rsidR="00117196" w:rsidRPr="00A207F8">
              <w:t xml:space="preserve"> 45-</w:t>
            </w:r>
            <w:r w:rsidR="009D7F61" w:rsidRPr="00A207F8">
              <w:t>day comment period.</w:t>
            </w:r>
          </w:p>
        </w:tc>
        <w:tc>
          <w:tcPr>
            <w:tcW w:w="1319" w:type="pct"/>
            <w:tcBorders>
              <w:bottom w:val="single" w:sz="4" w:space="0" w:color="auto"/>
            </w:tcBorders>
          </w:tcPr>
          <w:p w14:paraId="2D5C5692" w14:textId="23A36C73" w:rsidR="009D7F61" w:rsidRPr="00A207F8" w:rsidRDefault="00AC4D61" w:rsidP="00A207F8">
            <w:pPr>
              <w:pStyle w:val="TableBodySmall"/>
            </w:pPr>
            <w:r w:rsidRPr="00A207F8">
              <w:t xml:space="preserve">September </w:t>
            </w:r>
            <w:r w:rsidR="009D7F61" w:rsidRPr="00A207F8">
              <w:t>20</w:t>
            </w:r>
            <w:r w:rsidR="00763105" w:rsidRPr="00A207F8">
              <w:t>2</w:t>
            </w:r>
            <w:r w:rsidR="00862462">
              <w:t>6</w:t>
            </w:r>
          </w:p>
        </w:tc>
      </w:tr>
      <w:tr w:rsidR="009D7F61" w:rsidRPr="00A207F8" w14:paraId="1DA30ADB" w14:textId="77777777" w:rsidTr="00837B80">
        <w:trPr>
          <w:trHeight w:val="510"/>
        </w:trPr>
        <w:tc>
          <w:tcPr>
            <w:tcW w:w="3681" w:type="pct"/>
            <w:tcBorders>
              <w:top w:val="single" w:sz="4" w:space="0" w:color="auto"/>
              <w:bottom w:val="single" w:sz="4" w:space="0" w:color="auto"/>
            </w:tcBorders>
          </w:tcPr>
          <w:p w14:paraId="0D916D83" w14:textId="00508FAA" w:rsidR="009D7F61" w:rsidRPr="00A207F8" w:rsidRDefault="00A65E3B" w:rsidP="00A207F8">
            <w:pPr>
              <w:pStyle w:val="TableBodySmall"/>
            </w:pPr>
            <w:r w:rsidRPr="00A207F8">
              <w:t xml:space="preserve">Publish </w:t>
            </w:r>
            <w:r w:rsidR="009D7F61" w:rsidRPr="00A207F8">
              <w:t>the final Pricing Framework for Australian Public Hospital Services </w:t>
            </w:r>
            <w:r w:rsidR="000A3179" w:rsidRPr="00AC04B2">
              <w:t>202</w:t>
            </w:r>
            <w:r w:rsidR="00862462">
              <w:t>7</w:t>
            </w:r>
            <w:r w:rsidR="000A3179" w:rsidRPr="00AC04B2">
              <w:t>−2</w:t>
            </w:r>
            <w:r w:rsidR="00862462">
              <w:t>8</w:t>
            </w:r>
            <w:r w:rsidR="000A3179">
              <w:t xml:space="preserve"> </w:t>
            </w:r>
            <w:r w:rsidR="009D7F61" w:rsidRPr="00A207F8">
              <w:t xml:space="preserve">on </w:t>
            </w:r>
            <w:r w:rsidR="008E1D67" w:rsidRPr="00A207F8">
              <w:t xml:space="preserve">the </w:t>
            </w:r>
            <w:r w:rsidR="009D7F61" w:rsidRPr="00A207F8">
              <w:t>IH</w:t>
            </w:r>
            <w:r w:rsidR="008B69F1" w:rsidRPr="00A207F8">
              <w:t>AC</w:t>
            </w:r>
            <w:r w:rsidR="009D7F61" w:rsidRPr="00A207F8">
              <w:t>PA website.</w:t>
            </w:r>
          </w:p>
        </w:tc>
        <w:tc>
          <w:tcPr>
            <w:tcW w:w="1319" w:type="pct"/>
            <w:tcBorders>
              <w:top w:val="single" w:sz="4" w:space="0" w:color="auto"/>
              <w:bottom w:val="single" w:sz="4" w:space="0" w:color="auto"/>
            </w:tcBorders>
          </w:tcPr>
          <w:p w14:paraId="1F2305D2" w14:textId="3BE4A49F" w:rsidR="009D7F61" w:rsidRPr="00A207F8" w:rsidRDefault="002A6E3E" w:rsidP="00A207F8">
            <w:pPr>
              <w:pStyle w:val="TableBodySmall"/>
            </w:pPr>
            <w:r w:rsidRPr="00A207F8">
              <w:t>December</w:t>
            </w:r>
            <w:r w:rsidR="009C578E" w:rsidRPr="00A207F8">
              <w:t xml:space="preserve"> </w:t>
            </w:r>
            <w:r w:rsidR="009D7F61" w:rsidRPr="00A207F8">
              <w:t>20</w:t>
            </w:r>
            <w:r w:rsidR="005E5417" w:rsidRPr="00A207F8">
              <w:t>2</w:t>
            </w:r>
            <w:r w:rsidR="00862462">
              <w:t>6</w:t>
            </w:r>
          </w:p>
        </w:tc>
      </w:tr>
    </w:tbl>
    <w:p w14:paraId="3D4BB2D9" w14:textId="77777777" w:rsidR="00A207F8" w:rsidRDefault="00A207F8" w:rsidP="00F00D91">
      <w:pPr>
        <w:pStyle w:val="Body"/>
      </w:pPr>
    </w:p>
    <w:p w14:paraId="66F75B09" w14:textId="0F33CF7E" w:rsidR="003E1056" w:rsidRPr="00A207F8" w:rsidRDefault="003E1056" w:rsidP="00F00D91">
      <w:pPr>
        <w:pStyle w:val="Body"/>
        <w:rPr>
          <w:b/>
          <w:bCs/>
        </w:rPr>
      </w:pPr>
      <w:r w:rsidRPr="00A207F8">
        <w:rPr>
          <w:b/>
          <w:bCs/>
        </w:rPr>
        <w:t>IH</w:t>
      </w:r>
      <w:r w:rsidR="008C798D" w:rsidRPr="00A207F8">
        <w:rPr>
          <w:b/>
          <w:bCs/>
        </w:rPr>
        <w:t>AC</w:t>
      </w:r>
      <w:r w:rsidRPr="00A207F8">
        <w:rPr>
          <w:b/>
          <w:bCs/>
        </w:rPr>
        <w:t xml:space="preserve">PA will develop the Pricing Framework for Australian Public Hospital Services </w:t>
      </w:r>
      <w:r w:rsidR="000A3179" w:rsidRPr="000A3179">
        <w:rPr>
          <w:b/>
          <w:bCs/>
        </w:rPr>
        <w:t>202</w:t>
      </w:r>
      <w:r w:rsidR="00862462">
        <w:rPr>
          <w:b/>
          <w:bCs/>
        </w:rPr>
        <w:t>7</w:t>
      </w:r>
      <w:r w:rsidR="000A3179" w:rsidRPr="000A3179">
        <w:rPr>
          <w:b/>
          <w:bCs/>
        </w:rPr>
        <w:t>−2</w:t>
      </w:r>
      <w:r w:rsidR="00862462">
        <w:rPr>
          <w:b/>
          <w:bCs/>
        </w:rPr>
        <w:t>8</w:t>
      </w:r>
      <w:r w:rsidR="00BC29E0">
        <w:rPr>
          <w:b/>
          <w:bCs/>
        </w:rPr>
        <w:t xml:space="preserve"> </w:t>
      </w:r>
      <w:r w:rsidR="009B16B8" w:rsidRPr="00A207F8">
        <w:rPr>
          <w:b/>
          <w:bCs/>
        </w:rPr>
        <w:t xml:space="preserve">to outline </w:t>
      </w:r>
      <w:r w:rsidRPr="00A207F8">
        <w:rPr>
          <w:b/>
          <w:bCs/>
        </w:rPr>
        <w:t xml:space="preserve">the principles, scope and methodology underpinning the development of the national efficient price (NEP) and national efficient cost (NEC) for public hospital services for </w:t>
      </w:r>
      <w:r w:rsidR="000A3179" w:rsidRPr="000A3179">
        <w:rPr>
          <w:b/>
          <w:bCs/>
        </w:rPr>
        <w:t>202</w:t>
      </w:r>
      <w:r w:rsidR="00862462">
        <w:rPr>
          <w:b/>
          <w:bCs/>
        </w:rPr>
        <w:t>7</w:t>
      </w:r>
      <w:r w:rsidR="000A3179" w:rsidRPr="000A3179">
        <w:rPr>
          <w:b/>
          <w:bCs/>
        </w:rPr>
        <w:t>−2</w:t>
      </w:r>
      <w:r w:rsidR="00862462">
        <w:rPr>
          <w:b/>
          <w:bCs/>
        </w:rPr>
        <w:t>8</w:t>
      </w:r>
      <w:r w:rsidRPr="00A207F8">
        <w:rPr>
          <w:b/>
          <w:bCs/>
        </w:rPr>
        <w:t>.</w:t>
      </w:r>
    </w:p>
    <w:p w14:paraId="04C80645" w14:textId="6A29DBD9" w:rsidR="00926801" w:rsidRPr="00AC04B2" w:rsidRDefault="003E1056" w:rsidP="00F00D91">
      <w:pPr>
        <w:pStyle w:val="Body"/>
      </w:pPr>
      <w:r w:rsidRPr="00AC04B2">
        <w:t xml:space="preserve">Development of the </w:t>
      </w:r>
      <w:r w:rsidR="00501BBB" w:rsidRPr="00AC04B2">
        <w:t xml:space="preserve">Pricing Framework for Australian </w:t>
      </w:r>
      <w:r w:rsidR="002906FA" w:rsidRPr="00AC04B2">
        <w:t xml:space="preserve">Public Hospital </w:t>
      </w:r>
      <w:r w:rsidR="00501BBB" w:rsidRPr="00AC04B2">
        <w:t>Services</w:t>
      </w:r>
      <w:r w:rsidRPr="00AC04B2">
        <w:t xml:space="preserve"> includes </w:t>
      </w:r>
      <w:r w:rsidR="00B20E4E">
        <w:t>3</w:t>
      </w:r>
      <w:r w:rsidR="00B20E4E" w:rsidRPr="00AC04B2">
        <w:t xml:space="preserve"> </w:t>
      </w:r>
      <w:r w:rsidRPr="00AC04B2">
        <w:t xml:space="preserve">major phases: a public consultation period, review of the draft </w:t>
      </w:r>
      <w:r w:rsidR="00501BBB" w:rsidRPr="00AC04B2">
        <w:t xml:space="preserve">Pricing Framework for Australian </w:t>
      </w:r>
      <w:r w:rsidR="002906FA" w:rsidRPr="00AC04B2">
        <w:t xml:space="preserve">Public Hospital </w:t>
      </w:r>
      <w:r w:rsidR="00501BBB" w:rsidRPr="00AC04B2">
        <w:t>Services</w:t>
      </w:r>
      <w:r w:rsidRPr="00AC04B2">
        <w:t xml:space="preserve"> by health ministers, and publication of the final </w:t>
      </w:r>
      <w:r w:rsidR="00501BBB" w:rsidRPr="00AC04B2">
        <w:t xml:space="preserve">Pricing Framework for Australian </w:t>
      </w:r>
      <w:r w:rsidR="002906FA" w:rsidRPr="00AC04B2">
        <w:t xml:space="preserve">Public Hospital </w:t>
      </w:r>
      <w:r w:rsidR="00501BBB" w:rsidRPr="00AC04B2">
        <w:t>Services</w:t>
      </w:r>
      <w:r w:rsidR="00B56DC6" w:rsidRPr="00AC04B2">
        <w:t>.</w:t>
      </w:r>
    </w:p>
    <w:p w14:paraId="03D08A58" w14:textId="0335B34C" w:rsidR="003379C5" w:rsidRPr="00AC04B2" w:rsidRDefault="003379C5" w:rsidP="00C573D6">
      <w:pPr>
        <w:pStyle w:val="H4"/>
      </w:pPr>
      <w:bookmarkStart w:id="34" w:name="_Toc55053983"/>
      <w:bookmarkStart w:id="35" w:name="_Toc55237204"/>
      <w:bookmarkStart w:id="36" w:name="_Toc55237769"/>
      <w:bookmarkStart w:id="37" w:name="_Toc55238295"/>
      <w:bookmarkStart w:id="38" w:name="_Toc55974113"/>
      <w:r w:rsidRPr="00AC04B2">
        <w:t xml:space="preserve">Determination of in-scope </w:t>
      </w:r>
      <w:bookmarkEnd w:id="34"/>
      <w:bookmarkEnd w:id="35"/>
      <w:bookmarkEnd w:id="36"/>
      <w:bookmarkEnd w:id="37"/>
      <w:bookmarkEnd w:id="38"/>
      <w:r w:rsidR="003E1056" w:rsidRPr="00AC04B2">
        <w:t>public hospital services eligible for Commonwealth funding under the National Health Reform Agreement</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379C5" w:rsidRPr="00AC04B2" w14:paraId="4177B53A" w14:textId="77777777" w:rsidTr="002B58A4">
        <w:tc>
          <w:tcPr>
            <w:tcW w:w="3726" w:type="pct"/>
            <w:tcBorders>
              <w:top w:val="nil"/>
              <w:bottom w:val="nil"/>
            </w:tcBorders>
            <w:shd w:val="clear" w:color="auto" w:fill="379887" w:themeFill="accent5" w:themeFillShade="BF"/>
            <w:vAlign w:val="center"/>
          </w:tcPr>
          <w:p w14:paraId="7258084A" w14:textId="7A9C8164" w:rsidR="003379C5" w:rsidRPr="00AC04B2" w:rsidRDefault="00FF0E74" w:rsidP="00A207F8">
            <w:pPr>
              <w:pStyle w:val="TableHeading"/>
            </w:pPr>
            <w:r w:rsidRPr="00AC04B2">
              <w:t>Deliverable</w:t>
            </w:r>
          </w:p>
        </w:tc>
        <w:tc>
          <w:tcPr>
            <w:tcW w:w="1274" w:type="pct"/>
            <w:tcBorders>
              <w:top w:val="nil"/>
              <w:bottom w:val="nil"/>
            </w:tcBorders>
            <w:shd w:val="clear" w:color="auto" w:fill="379887" w:themeFill="accent5" w:themeFillShade="BF"/>
            <w:vAlign w:val="center"/>
          </w:tcPr>
          <w:p w14:paraId="3642F32C" w14:textId="2A5F0D54" w:rsidR="003379C5" w:rsidRPr="00AC04B2" w:rsidRDefault="00FF0E74" w:rsidP="00A207F8">
            <w:pPr>
              <w:pStyle w:val="TableHeading"/>
            </w:pPr>
            <w:r w:rsidRPr="00AC04B2">
              <w:t>Timeframe</w:t>
            </w:r>
          </w:p>
        </w:tc>
      </w:tr>
      <w:tr w:rsidR="003379C5" w:rsidRPr="00AC04B2" w14:paraId="4182A5FD" w14:textId="77777777" w:rsidTr="003379C5">
        <w:trPr>
          <w:trHeight w:val="510"/>
        </w:trPr>
        <w:tc>
          <w:tcPr>
            <w:tcW w:w="3726" w:type="pct"/>
            <w:tcBorders>
              <w:top w:val="nil"/>
              <w:bottom w:val="single" w:sz="4" w:space="0" w:color="auto"/>
            </w:tcBorders>
          </w:tcPr>
          <w:p w14:paraId="28704E89" w14:textId="1F026633" w:rsidR="003379C5" w:rsidRPr="00AC04B2" w:rsidRDefault="003379C5" w:rsidP="00A207F8">
            <w:pPr>
              <w:pStyle w:val="TableBodySmall"/>
            </w:pPr>
            <w:bookmarkStart w:id="39" w:name="_Hlk209702745"/>
            <w:r w:rsidRPr="00AC04B2">
              <w:t>Finalise decision</w:t>
            </w:r>
            <w:r w:rsidR="00FC3840" w:rsidRPr="00AC04B2">
              <w:t>s</w:t>
            </w:r>
            <w:r w:rsidRPr="00AC04B2">
              <w:t xml:space="preserve"> on the </w:t>
            </w:r>
            <w:r w:rsidRPr="00AC04B2">
              <w:rPr>
                <w:iCs/>
              </w:rPr>
              <w:t>General List of In-Scope Public Hospital Services</w:t>
            </w:r>
            <w:r w:rsidRPr="00AC04B2">
              <w:t xml:space="preserve"> for </w:t>
            </w:r>
            <w:r w:rsidR="002C438D">
              <w:t xml:space="preserve">the </w:t>
            </w:r>
            <w:r w:rsidRPr="00AC04B2">
              <w:t xml:space="preserve">addition or </w:t>
            </w:r>
            <w:r w:rsidR="003E5705">
              <w:t>removal of</w:t>
            </w:r>
            <w:r w:rsidR="003E5705" w:rsidRPr="00AC04B2">
              <w:t xml:space="preserve"> </w:t>
            </w:r>
            <w:r w:rsidRPr="00AC04B2">
              <w:t>services for 202</w:t>
            </w:r>
            <w:r w:rsidR="00862462">
              <w:t>7</w:t>
            </w:r>
            <w:r w:rsidRPr="00AC04B2">
              <w:t>−2</w:t>
            </w:r>
            <w:r w:rsidR="00862462">
              <w:t>8</w:t>
            </w:r>
            <w:r w:rsidRPr="00AC04B2">
              <w:t>.</w:t>
            </w:r>
            <w:bookmarkEnd w:id="39"/>
          </w:p>
        </w:tc>
        <w:tc>
          <w:tcPr>
            <w:tcW w:w="1274" w:type="pct"/>
            <w:tcBorders>
              <w:top w:val="nil"/>
              <w:bottom w:val="single" w:sz="4" w:space="0" w:color="auto"/>
            </w:tcBorders>
          </w:tcPr>
          <w:p w14:paraId="778196C9" w14:textId="133F70C4" w:rsidR="003379C5" w:rsidRPr="00AC04B2" w:rsidRDefault="00FC3840" w:rsidP="00A207F8">
            <w:pPr>
              <w:pStyle w:val="TableBodySmall"/>
            </w:pPr>
            <w:r w:rsidRPr="00AC04B2">
              <w:t xml:space="preserve">December </w:t>
            </w:r>
            <w:r w:rsidR="003379C5" w:rsidRPr="00AC04B2">
              <w:t>202</w:t>
            </w:r>
            <w:r w:rsidR="00862462">
              <w:t>6</w:t>
            </w:r>
          </w:p>
        </w:tc>
      </w:tr>
    </w:tbl>
    <w:p w14:paraId="05A85498" w14:textId="77777777" w:rsidR="00A207F8" w:rsidRDefault="00A207F8" w:rsidP="00F00D91">
      <w:pPr>
        <w:pStyle w:val="Body"/>
      </w:pPr>
    </w:p>
    <w:p w14:paraId="042A78D7" w14:textId="4D6CD295" w:rsidR="003379C5" w:rsidRPr="00A207F8" w:rsidRDefault="00A6191F" w:rsidP="00F00D91">
      <w:pPr>
        <w:pStyle w:val="Body"/>
        <w:rPr>
          <w:b/>
          <w:bCs/>
        </w:rPr>
      </w:pPr>
      <w:r w:rsidRPr="00A207F8">
        <w:rPr>
          <w:b/>
          <w:bCs/>
        </w:rPr>
        <w:t xml:space="preserve">The </w:t>
      </w:r>
      <w:hyperlink r:id="rId22" w:history="1">
        <w:r w:rsidR="00754E2E" w:rsidRPr="00B4193E">
          <w:rPr>
            <w:rStyle w:val="Hyperlink"/>
            <w:b/>
            <w:bCs/>
            <w:color w:val="008F55" w:themeColor="accent4"/>
          </w:rPr>
          <w:t>General List of In-Scope Public Hospital Services Eligibility Policy</w:t>
        </w:r>
      </w:hyperlink>
      <w:r w:rsidR="00A71082" w:rsidRPr="00B4193E">
        <w:rPr>
          <w:b/>
          <w:bCs/>
        </w:rPr>
        <w:t xml:space="preserve"> </w:t>
      </w:r>
      <w:r w:rsidRPr="00A207F8">
        <w:rPr>
          <w:b/>
          <w:bCs/>
        </w:rPr>
        <w:t>outlines the process by which jurisdictions can make</w:t>
      </w:r>
      <w:r w:rsidR="009F3454" w:rsidRPr="00A207F8">
        <w:rPr>
          <w:b/>
          <w:bCs/>
        </w:rPr>
        <w:t> </w:t>
      </w:r>
      <w:r w:rsidRPr="00A207F8">
        <w:rPr>
          <w:b/>
          <w:bCs/>
        </w:rPr>
        <w:t>submissions to IH</w:t>
      </w:r>
      <w:r w:rsidR="008C798D" w:rsidRPr="00A207F8">
        <w:rPr>
          <w:b/>
          <w:bCs/>
        </w:rPr>
        <w:t>AC</w:t>
      </w:r>
      <w:r w:rsidRPr="00A207F8">
        <w:rPr>
          <w:b/>
          <w:bCs/>
        </w:rPr>
        <w:t xml:space="preserve">PA for public hospital services to be </w:t>
      </w:r>
      <w:r w:rsidR="008A6B74" w:rsidRPr="00A207F8">
        <w:rPr>
          <w:b/>
          <w:bCs/>
        </w:rPr>
        <w:t xml:space="preserve">considered for inclusion </w:t>
      </w:r>
      <w:r w:rsidR="00081670" w:rsidRPr="00A207F8">
        <w:rPr>
          <w:b/>
          <w:bCs/>
        </w:rPr>
        <w:t>on</w:t>
      </w:r>
      <w:r w:rsidR="00397239">
        <w:rPr>
          <w:b/>
          <w:bCs/>
        </w:rPr>
        <w:t>, or removal from,</w:t>
      </w:r>
      <w:r w:rsidR="008A6B74" w:rsidRPr="00A207F8">
        <w:rPr>
          <w:b/>
          <w:bCs/>
        </w:rPr>
        <w:t xml:space="preserve"> the General List of</w:t>
      </w:r>
      <w:r w:rsidR="009F3454" w:rsidRPr="00A207F8">
        <w:rPr>
          <w:b/>
          <w:bCs/>
        </w:rPr>
        <w:t> </w:t>
      </w:r>
      <w:r w:rsidR="008A6B74" w:rsidRPr="00A207F8">
        <w:rPr>
          <w:b/>
          <w:bCs/>
        </w:rPr>
        <w:t>In</w:t>
      </w:r>
      <w:r w:rsidR="009F3454" w:rsidRPr="00A207F8">
        <w:rPr>
          <w:b/>
          <w:bCs/>
        </w:rPr>
        <w:noBreakHyphen/>
      </w:r>
      <w:r w:rsidR="008A6B74" w:rsidRPr="00A207F8">
        <w:rPr>
          <w:b/>
          <w:bCs/>
        </w:rPr>
        <w:t>Scope Public Hospital Services</w:t>
      </w:r>
      <w:r w:rsidRPr="00A207F8">
        <w:rPr>
          <w:b/>
          <w:bCs/>
        </w:rPr>
        <w:t xml:space="preserve"> to receive Commonwealth funding.</w:t>
      </w:r>
    </w:p>
    <w:p w14:paraId="7C34721B" w14:textId="5BB648F0" w:rsidR="00881D82" w:rsidRPr="00AC04B2" w:rsidRDefault="00A6191F" w:rsidP="00F00D91">
      <w:pPr>
        <w:pStyle w:val="Body"/>
      </w:pPr>
      <w:bookmarkStart w:id="40" w:name="_Toc55045613"/>
      <w:bookmarkStart w:id="41" w:name="_Toc55053984"/>
      <w:r w:rsidRPr="00AC04B2">
        <w:t>Full details of the public hospital services determined to be in</w:t>
      </w:r>
      <w:r w:rsidRPr="00AC04B2">
        <w:rPr>
          <w:rFonts w:ascii="Cambria Math" w:hAnsi="Cambria Math" w:cs="Cambria Math"/>
        </w:rPr>
        <w:t>‑</w:t>
      </w:r>
      <w:r w:rsidRPr="00AC04B2">
        <w:t>scope for Commonwealth funding are provided in the annual NEP Determination. In 202</w:t>
      </w:r>
      <w:r w:rsidR="009667E8">
        <w:t>6</w:t>
      </w:r>
      <w:r w:rsidRPr="00AC04B2">
        <w:t>–2</w:t>
      </w:r>
      <w:r w:rsidR="009667E8">
        <w:t>7</w:t>
      </w:r>
      <w:r w:rsidRPr="00AC04B2">
        <w:t>, IH</w:t>
      </w:r>
      <w:r w:rsidR="008C798D" w:rsidRPr="00AC04B2">
        <w:t>AC</w:t>
      </w:r>
      <w:r w:rsidRPr="00AC04B2">
        <w:t xml:space="preserve">PA will assess jurisdiction submissions for services </w:t>
      </w:r>
      <w:r w:rsidR="00481CCB">
        <w:t xml:space="preserve">to be included </w:t>
      </w:r>
      <w:proofErr w:type="gramStart"/>
      <w:r w:rsidR="00481CCB">
        <w:t>on, or</w:t>
      </w:r>
      <w:proofErr w:type="gramEnd"/>
      <w:r w:rsidR="00481CCB">
        <w:t xml:space="preserve"> removed from</w:t>
      </w:r>
      <w:r w:rsidR="00081670" w:rsidRPr="00AC04B2">
        <w:t xml:space="preserve"> the General List of </w:t>
      </w:r>
      <w:r w:rsidR="00073D98" w:rsidRPr="00AC04B2">
        <w:t>In-</w:t>
      </w:r>
      <w:r w:rsidR="00081670" w:rsidRPr="00AC04B2">
        <w:t xml:space="preserve">Scope Public Hospital Services for </w:t>
      </w:r>
      <w:r w:rsidRPr="00AC04B2">
        <w:t xml:space="preserve">the </w:t>
      </w:r>
      <w:bookmarkStart w:id="42" w:name="_Hlk161220486"/>
      <w:r w:rsidRPr="00AC04B2">
        <w:t>NEP Determination 202</w:t>
      </w:r>
      <w:r w:rsidR="00217A50">
        <w:t>7</w:t>
      </w:r>
      <w:r w:rsidRPr="00AC04B2">
        <w:t>–2</w:t>
      </w:r>
      <w:r w:rsidR="00217A50">
        <w:t>8</w:t>
      </w:r>
      <w:r w:rsidRPr="00AC04B2">
        <w:t xml:space="preserve"> (</w:t>
      </w:r>
      <w:r w:rsidR="009B6264" w:rsidRPr="00AC04B2">
        <w:t>NEP2</w:t>
      </w:r>
      <w:r w:rsidR="00217A50">
        <w:t>7</w:t>
      </w:r>
      <w:r w:rsidRPr="00AC04B2">
        <w:t>)</w:t>
      </w:r>
      <w:bookmarkEnd w:id="42"/>
      <w:r w:rsidRPr="00AC04B2">
        <w:t>.</w:t>
      </w:r>
    </w:p>
    <w:bookmarkEnd w:id="40"/>
    <w:bookmarkEnd w:id="41"/>
    <w:p w14:paraId="4C5B0768" w14:textId="7D63D060" w:rsidR="00331BB7" w:rsidRPr="00AC04B2" w:rsidRDefault="00A6191F" w:rsidP="00E378B1">
      <w:pPr>
        <w:pStyle w:val="H4"/>
        <w:keepNext/>
      </w:pPr>
      <w:r w:rsidRPr="00AC04B2">
        <w:lastRenderedPageBreak/>
        <w:t xml:space="preserve">National Efficient Price and National Efficient Cost Determinations </w:t>
      </w:r>
      <w:r w:rsidR="00795074">
        <w:t>for public hospital services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86AC4" w:rsidRPr="00AC04B2" w14:paraId="13D5B216" w14:textId="77777777" w:rsidTr="0056180D">
        <w:tc>
          <w:tcPr>
            <w:tcW w:w="3726" w:type="pct"/>
            <w:tcBorders>
              <w:top w:val="nil"/>
              <w:bottom w:val="nil"/>
            </w:tcBorders>
            <w:shd w:val="clear" w:color="auto" w:fill="379887" w:themeFill="accent5" w:themeFillShade="BF"/>
            <w:vAlign w:val="center"/>
          </w:tcPr>
          <w:p w14:paraId="5B37F2D4" w14:textId="39EFBBBC" w:rsidR="00786AC4" w:rsidRPr="00AC04B2" w:rsidRDefault="00FF0E74" w:rsidP="00E378B1">
            <w:pPr>
              <w:pStyle w:val="TableHeading"/>
              <w:keepNext/>
            </w:pPr>
            <w:r w:rsidRPr="00AC04B2">
              <w:t>Deliverable</w:t>
            </w:r>
          </w:p>
        </w:tc>
        <w:tc>
          <w:tcPr>
            <w:tcW w:w="1274" w:type="pct"/>
            <w:tcBorders>
              <w:top w:val="nil"/>
              <w:bottom w:val="nil"/>
            </w:tcBorders>
            <w:shd w:val="clear" w:color="auto" w:fill="379887" w:themeFill="accent5" w:themeFillShade="BF"/>
            <w:vAlign w:val="center"/>
          </w:tcPr>
          <w:p w14:paraId="0C6B84E3" w14:textId="0DE79B07" w:rsidR="00786AC4" w:rsidRPr="00AC04B2" w:rsidRDefault="00FF0E74" w:rsidP="00E378B1">
            <w:pPr>
              <w:pStyle w:val="TableHeading"/>
              <w:keepNext/>
            </w:pPr>
            <w:r w:rsidRPr="00AC04B2">
              <w:t>Timeframe</w:t>
            </w:r>
          </w:p>
        </w:tc>
      </w:tr>
      <w:tr w:rsidR="00201BE1" w:rsidRPr="00AC04B2" w14:paraId="39C28FEF" w14:textId="4FB05F6E" w:rsidTr="00786AC4">
        <w:trPr>
          <w:trHeight w:val="510"/>
        </w:trPr>
        <w:tc>
          <w:tcPr>
            <w:tcW w:w="3726" w:type="pct"/>
            <w:tcBorders>
              <w:top w:val="nil"/>
              <w:bottom w:val="single" w:sz="4" w:space="0" w:color="auto"/>
            </w:tcBorders>
          </w:tcPr>
          <w:p w14:paraId="081DC39F" w14:textId="1D86049A" w:rsidR="00201BE1" w:rsidRPr="00AC04B2" w:rsidRDefault="00201BE1" w:rsidP="00A207F8">
            <w:pPr>
              <w:pStyle w:val="TableBodySmall"/>
            </w:pPr>
            <w:r w:rsidRPr="00AC04B2">
              <w:t xml:space="preserve">Finalise </w:t>
            </w:r>
            <w:r w:rsidR="00FC3840" w:rsidRPr="00AC04B2">
              <w:t xml:space="preserve">decisions </w:t>
            </w:r>
            <w:r w:rsidR="00434BAD" w:rsidRPr="00AC04B2">
              <w:t xml:space="preserve">on </w:t>
            </w:r>
            <w:r w:rsidRPr="00AC04B2">
              <w:t xml:space="preserve">legitimate and unavoidable cost variations to </w:t>
            </w:r>
            <w:r w:rsidR="008A6B74" w:rsidRPr="00AC04B2">
              <w:t xml:space="preserve">determine whether adjustments are required for </w:t>
            </w:r>
            <w:r w:rsidRPr="00AC04B2">
              <w:t xml:space="preserve">the </w:t>
            </w:r>
            <w:r w:rsidRPr="00AC04B2">
              <w:rPr>
                <w:iCs/>
              </w:rPr>
              <w:t xml:space="preserve">National Efficient Price </w:t>
            </w:r>
            <w:r w:rsidR="00702100" w:rsidRPr="00AC04B2">
              <w:rPr>
                <w:iCs/>
              </w:rPr>
              <w:t xml:space="preserve">Determination </w:t>
            </w:r>
            <w:r w:rsidRPr="00AC04B2">
              <w:rPr>
                <w:iCs/>
              </w:rPr>
              <w:t>202</w:t>
            </w:r>
            <w:r w:rsidR="00F47C1A">
              <w:rPr>
                <w:iCs/>
              </w:rPr>
              <w:t>7</w:t>
            </w:r>
            <w:r w:rsidRPr="00AC04B2">
              <w:rPr>
                <w:iCs/>
              </w:rPr>
              <w:t>−2</w:t>
            </w:r>
            <w:r w:rsidR="00F47C1A">
              <w:rPr>
                <w:iCs/>
              </w:rPr>
              <w:t>8</w:t>
            </w:r>
            <w:r w:rsidRPr="00AC04B2">
              <w:rPr>
                <w:iCs/>
              </w:rPr>
              <w:t>.</w:t>
            </w:r>
          </w:p>
        </w:tc>
        <w:tc>
          <w:tcPr>
            <w:tcW w:w="1274" w:type="pct"/>
            <w:tcBorders>
              <w:top w:val="nil"/>
              <w:bottom w:val="single" w:sz="4" w:space="0" w:color="auto"/>
            </w:tcBorders>
          </w:tcPr>
          <w:p w14:paraId="78E66521" w14:textId="409B202C" w:rsidR="00201BE1" w:rsidRPr="00AC04B2" w:rsidRDefault="00FC3840" w:rsidP="00A207F8">
            <w:pPr>
              <w:pStyle w:val="TableBodySmall"/>
            </w:pPr>
            <w:r w:rsidRPr="00AC04B2">
              <w:t>December</w:t>
            </w:r>
            <w:r w:rsidR="00201BE1" w:rsidRPr="00AC04B2">
              <w:t xml:space="preserve"> 202</w:t>
            </w:r>
            <w:r w:rsidR="00F47C1A">
              <w:t>6</w:t>
            </w:r>
          </w:p>
        </w:tc>
      </w:tr>
      <w:tr w:rsidR="001D3D6A" w:rsidRPr="00AC04B2" w14:paraId="60CC0360" w14:textId="77777777" w:rsidTr="007B213D">
        <w:trPr>
          <w:trHeight w:val="510"/>
        </w:trPr>
        <w:tc>
          <w:tcPr>
            <w:tcW w:w="3726" w:type="pct"/>
            <w:tcBorders>
              <w:top w:val="single" w:sz="4" w:space="0" w:color="auto"/>
              <w:bottom w:val="single" w:sz="4" w:space="0" w:color="auto"/>
            </w:tcBorders>
          </w:tcPr>
          <w:p w14:paraId="7818A1DB" w14:textId="74C4CF79" w:rsidR="001D3D6A" w:rsidRPr="00AC04B2" w:rsidRDefault="001D3D6A" w:rsidP="00A207F8">
            <w:pPr>
              <w:pStyle w:val="TableBodySmall"/>
            </w:pPr>
            <w:r w:rsidRPr="00AC04B2">
              <w:t>Provide the draft National Efficient Price and National Efficient Cost Determinations 202</w:t>
            </w:r>
            <w:r w:rsidR="00F47C1A">
              <w:t>7</w:t>
            </w:r>
            <w:r w:rsidRPr="00AC04B2">
              <w:t>–2</w:t>
            </w:r>
            <w:r w:rsidR="00F47C1A">
              <w:t>8</w:t>
            </w:r>
            <w:r w:rsidR="00A6191F" w:rsidRPr="00AC04B2">
              <w:rPr>
                <w:i/>
              </w:rPr>
              <w:t xml:space="preserve"> </w:t>
            </w:r>
            <w:r w:rsidRPr="00AC04B2">
              <w:t>to health ministers for</w:t>
            </w:r>
            <w:r w:rsidR="003F7B4C" w:rsidRPr="00AC04B2">
              <w:t xml:space="preserve"> a</w:t>
            </w:r>
            <w:r w:rsidRPr="00AC04B2">
              <w:t xml:space="preserve"> 45-day comment period.</w:t>
            </w:r>
          </w:p>
        </w:tc>
        <w:tc>
          <w:tcPr>
            <w:tcW w:w="1274" w:type="pct"/>
            <w:tcBorders>
              <w:top w:val="single" w:sz="4" w:space="0" w:color="auto"/>
              <w:bottom w:val="single" w:sz="4" w:space="0" w:color="auto"/>
            </w:tcBorders>
          </w:tcPr>
          <w:p w14:paraId="64064D2F" w14:textId="1083C056" w:rsidR="001D3D6A" w:rsidRPr="00AC04B2" w:rsidRDefault="001D3D6A" w:rsidP="00A207F8">
            <w:pPr>
              <w:pStyle w:val="TableBodySmall"/>
            </w:pPr>
            <w:r w:rsidRPr="00AC04B2">
              <w:t>December 202</w:t>
            </w:r>
            <w:r w:rsidR="00F47C1A">
              <w:t>6</w:t>
            </w:r>
          </w:p>
        </w:tc>
      </w:tr>
      <w:tr w:rsidR="00786AC4" w:rsidRPr="00AC04B2" w14:paraId="5072068E" w14:textId="77777777" w:rsidTr="00786AC4">
        <w:trPr>
          <w:trHeight w:val="510"/>
        </w:trPr>
        <w:tc>
          <w:tcPr>
            <w:tcW w:w="3726" w:type="pct"/>
            <w:tcBorders>
              <w:top w:val="single" w:sz="4" w:space="0" w:color="auto"/>
              <w:bottom w:val="single" w:sz="4" w:space="0" w:color="auto"/>
            </w:tcBorders>
          </w:tcPr>
          <w:p w14:paraId="0DAA6B05" w14:textId="3798E9D5" w:rsidR="00786AC4" w:rsidRPr="00AC04B2" w:rsidRDefault="00786AC4" w:rsidP="00A207F8">
            <w:pPr>
              <w:pStyle w:val="TableBodySmall"/>
            </w:pPr>
            <w:r w:rsidRPr="00AC04B2">
              <w:t>Publish the National Efficient Price and National Efficient Cost Determinations</w:t>
            </w:r>
            <w:r w:rsidR="00081670" w:rsidRPr="00AC04B2">
              <w:t xml:space="preserve"> </w:t>
            </w:r>
            <w:r w:rsidRPr="00AC04B2">
              <w:t>202</w:t>
            </w:r>
            <w:r w:rsidR="00F47C1A">
              <w:t>7</w:t>
            </w:r>
            <w:r w:rsidRPr="00AC04B2">
              <w:t>–2</w:t>
            </w:r>
            <w:r w:rsidR="00F47C1A">
              <w:t>8</w:t>
            </w:r>
            <w:r w:rsidRPr="00AC04B2">
              <w:t xml:space="preserve"> on the IH</w:t>
            </w:r>
            <w:r w:rsidR="00882617" w:rsidRPr="00AC04B2">
              <w:t>AC</w:t>
            </w:r>
            <w:r w:rsidRPr="00AC04B2">
              <w:t>PA website.</w:t>
            </w:r>
          </w:p>
        </w:tc>
        <w:tc>
          <w:tcPr>
            <w:tcW w:w="1274" w:type="pct"/>
            <w:tcBorders>
              <w:top w:val="single" w:sz="4" w:space="0" w:color="auto"/>
              <w:bottom w:val="single" w:sz="4" w:space="0" w:color="auto"/>
            </w:tcBorders>
          </w:tcPr>
          <w:p w14:paraId="5DD85CEE" w14:textId="6D43ED7F" w:rsidR="00786AC4" w:rsidRPr="00AC04B2" w:rsidRDefault="00786AC4" w:rsidP="00A207F8">
            <w:pPr>
              <w:pStyle w:val="TableBodySmall"/>
            </w:pPr>
            <w:r w:rsidRPr="00AC04B2">
              <w:t>March 202</w:t>
            </w:r>
            <w:r w:rsidR="00F47C1A">
              <w:t>7</w:t>
            </w:r>
          </w:p>
        </w:tc>
      </w:tr>
    </w:tbl>
    <w:p w14:paraId="1E1B46ED" w14:textId="77777777" w:rsidR="00A207F8" w:rsidRDefault="00A207F8" w:rsidP="00F00D91">
      <w:pPr>
        <w:pStyle w:val="Body"/>
      </w:pPr>
    </w:p>
    <w:p w14:paraId="38DE7418" w14:textId="25C1FD33" w:rsidR="00A6191F" w:rsidRPr="00A207F8" w:rsidRDefault="002A772D" w:rsidP="00F00D91">
      <w:pPr>
        <w:pStyle w:val="Body"/>
        <w:rPr>
          <w:b/>
          <w:bCs/>
        </w:rPr>
      </w:pPr>
      <w:r w:rsidRPr="00A207F8">
        <w:rPr>
          <w:b/>
          <w:bCs/>
        </w:rPr>
        <w:t>Developing the n</w:t>
      </w:r>
      <w:r w:rsidR="00A6191F" w:rsidRPr="00A207F8">
        <w:rPr>
          <w:b/>
          <w:bCs/>
        </w:rPr>
        <w:t>ational efficient price</w:t>
      </w:r>
    </w:p>
    <w:p w14:paraId="5F48CE0C" w14:textId="01F9FE71" w:rsidR="00A6191F" w:rsidRDefault="00A6191F" w:rsidP="00F00D91">
      <w:pPr>
        <w:pStyle w:val="Body"/>
      </w:pPr>
      <w:bookmarkStart w:id="43" w:name="_Toc55045614"/>
      <w:bookmarkStart w:id="44" w:name="_Toc55053986"/>
      <w:r w:rsidRPr="00AC04B2">
        <w:t xml:space="preserve">The NEP represents the price that will form the basis for Commonwealth payments to local hospital networks for each episode of care under the </w:t>
      </w:r>
      <w:proofErr w:type="gramStart"/>
      <w:r w:rsidRPr="00AC04B2">
        <w:t>activity based</w:t>
      </w:r>
      <w:proofErr w:type="gramEnd"/>
      <w:r w:rsidRPr="00AC04B2">
        <w:t xml:space="preserve"> funding (ABF) system. In accordance with the </w:t>
      </w:r>
      <w:r w:rsidR="00B91D02">
        <w:t>addendum</w:t>
      </w:r>
      <w:r w:rsidRPr="00AC04B2">
        <w:t>, IH</w:t>
      </w:r>
      <w:r w:rsidR="00882617" w:rsidRPr="00AC04B2">
        <w:t>AC</w:t>
      </w:r>
      <w:r w:rsidRPr="00AC04B2">
        <w:t xml:space="preserve">PA will consider the actual cost of delivering public hospital services in as wide a range of hospitals as practicable. It will also </w:t>
      </w:r>
      <w:proofErr w:type="gramStart"/>
      <w:r w:rsidRPr="00AC04B2">
        <w:t>take into account</w:t>
      </w:r>
      <w:proofErr w:type="gramEnd"/>
      <w:r w:rsidRPr="00AC04B2">
        <w:t xml:space="preserve"> any legitimate and unavoidable variations in </w:t>
      </w:r>
      <w:r w:rsidR="002A772D" w:rsidRPr="00AC04B2">
        <w:t xml:space="preserve">the costs of delivering health care services </w:t>
      </w:r>
      <w:r w:rsidRPr="00AC04B2">
        <w:t xml:space="preserve">due to hospital characteristics (for example, size, type and location) and patient </w:t>
      </w:r>
      <w:r w:rsidR="00073D98" w:rsidRPr="00AC04B2">
        <w:t xml:space="preserve">characteristics </w:t>
      </w:r>
      <w:r w:rsidRPr="00AC04B2">
        <w:t>(for example, Indigenous status, location of residence and demographic profile).</w:t>
      </w:r>
    </w:p>
    <w:p w14:paraId="2D48C8F1" w14:textId="13B3A8E1" w:rsidR="00842CBE" w:rsidRDefault="00842CBE" w:rsidP="00F00D91">
      <w:pPr>
        <w:pStyle w:val="Body"/>
        <w:rPr>
          <w:b/>
          <w:bCs/>
        </w:rPr>
      </w:pPr>
      <w:r>
        <w:t>Clause</w:t>
      </w:r>
      <w:r w:rsidRPr="00842CBE">
        <w:t xml:space="preserve"> A46 of the </w:t>
      </w:r>
      <w:r w:rsidR="00DB6B2E">
        <w:t>addendum</w:t>
      </w:r>
      <w:r w:rsidRPr="00762F3D">
        <w:t xml:space="preserve"> </w:t>
      </w:r>
      <w:r w:rsidRPr="00842CBE">
        <w:t xml:space="preserve">states that in determining the </w:t>
      </w:r>
      <w:r>
        <w:t>NEP</w:t>
      </w:r>
      <w:r w:rsidRPr="00842CBE">
        <w:t>,</w:t>
      </w:r>
      <w:r>
        <w:t xml:space="preserve"> </w:t>
      </w:r>
      <w:r w:rsidRPr="00842CBE">
        <w:t>IHACPA must have regard to ensuring the financial sustainability of</w:t>
      </w:r>
      <w:r>
        <w:t xml:space="preserve"> </w:t>
      </w:r>
      <w:r w:rsidRPr="00842CBE">
        <w:t>the public hospital system and for the need for continuity and predictability in prices.</w:t>
      </w:r>
      <w:r>
        <w:t xml:space="preserve"> </w:t>
      </w:r>
      <w:r w:rsidRPr="00842CBE">
        <w:t>IHACPA develop</w:t>
      </w:r>
      <w:r w:rsidR="008B0199">
        <w:t>s</w:t>
      </w:r>
      <w:r w:rsidRPr="00842CBE">
        <w:t xml:space="preserve"> and implement</w:t>
      </w:r>
      <w:r w:rsidR="008B0199">
        <w:t>s</w:t>
      </w:r>
      <w:r w:rsidRPr="00842CBE">
        <w:t xml:space="preserve"> new measures to ensure </w:t>
      </w:r>
      <w:r w:rsidR="007B13C1">
        <w:t xml:space="preserve">the </w:t>
      </w:r>
      <w:r w:rsidRPr="00842CBE">
        <w:t xml:space="preserve">data used for determining </w:t>
      </w:r>
      <w:r>
        <w:t>the NEP</w:t>
      </w:r>
      <w:r w:rsidR="008B0199">
        <w:t xml:space="preserve"> remains appropriate</w:t>
      </w:r>
      <w:r w:rsidRPr="00842CBE">
        <w:t>.</w:t>
      </w:r>
      <w:bookmarkEnd w:id="43"/>
      <w:bookmarkEnd w:id="44"/>
      <w:r w:rsidR="008B0199">
        <w:t xml:space="preserve"> IHACPA also regularly updates its National Pricing Model Stability Policy to ensure that the policy accurately </w:t>
      </w:r>
      <w:r w:rsidR="008B0199" w:rsidRPr="008B0199">
        <w:t>describe</w:t>
      </w:r>
      <w:r w:rsidR="008B0199">
        <w:t>s</w:t>
      </w:r>
      <w:r w:rsidR="008B0199" w:rsidRPr="008B0199">
        <w:t xml:space="preserve"> the principles and processes IHACPA is guided by in its analysis and consideration of year-on-year stability of price weights, adjustments and NEP and NEC model parameters, including consideration of data preparation to account for material issues with data quality or data completeness and national impacts on the Australian health care system</w:t>
      </w:r>
      <w:r w:rsidR="00720BF8">
        <w:t>.</w:t>
      </w:r>
      <w:r w:rsidR="008B0199">
        <w:t xml:space="preserve"> </w:t>
      </w:r>
    </w:p>
    <w:p w14:paraId="3DC25527" w14:textId="7D1F1A81" w:rsidR="00331BB7" w:rsidRPr="00A207F8" w:rsidRDefault="002A772D" w:rsidP="00F00D91">
      <w:pPr>
        <w:pStyle w:val="Body"/>
        <w:rPr>
          <w:b/>
          <w:bCs/>
        </w:rPr>
      </w:pPr>
      <w:r w:rsidRPr="00A207F8">
        <w:rPr>
          <w:b/>
          <w:bCs/>
        </w:rPr>
        <w:t>Developing the n</w:t>
      </w:r>
      <w:r w:rsidR="00C83F22" w:rsidRPr="00A207F8">
        <w:rPr>
          <w:b/>
          <w:bCs/>
        </w:rPr>
        <w:t>ational efficient cost</w:t>
      </w:r>
    </w:p>
    <w:p w14:paraId="20E79F69" w14:textId="7B514F7C" w:rsidR="00B51FF6" w:rsidRPr="00AC04B2" w:rsidRDefault="00B51FF6" w:rsidP="00F00D91">
      <w:pPr>
        <w:pStyle w:val="Body"/>
      </w:pPr>
      <w:r w:rsidRPr="00AC04B2">
        <w:t xml:space="preserve">Generally, public hospitals or public hospital services will be eligible for block funding if there is either no acceptable classification system available, </w:t>
      </w:r>
      <w:r w:rsidR="003A132A">
        <w:t xml:space="preserve">a low volume of activity that impacts ABF suitability, </w:t>
      </w:r>
      <w:r w:rsidRPr="00AC04B2">
        <w:t xml:space="preserve">or activity and cost data collections are not in place in </w:t>
      </w:r>
      <w:r w:rsidR="00B20E4E">
        <w:t>states or territories</w:t>
      </w:r>
      <w:r w:rsidR="00B20E4E" w:rsidRPr="00AC04B2">
        <w:t xml:space="preserve"> </w:t>
      </w:r>
      <w:r w:rsidRPr="00AC04B2">
        <w:t>to allow for the pricing and funding of these services on an activity basis. Block</w:t>
      </w:r>
      <w:r w:rsidR="003007BE" w:rsidRPr="00AC04B2">
        <w:t>-</w:t>
      </w:r>
      <w:r w:rsidRPr="00AC04B2">
        <w:t xml:space="preserve">funded amounts are included in the NEC Determination each year. </w:t>
      </w:r>
    </w:p>
    <w:p w14:paraId="1945FDA4" w14:textId="43EC9705" w:rsidR="00331BB7" w:rsidRDefault="00B51FF6" w:rsidP="00F00D91">
      <w:pPr>
        <w:pStyle w:val="Body"/>
      </w:pPr>
      <w:r w:rsidRPr="00AC04B2">
        <w:t xml:space="preserve">Clauses A49–A55 of the </w:t>
      </w:r>
      <w:r w:rsidR="00DB6B2E">
        <w:t>addendum</w:t>
      </w:r>
      <w:r w:rsidR="00F913DB">
        <w:t xml:space="preserve"> </w:t>
      </w:r>
      <w:r w:rsidRPr="00AC04B2">
        <w:t>require that IH</w:t>
      </w:r>
      <w:r w:rsidR="00E9399E" w:rsidRPr="00AC04B2">
        <w:t>AC</w:t>
      </w:r>
      <w:r w:rsidRPr="00AC04B2">
        <w:t>PA develop block</w:t>
      </w:r>
      <w:r w:rsidR="003007BE" w:rsidRPr="00AC04B2">
        <w:t>-</w:t>
      </w:r>
      <w:r w:rsidRPr="00AC04B2">
        <w:t>funding criteria in consultation with states and territories, and that states and territories provide advice to IH</w:t>
      </w:r>
      <w:r w:rsidR="00E9399E" w:rsidRPr="00AC04B2">
        <w:t>AC</w:t>
      </w:r>
      <w:r w:rsidRPr="00AC04B2">
        <w:t xml:space="preserve">PA on how their services meet these criteria. </w:t>
      </w:r>
      <w:proofErr w:type="gramStart"/>
      <w:r w:rsidRPr="00AC04B2">
        <w:t>On the basis of</w:t>
      </w:r>
      <w:proofErr w:type="gramEnd"/>
      <w:r w:rsidRPr="00AC04B2">
        <w:t xml:space="preserve"> this advice, IH</w:t>
      </w:r>
      <w:r w:rsidR="00E9399E" w:rsidRPr="00AC04B2">
        <w:t>AC</w:t>
      </w:r>
      <w:r w:rsidRPr="00AC04B2">
        <w:t>PA determines which hospital services and functions are eligible for block funding. The Administrator of the National Health Funding Pool (the Administrator) then calculates the Commonwealth contribution.</w:t>
      </w:r>
    </w:p>
    <w:p w14:paraId="7D27AD99" w14:textId="04282292" w:rsidR="00F90D30" w:rsidRDefault="0029441E" w:rsidP="00F00D91">
      <w:pPr>
        <w:pStyle w:val="Body"/>
      </w:pPr>
      <w:r>
        <w:t>IHACPA commenced a multi-year review of block funding arrangements in 2025–26</w:t>
      </w:r>
      <w:r w:rsidR="009E3F2D">
        <w:t xml:space="preserve"> and will continue this in 2026–27. The review will consider</w:t>
      </w:r>
      <w:r w:rsidRPr="00977ED6">
        <w:t xml:space="preserve"> the block funding criteria for small rural hospitals</w:t>
      </w:r>
      <w:r w:rsidR="009E3F2D">
        <w:t xml:space="preserve"> and other standalone, specialised hospitals</w:t>
      </w:r>
      <w:r>
        <w:t>, to ensure these remain fit for purpose</w:t>
      </w:r>
      <w:r w:rsidR="009E3F2D">
        <w:t>, as well as broader areas including the</w:t>
      </w:r>
      <w:r>
        <w:t xml:space="preserve"> </w:t>
      </w:r>
      <w:r w:rsidRPr="00DF570E">
        <w:t>block-funded service categories</w:t>
      </w:r>
      <w:r>
        <w:t>.</w:t>
      </w:r>
      <w:r w:rsidR="00931ACB">
        <w:t xml:space="preserve"> </w:t>
      </w:r>
    </w:p>
    <w:p w14:paraId="25C7FC55" w14:textId="6B51A400" w:rsidR="00931ACB" w:rsidRPr="00F90D30" w:rsidRDefault="00F90D30" w:rsidP="00483531">
      <w:pPr>
        <w:rPr>
          <w:rFonts w:ascii="Arial" w:hAnsi="Arial" w:cs="Arial"/>
          <w:sz w:val="20"/>
          <w:szCs w:val="20"/>
        </w:rPr>
      </w:pPr>
      <w:r>
        <w:br w:type="page"/>
      </w:r>
    </w:p>
    <w:p w14:paraId="4B830FDF" w14:textId="5E267D04" w:rsidR="00201BE1" w:rsidRPr="00AC04B2" w:rsidRDefault="00201BE1" w:rsidP="008E4EF5">
      <w:pPr>
        <w:pStyle w:val="H4"/>
      </w:pPr>
      <w:bookmarkStart w:id="45" w:name="_Toc55053990"/>
      <w:bookmarkStart w:id="46" w:name="_Toc55237209"/>
      <w:bookmarkStart w:id="47" w:name="_Toc55237774"/>
      <w:bookmarkStart w:id="48" w:name="_Toc55238299"/>
      <w:bookmarkStart w:id="49" w:name="_Toc55974117"/>
      <w:bookmarkStart w:id="50" w:name="_Hlk94008357"/>
      <w:r w:rsidRPr="00AC04B2">
        <w:lastRenderedPageBreak/>
        <w:t xml:space="preserve">Pricing and funding </w:t>
      </w:r>
      <w:r w:rsidR="002A772D" w:rsidRPr="00AC04B2">
        <w:t xml:space="preserve">for </w:t>
      </w:r>
      <w:r w:rsidRPr="00AC04B2">
        <w:t>safety and quality in the delivery of public hospital services</w:t>
      </w:r>
      <w:bookmarkEnd w:id="45"/>
      <w:bookmarkEnd w:id="46"/>
      <w:bookmarkEnd w:id="47"/>
      <w:bookmarkEnd w:id="48"/>
      <w:bookmarkEnd w:id="49"/>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201BE1" w:rsidRPr="00AC04B2" w14:paraId="69A7295A" w14:textId="77777777" w:rsidTr="007E2757">
        <w:tc>
          <w:tcPr>
            <w:tcW w:w="3726" w:type="pct"/>
            <w:tcBorders>
              <w:top w:val="nil"/>
              <w:bottom w:val="nil"/>
            </w:tcBorders>
            <w:shd w:val="clear" w:color="auto" w:fill="379887" w:themeFill="accent5" w:themeFillShade="BF"/>
            <w:vAlign w:val="center"/>
          </w:tcPr>
          <w:p w14:paraId="7E04C6C2" w14:textId="0510B8CC" w:rsidR="00201BE1" w:rsidRPr="00AC04B2" w:rsidRDefault="00FF0E74" w:rsidP="008E4EF5">
            <w:pPr>
              <w:pStyle w:val="TableHeading"/>
            </w:pPr>
            <w:r w:rsidRPr="00AC04B2">
              <w:t>Deliverable</w:t>
            </w:r>
          </w:p>
        </w:tc>
        <w:tc>
          <w:tcPr>
            <w:tcW w:w="1274" w:type="pct"/>
            <w:tcBorders>
              <w:top w:val="nil"/>
              <w:bottom w:val="nil"/>
            </w:tcBorders>
            <w:shd w:val="clear" w:color="auto" w:fill="379887" w:themeFill="accent5" w:themeFillShade="BF"/>
            <w:vAlign w:val="center"/>
          </w:tcPr>
          <w:p w14:paraId="1849FE22" w14:textId="7F3A3EDC" w:rsidR="00201BE1" w:rsidRPr="00AC04B2" w:rsidRDefault="00FF0E74" w:rsidP="008E4EF5">
            <w:pPr>
              <w:pStyle w:val="TableHeading"/>
            </w:pPr>
            <w:r w:rsidRPr="00AC04B2">
              <w:t>Timeframe</w:t>
            </w:r>
          </w:p>
        </w:tc>
      </w:tr>
      <w:tr w:rsidR="00FD242A" w:rsidRPr="00A207F8" w14:paraId="15E9A072" w14:textId="77777777" w:rsidTr="00E35BCD">
        <w:trPr>
          <w:trHeight w:val="16"/>
        </w:trPr>
        <w:tc>
          <w:tcPr>
            <w:tcW w:w="3726" w:type="pct"/>
            <w:tcBorders>
              <w:top w:val="nil"/>
              <w:bottom w:val="single" w:sz="4" w:space="0" w:color="auto"/>
            </w:tcBorders>
          </w:tcPr>
          <w:p w14:paraId="0D5530F9" w14:textId="3CE32F1B" w:rsidR="00FD242A" w:rsidRPr="00A207F8" w:rsidDel="0077642E" w:rsidRDefault="00081670" w:rsidP="008E4EF5">
            <w:pPr>
              <w:pStyle w:val="TableBodySmall"/>
            </w:pPr>
            <w:r w:rsidRPr="00A207F8">
              <w:t xml:space="preserve">Incorporate safety and quality </w:t>
            </w:r>
            <w:r w:rsidR="00796BCB">
              <w:t>approaches</w:t>
            </w:r>
            <w:r w:rsidR="00796BCB" w:rsidRPr="00A207F8">
              <w:t xml:space="preserve"> </w:t>
            </w:r>
            <w:r w:rsidRPr="00A207F8">
              <w:t>into the pricing and funding of public hospital services</w:t>
            </w:r>
            <w:r w:rsidR="00FD242A" w:rsidRPr="00A207F8">
              <w:t>.</w:t>
            </w:r>
          </w:p>
        </w:tc>
        <w:tc>
          <w:tcPr>
            <w:tcW w:w="1274" w:type="pct"/>
            <w:tcBorders>
              <w:top w:val="nil"/>
              <w:bottom w:val="single" w:sz="4" w:space="0" w:color="auto"/>
            </w:tcBorders>
          </w:tcPr>
          <w:p w14:paraId="1844792E" w14:textId="35A1EFC7" w:rsidR="00FD242A" w:rsidRPr="00A207F8" w:rsidDel="0077642E" w:rsidRDefault="00796BCB" w:rsidP="008E4EF5">
            <w:pPr>
              <w:pStyle w:val="TableBodySmall"/>
            </w:pPr>
            <w:r>
              <w:t>March 2027</w:t>
            </w:r>
          </w:p>
        </w:tc>
      </w:tr>
    </w:tbl>
    <w:p w14:paraId="3248EAAB" w14:textId="77777777" w:rsidR="00A207F8" w:rsidRDefault="00A207F8" w:rsidP="008E4EF5">
      <w:pPr>
        <w:pStyle w:val="Body"/>
      </w:pPr>
    </w:p>
    <w:p w14:paraId="47ACEA38" w14:textId="7A3F8F19" w:rsidR="00937E47" w:rsidRPr="00A207F8" w:rsidRDefault="00FD242A" w:rsidP="008E4EF5">
      <w:pPr>
        <w:pStyle w:val="Body"/>
        <w:keepLines/>
        <w:rPr>
          <w:b/>
          <w:bCs/>
        </w:rPr>
      </w:pPr>
      <w:r w:rsidRPr="00A207F8">
        <w:rPr>
          <w:b/>
          <w:bCs/>
        </w:rPr>
        <w:t xml:space="preserve">The </w:t>
      </w:r>
      <w:r w:rsidR="00E273D9">
        <w:rPr>
          <w:b/>
          <w:bCs/>
        </w:rPr>
        <w:t>addendum</w:t>
      </w:r>
      <w:r w:rsidR="00F913DB">
        <w:t xml:space="preserve"> </w:t>
      </w:r>
      <w:r w:rsidRPr="00A207F8">
        <w:rPr>
          <w:b/>
          <w:bCs/>
        </w:rPr>
        <w:t>requires IH</w:t>
      </w:r>
      <w:r w:rsidR="00937E47" w:rsidRPr="00A207F8">
        <w:rPr>
          <w:b/>
          <w:bCs/>
        </w:rPr>
        <w:t>AC</w:t>
      </w:r>
      <w:r w:rsidRPr="00A207F8">
        <w:rPr>
          <w:b/>
          <w:bCs/>
        </w:rPr>
        <w:t xml:space="preserve">PA to continue </w:t>
      </w:r>
      <w:r w:rsidR="00F55E21" w:rsidRPr="00A207F8">
        <w:rPr>
          <w:b/>
          <w:bCs/>
        </w:rPr>
        <w:t xml:space="preserve">to implement safety and quality </w:t>
      </w:r>
      <w:r w:rsidRPr="00A207F8">
        <w:rPr>
          <w:b/>
          <w:bCs/>
        </w:rPr>
        <w:t xml:space="preserve">approaches for sentinel events, hospital acquired complications (HACs) and avoidable hospital readmissions. The </w:t>
      </w:r>
      <w:r w:rsidR="00E273D9">
        <w:rPr>
          <w:b/>
          <w:bCs/>
        </w:rPr>
        <w:t>addendum</w:t>
      </w:r>
      <w:r w:rsidRPr="00A207F8">
        <w:rPr>
          <w:b/>
          <w:bCs/>
        </w:rPr>
        <w:t xml:space="preserve"> also requires IH</w:t>
      </w:r>
      <w:r w:rsidR="00937E47" w:rsidRPr="00A207F8">
        <w:rPr>
          <w:b/>
          <w:bCs/>
        </w:rPr>
        <w:t>AC</w:t>
      </w:r>
      <w:r w:rsidRPr="00A207F8">
        <w:rPr>
          <w:b/>
          <w:bCs/>
        </w:rPr>
        <w:t xml:space="preserve">PA to provide advice regarding </w:t>
      </w:r>
      <w:r w:rsidR="00F55E21" w:rsidRPr="00A207F8">
        <w:rPr>
          <w:b/>
          <w:bCs/>
        </w:rPr>
        <w:t xml:space="preserve">the evaluation of existing reforms and the </w:t>
      </w:r>
      <w:r w:rsidRPr="00A207F8">
        <w:rPr>
          <w:b/>
          <w:bCs/>
        </w:rPr>
        <w:t>investigation of new reforms, including options for reducing avoidable and preventable hospitalisations</w:t>
      </w:r>
      <w:r w:rsidR="00990D12" w:rsidRPr="00A207F8">
        <w:rPr>
          <w:b/>
          <w:bCs/>
        </w:rPr>
        <w:t>.</w:t>
      </w:r>
    </w:p>
    <w:p w14:paraId="49FCB679" w14:textId="071F50E8" w:rsidR="00201BE1" w:rsidRPr="00A207F8" w:rsidRDefault="00201BE1" w:rsidP="008E4EF5">
      <w:pPr>
        <w:pStyle w:val="Body"/>
        <w:keepNext/>
        <w:keepLines/>
        <w:rPr>
          <w:b/>
          <w:bCs/>
        </w:rPr>
      </w:pPr>
      <w:bookmarkStart w:id="51" w:name="_Toc55045619"/>
      <w:bookmarkStart w:id="52" w:name="_Toc55053991"/>
      <w:bookmarkStart w:id="53" w:name="_Toc55237210"/>
      <w:r w:rsidRPr="00A207F8">
        <w:rPr>
          <w:b/>
          <w:bCs/>
        </w:rPr>
        <w:t>Sentinel events</w:t>
      </w:r>
      <w:bookmarkEnd w:id="51"/>
      <w:bookmarkEnd w:id="52"/>
      <w:bookmarkEnd w:id="53"/>
    </w:p>
    <w:p w14:paraId="3A65BA8D" w14:textId="0D26E539" w:rsidR="00FD242A" w:rsidRPr="00AC04B2" w:rsidRDefault="00FD242A" w:rsidP="008E4EF5">
      <w:pPr>
        <w:pStyle w:val="Body"/>
        <w:keepNext/>
        <w:keepLines/>
      </w:pPr>
      <w:r w:rsidRPr="00AC04B2">
        <w:t xml:space="preserve">Sentinel events are </w:t>
      </w:r>
      <w:r w:rsidR="002A772D" w:rsidRPr="00AC04B2">
        <w:t>a subset of adverse patient safety event</w:t>
      </w:r>
      <w:r w:rsidR="000C2099" w:rsidRPr="00AC04B2">
        <w:t>s</w:t>
      </w:r>
      <w:r w:rsidR="002A772D" w:rsidRPr="00AC04B2">
        <w:t xml:space="preserve"> that are who</w:t>
      </w:r>
      <w:r w:rsidR="000C2099" w:rsidRPr="00AC04B2">
        <w:t>l</w:t>
      </w:r>
      <w:r w:rsidR="002A772D" w:rsidRPr="00AC04B2">
        <w:t>ly preventable a</w:t>
      </w:r>
      <w:r w:rsidR="000C2099" w:rsidRPr="00AC04B2">
        <w:t>n</w:t>
      </w:r>
      <w:r w:rsidR="002A772D" w:rsidRPr="00AC04B2">
        <w:t>d result in serious harm to</w:t>
      </w:r>
      <w:r w:rsidR="000C2099" w:rsidRPr="00AC04B2">
        <w:t>,</w:t>
      </w:r>
      <w:r w:rsidR="002A772D" w:rsidRPr="00AC04B2">
        <w:t xml:space="preserve"> or</w:t>
      </w:r>
      <w:r w:rsidR="00402472" w:rsidRPr="00AC04B2">
        <w:t> </w:t>
      </w:r>
      <w:r w:rsidR="002A772D" w:rsidRPr="00AC04B2">
        <w:t>death of</w:t>
      </w:r>
      <w:r w:rsidR="000C2099" w:rsidRPr="00AC04B2">
        <w:t>,</w:t>
      </w:r>
      <w:r w:rsidR="002A772D" w:rsidRPr="00AC04B2">
        <w:t xml:space="preserve"> a patient</w:t>
      </w:r>
      <w:r w:rsidRPr="00AC04B2">
        <w:t>, where serious harm is defined to include requiring life-saving surgical or medical intervention, shortened life expectancy, permanent or long-term physical harm or permanent or long-term loss of function.</w:t>
      </w:r>
    </w:p>
    <w:p w14:paraId="6BB2857E" w14:textId="28E54E1D" w:rsidR="00FD242A" w:rsidRPr="00AC04B2" w:rsidRDefault="00FD242A" w:rsidP="008E4EF5">
      <w:pPr>
        <w:pStyle w:val="Body"/>
        <w:keepNext/>
        <w:keepLines/>
      </w:pPr>
      <w:r w:rsidRPr="00AC04B2">
        <w:t xml:space="preserve">The Australian Commission on Safety and Quality in Health Care (the Commission) is responsible for </w:t>
      </w:r>
      <w:r w:rsidR="00D85D6A" w:rsidRPr="00AC04B2">
        <w:t xml:space="preserve">maintaining </w:t>
      </w:r>
      <w:r w:rsidRPr="00AC04B2">
        <w:t xml:space="preserve">the Australian Sentinel Events List, which was initially endorsed by </w:t>
      </w:r>
      <w:r w:rsidR="00D85D6A" w:rsidRPr="00AC04B2">
        <w:t xml:space="preserve">Australian </w:t>
      </w:r>
      <w:r w:rsidRPr="00AC04B2">
        <w:t>health ministers in 2002.</w:t>
      </w:r>
    </w:p>
    <w:p w14:paraId="19867292" w14:textId="09F6D06C" w:rsidR="00990D12" w:rsidRPr="00AC04B2" w:rsidRDefault="00FD242A" w:rsidP="00F00D91">
      <w:pPr>
        <w:pStyle w:val="Body"/>
      </w:pPr>
      <w:r w:rsidRPr="00AC04B2">
        <w:t>The Commission undertook a review of the Australian Sentinel Events List in 2017</w:t>
      </w:r>
      <w:r w:rsidR="000015E7">
        <w:t>.</w:t>
      </w:r>
      <w:r w:rsidRPr="00AC04B2">
        <w:t xml:space="preserve"> </w:t>
      </w:r>
      <w:r w:rsidR="0039589B" w:rsidRPr="00AC04B2">
        <w:t xml:space="preserve">Version 2.0 of the </w:t>
      </w:r>
      <w:hyperlink r:id="rId23" w:history="1">
        <w:r w:rsidR="0039589B" w:rsidRPr="000015E7">
          <w:rPr>
            <w:rStyle w:val="Hyperlink"/>
            <w:color w:val="008F55" w:themeColor="accent4"/>
          </w:rPr>
          <w:t>Australian Sentinel Events List</w:t>
        </w:r>
      </w:hyperlink>
      <w:r w:rsidR="0039589B" w:rsidRPr="00AC04B2">
        <w:t xml:space="preserve"> </w:t>
      </w:r>
      <w:r w:rsidRPr="00AC04B2">
        <w:t xml:space="preserve">was endorsed by Australian health ministers in December 2018. </w:t>
      </w:r>
    </w:p>
    <w:p w14:paraId="13E03F65" w14:textId="5C76B442" w:rsidR="00705A7F" w:rsidRPr="00AC04B2" w:rsidRDefault="00705A7F" w:rsidP="00F00D91">
      <w:pPr>
        <w:pStyle w:val="Body"/>
      </w:pPr>
      <w:r w:rsidRPr="00AC04B2">
        <w:t>Since July 2017, IH</w:t>
      </w:r>
      <w:r w:rsidR="0048370F" w:rsidRPr="00AC04B2">
        <w:t>AC</w:t>
      </w:r>
      <w:r w:rsidRPr="00AC04B2">
        <w:t>PA has implemented a funding approach for sentinel events whereby a zero national weighted activity unit (NWAU) is assigned to an episode of care that includes a sentinel event. This approach is applied to all hospitals, comprising services funded on an ABF or block</w:t>
      </w:r>
      <w:r w:rsidR="003007BE" w:rsidRPr="00AC04B2">
        <w:t>-</w:t>
      </w:r>
      <w:r w:rsidRPr="00AC04B2">
        <w:t>funded basis.</w:t>
      </w:r>
    </w:p>
    <w:p w14:paraId="4E1B003B" w14:textId="1C3376D9" w:rsidR="00201BE1" w:rsidRPr="00A207F8" w:rsidRDefault="00192240" w:rsidP="00F00D91">
      <w:pPr>
        <w:pStyle w:val="Body"/>
        <w:rPr>
          <w:b/>
          <w:bCs/>
        </w:rPr>
      </w:pPr>
      <w:r w:rsidRPr="00A207F8">
        <w:rPr>
          <w:b/>
          <w:bCs/>
        </w:rPr>
        <w:t>Hospital acquired complications</w:t>
      </w:r>
    </w:p>
    <w:p w14:paraId="634EE0B4" w14:textId="3A409A9F" w:rsidR="00705A7F" w:rsidRPr="00AC04B2" w:rsidRDefault="00F55E21" w:rsidP="00F00D91">
      <w:pPr>
        <w:pStyle w:val="Body"/>
      </w:pPr>
      <w:r w:rsidRPr="00AC04B2">
        <w:t xml:space="preserve">A HAC refers to a complication for which </w:t>
      </w:r>
      <w:r w:rsidR="00705A7F" w:rsidRPr="00AC04B2">
        <w:t>clinical risk mitigation strategies may reduce (but not necessarily eliminate) the risk of that complication occurring. The Commission is responsible for the ongoing curation of the HACs list to ensure it remains clinically relevant.</w:t>
      </w:r>
    </w:p>
    <w:p w14:paraId="795576DE" w14:textId="3ED8A9F1" w:rsidR="00990D12" w:rsidRPr="00AC04B2" w:rsidRDefault="00705A7F" w:rsidP="00F00D91">
      <w:pPr>
        <w:pStyle w:val="Body"/>
      </w:pPr>
      <w:r w:rsidRPr="00AC04B2">
        <w:t>Version 3.</w:t>
      </w:r>
      <w:r w:rsidR="00D217CD">
        <w:t>2</w:t>
      </w:r>
      <w:r w:rsidRPr="00AC04B2">
        <w:t xml:space="preserve"> of the </w:t>
      </w:r>
      <w:hyperlink r:id="rId24" w:history="1">
        <w:r w:rsidRPr="00B4193E">
          <w:rPr>
            <w:rStyle w:val="Hyperlink"/>
            <w:color w:val="008F55" w:themeColor="accent4"/>
          </w:rPr>
          <w:t>HACs list</w:t>
        </w:r>
      </w:hyperlink>
      <w:r w:rsidRPr="00AC04B2">
        <w:t xml:space="preserve"> </w:t>
      </w:r>
      <w:r w:rsidR="00AE6D82" w:rsidRPr="00AC04B2">
        <w:t xml:space="preserve">and specifications was released </w:t>
      </w:r>
      <w:r w:rsidRPr="00AC04B2">
        <w:t xml:space="preserve">in </w:t>
      </w:r>
      <w:r w:rsidR="00D217CD">
        <w:t>May 2025</w:t>
      </w:r>
      <w:r w:rsidR="00990D12" w:rsidRPr="00AC04B2">
        <w:t>.</w:t>
      </w:r>
    </w:p>
    <w:p w14:paraId="64C9BA67" w14:textId="045A6171" w:rsidR="00705A7F" w:rsidRPr="00AC04B2" w:rsidRDefault="00705A7F" w:rsidP="00F00D91">
      <w:pPr>
        <w:pStyle w:val="Body"/>
      </w:pPr>
      <w:r w:rsidRPr="00AC04B2">
        <w:t>Since July 2018, IH</w:t>
      </w:r>
      <w:r w:rsidR="0048370F" w:rsidRPr="00AC04B2">
        <w:t>AC</w:t>
      </w:r>
      <w:r w:rsidRPr="00AC04B2">
        <w:t xml:space="preserve">PA has implemented a HACs funding approach that incorporates a risk adjustment model that assigns individual patient episodes with a HAC complexity score (low, medium or high). This complexity score is used to adjust the funding reduction for an episode containing a HAC, </w:t>
      </w:r>
      <w:proofErr w:type="gramStart"/>
      <w:r w:rsidRPr="00AC04B2">
        <w:t>on the basis of</w:t>
      </w:r>
      <w:proofErr w:type="gramEnd"/>
      <w:r w:rsidRPr="00AC04B2">
        <w:t xml:space="preserve"> the risk of that patient acquiring a HAC.</w:t>
      </w:r>
    </w:p>
    <w:p w14:paraId="0B17B707" w14:textId="77777777" w:rsidR="00201BE1" w:rsidRPr="000362C5" w:rsidRDefault="00201BE1" w:rsidP="00F00D91">
      <w:pPr>
        <w:pStyle w:val="Body"/>
        <w:rPr>
          <w:b/>
          <w:bCs/>
        </w:rPr>
      </w:pPr>
      <w:bookmarkStart w:id="54" w:name="_Toc55053993"/>
      <w:bookmarkStart w:id="55" w:name="_Toc55237212"/>
      <w:r w:rsidRPr="000362C5">
        <w:rPr>
          <w:b/>
          <w:bCs/>
        </w:rPr>
        <w:t>Avoidable hospital readmissions</w:t>
      </w:r>
      <w:bookmarkEnd w:id="54"/>
      <w:bookmarkEnd w:id="55"/>
    </w:p>
    <w:p w14:paraId="1E7480F6" w14:textId="51218A9C" w:rsidR="00B80432" w:rsidRPr="00AC04B2" w:rsidRDefault="00B80432" w:rsidP="00F00D91">
      <w:pPr>
        <w:pStyle w:val="Body"/>
      </w:pPr>
      <w:r w:rsidRPr="00AC04B2">
        <w:t xml:space="preserve">An avoidable hospital readmission occurs when a patient has been discharged from hospital (index admission) </w:t>
      </w:r>
      <w:r w:rsidR="00F55E21" w:rsidRPr="00AC04B2">
        <w:t>and has a subsequent unplanned admission that is related to the index admission and was potentially preventable</w:t>
      </w:r>
      <w:r w:rsidRPr="00AC04B2">
        <w:t>.</w:t>
      </w:r>
    </w:p>
    <w:p w14:paraId="4639F8B1" w14:textId="21497E58" w:rsidR="00990D12" w:rsidRPr="00AC04B2" w:rsidRDefault="00B80432" w:rsidP="00F00D91">
      <w:pPr>
        <w:pStyle w:val="Body"/>
      </w:pPr>
      <w:r w:rsidRPr="00AC04B2">
        <w:t xml:space="preserve">The Commission developed a list of clinical conditions considered to be avoidable hospital readmissions, which was endorsed by health ministers in 2019. </w:t>
      </w:r>
      <w:hyperlink r:id="rId25" w:history="1">
        <w:r w:rsidRPr="00B4193E">
          <w:rPr>
            <w:rStyle w:val="Hyperlink"/>
            <w:color w:val="008F55" w:themeColor="accent4"/>
          </w:rPr>
          <w:t xml:space="preserve">Version </w:t>
        </w:r>
        <w:r w:rsidR="00D217CD">
          <w:rPr>
            <w:rStyle w:val="Hyperlink"/>
            <w:color w:val="008F55" w:themeColor="accent4"/>
          </w:rPr>
          <w:t>3</w:t>
        </w:r>
        <w:r w:rsidRPr="00B4193E">
          <w:rPr>
            <w:rStyle w:val="Hyperlink"/>
            <w:color w:val="008F55" w:themeColor="accent4"/>
          </w:rPr>
          <w:t>.0</w:t>
        </w:r>
      </w:hyperlink>
      <w:r w:rsidRPr="00AC04B2">
        <w:t xml:space="preserve"> of the list of avoidable hospital readmission conditions and specifications </w:t>
      </w:r>
      <w:r w:rsidR="00F55E21" w:rsidRPr="00AC04B2">
        <w:t>was released in May 202</w:t>
      </w:r>
      <w:r w:rsidR="00D217CD">
        <w:t>5</w:t>
      </w:r>
      <w:r w:rsidR="00990D12" w:rsidRPr="00AC04B2">
        <w:t>.</w:t>
      </w:r>
    </w:p>
    <w:p w14:paraId="39067764" w14:textId="016D0ABE" w:rsidR="00F90D30" w:rsidRDefault="00B80432" w:rsidP="00F00D91">
      <w:pPr>
        <w:pStyle w:val="Body"/>
      </w:pPr>
      <w:r w:rsidRPr="00AC04B2">
        <w:t>Since July 2021, IH</w:t>
      </w:r>
      <w:r w:rsidR="0048370F" w:rsidRPr="00AC04B2">
        <w:t>AC</w:t>
      </w:r>
      <w:r w:rsidRPr="00AC04B2">
        <w:t xml:space="preserve">PA has implemented an avoidable hospital readmissions funding approach </w:t>
      </w:r>
      <w:r w:rsidR="00D50265">
        <w:t>that</w:t>
      </w:r>
      <w:r w:rsidRPr="00AC04B2">
        <w:t xml:space="preserve"> applies a risk-adjusted NWAU adjustment to the index episode, based on the total NWAU of the associated readmission. A risk adjustment model has been derived for each readmission condition, aligning the risk of being readmitted for each episode of care, based on the most clinically relevant and statistically significant risk factors for that readmission condition.</w:t>
      </w:r>
    </w:p>
    <w:p w14:paraId="27624E92" w14:textId="20FB1EBA" w:rsidR="00990D12" w:rsidRPr="00F90D30" w:rsidRDefault="00F90D30" w:rsidP="00483531">
      <w:pPr>
        <w:rPr>
          <w:rFonts w:ascii="Arial" w:hAnsi="Arial" w:cs="Arial"/>
          <w:sz w:val="20"/>
          <w:szCs w:val="20"/>
        </w:rPr>
      </w:pPr>
      <w:r>
        <w:br w:type="page"/>
      </w:r>
    </w:p>
    <w:p w14:paraId="4725AF69" w14:textId="69CFF2E6" w:rsidR="003007BE" w:rsidRPr="00AC04B2" w:rsidRDefault="003007BE" w:rsidP="00291E8C">
      <w:pPr>
        <w:pStyle w:val="H4"/>
        <w:keepNext/>
        <w:ind w:left="357" w:hanging="357"/>
      </w:pPr>
      <w:r w:rsidRPr="00AC04B2">
        <w:lastRenderedPageBreak/>
        <w:t xml:space="preserve">Forecast of the national efficient price </w:t>
      </w:r>
      <w:r w:rsidR="003D03A3">
        <w:t>for public hospital services</w:t>
      </w:r>
      <w:r w:rsidR="003D03A3" w:rsidRPr="00AC04B2">
        <w:t xml:space="preserve"> </w:t>
      </w:r>
      <w:r w:rsidRPr="00AC04B2">
        <w:t>for future years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007BE" w:rsidRPr="00AC04B2" w14:paraId="55AC8A3B" w14:textId="77777777" w:rsidTr="007E2757">
        <w:tc>
          <w:tcPr>
            <w:tcW w:w="3726" w:type="pct"/>
            <w:tcBorders>
              <w:top w:val="nil"/>
              <w:bottom w:val="nil"/>
            </w:tcBorders>
            <w:shd w:val="clear" w:color="auto" w:fill="379887" w:themeFill="accent5" w:themeFillShade="BF"/>
            <w:vAlign w:val="center"/>
          </w:tcPr>
          <w:p w14:paraId="0BC72697" w14:textId="77777777" w:rsidR="003007BE" w:rsidRPr="00AC04B2" w:rsidRDefault="003007BE" w:rsidP="00A207F8">
            <w:pPr>
              <w:pStyle w:val="TableHeading"/>
            </w:pPr>
            <w:r w:rsidRPr="00AC04B2">
              <w:t>Deliverable</w:t>
            </w:r>
          </w:p>
        </w:tc>
        <w:tc>
          <w:tcPr>
            <w:tcW w:w="1274" w:type="pct"/>
            <w:tcBorders>
              <w:top w:val="nil"/>
              <w:bottom w:val="nil"/>
            </w:tcBorders>
            <w:shd w:val="clear" w:color="auto" w:fill="379887" w:themeFill="accent5" w:themeFillShade="BF"/>
            <w:vAlign w:val="center"/>
          </w:tcPr>
          <w:p w14:paraId="7220215B" w14:textId="77777777" w:rsidR="003007BE" w:rsidRPr="00AC04B2" w:rsidRDefault="003007BE" w:rsidP="00A207F8">
            <w:pPr>
              <w:pStyle w:val="TableHeading"/>
            </w:pPr>
            <w:r w:rsidRPr="00AC04B2">
              <w:t>Timeframe</w:t>
            </w:r>
          </w:p>
        </w:tc>
      </w:tr>
      <w:tr w:rsidR="003007BE" w:rsidRPr="00AC04B2" w14:paraId="3F9C0330" w14:textId="77777777" w:rsidTr="00122328">
        <w:trPr>
          <w:trHeight w:val="256"/>
        </w:trPr>
        <w:tc>
          <w:tcPr>
            <w:tcW w:w="3726" w:type="pct"/>
            <w:tcBorders>
              <w:top w:val="nil"/>
              <w:bottom w:val="single" w:sz="4" w:space="0" w:color="auto"/>
            </w:tcBorders>
          </w:tcPr>
          <w:p w14:paraId="573FE21B" w14:textId="77777777" w:rsidR="003007BE" w:rsidRPr="00AC04B2" w:rsidRDefault="003007BE" w:rsidP="00A207F8">
            <w:pPr>
              <w:pStyle w:val="TableBodySmall"/>
            </w:pPr>
            <w:r w:rsidRPr="00AC04B2">
              <w:t>Provide confidential national efficient price forecast for future years to jurisdictions.</w:t>
            </w:r>
          </w:p>
        </w:tc>
        <w:tc>
          <w:tcPr>
            <w:tcW w:w="1274" w:type="pct"/>
            <w:tcBorders>
              <w:top w:val="nil"/>
              <w:bottom w:val="single" w:sz="4" w:space="0" w:color="auto"/>
            </w:tcBorders>
          </w:tcPr>
          <w:p w14:paraId="48D21C7F" w14:textId="51270757" w:rsidR="003007BE" w:rsidRPr="00AC04B2" w:rsidRDefault="003007BE" w:rsidP="00A207F8">
            <w:pPr>
              <w:pStyle w:val="TableBodySmall"/>
            </w:pPr>
            <w:r w:rsidRPr="00AC04B2">
              <w:t xml:space="preserve">March </w:t>
            </w:r>
            <w:r w:rsidR="00D462E4" w:rsidRPr="00AC04B2">
              <w:t>202</w:t>
            </w:r>
            <w:r w:rsidR="00D462E4">
              <w:t>7</w:t>
            </w:r>
          </w:p>
        </w:tc>
      </w:tr>
    </w:tbl>
    <w:p w14:paraId="3B5956A0" w14:textId="77777777" w:rsidR="000362C5" w:rsidRDefault="000362C5" w:rsidP="00F00D91">
      <w:pPr>
        <w:pStyle w:val="Body"/>
      </w:pPr>
    </w:p>
    <w:p w14:paraId="459787E8" w14:textId="75AE161F" w:rsidR="003007BE" w:rsidRPr="000362C5" w:rsidRDefault="003007BE" w:rsidP="00F00D91">
      <w:pPr>
        <w:pStyle w:val="Body"/>
        <w:rPr>
          <w:b/>
          <w:bCs/>
        </w:rPr>
      </w:pPr>
      <w:r w:rsidRPr="000362C5">
        <w:rPr>
          <w:b/>
          <w:bCs/>
        </w:rPr>
        <w:t xml:space="preserve">Clause B24(h) of the </w:t>
      </w:r>
      <w:r w:rsidR="00E62A8D">
        <w:rPr>
          <w:b/>
          <w:bCs/>
        </w:rPr>
        <w:t>addendum</w:t>
      </w:r>
      <w:r w:rsidR="00F913DB">
        <w:t xml:space="preserve"> </w:t>
      </w:r>
      <w:r w:rsidRPr="000362C5">
        <w:rPr>
          <w:b/>
          <w:bCs/>
        </w:rPr>
        <w:t xml:space="preserve">requires IHACPA to develop projections of the NEP for a </w:t>
      </w:r>
      <w:r w:rsidR="00F913DB">
        <w:rPr>
          <w:b/>
          <w:bCs/>
        </w:rPr>
        <w:t>4</w:t>
      </w:r>
      <w:r w:rsidRPr="000362C5">
        <w:rPr>
          <w:b/>
          <w:bCs/>
        </w:rPr>
        <w:t xml:space="preserve">-year period. These are updated annually, with confidential reports on these projections provided to the </w:t>
      </w:r>
      <w:r w:rsidR="00C573D6" w:rsidRPr="00C573D6">
        <w:rPr>
          <w:b/>
          <w:bCs/>
        </w:rPr>
        <w:t>Australian Government</w:t>
      </w:r>
      <w:r w:rsidR="00B20E4E">
        <w:rPr>
          <w:b/>
          <w:bCs/>
        </w:rPr>
        <w:t xml:space="preserve"> and </w:t>
      </w:r>
      <w:r w:rsidRPr="000362C5">
        <w:rPr>
          <w:b/>
          <w:bCs/>
        </w:rPr>
        <w:t>state and territor</w:t>
      </w:r>
      <w:r w:rsidR="00B20E4E">
        <w:rPr>
          <w:b/>
          <w:bCs/>
        </w:rPr>
        <w:t>y governments</w:t>
      </w:r>
      <w:r w:rsidRPr="000362C5">
        <w:rPr>
          <w:b/>
          <w:bCs/>
        </w:rPr>
        <w:t>.</w:t>
      </w:r>
    </w:p>
    <w:bookmarkEnd w:id="50"/>
    <w:p w14:paraId="2D167FB4" w14:textId="16F292FC" w:rsidR="007B61BD" w:rsidRPr="00AC04B2" w:rsidRDefault="00873119" w:rsidP="008E4EF5">
      <w:pPr>
        <w:pStyle w:val="H4"/>
        <w:keepNext/>
      </w:pPr>
      <w:r w:rsidRPr="00873119">
        <w:t>Supplementary Block</w:t>
      </w:r>
      <w:r w:rsidR="00330E94">
        <w:t xml:space="preserve"> </w:t>
      </w:r>
      <w:r w:rsidRPr="00873119">
        <w:t>Funding Advice to the Administrator of the National Health Funding Pool</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B61BD" w:rsidRPr="00AC04B2" w14:paraId="43859572" w14:textId="77777777" w:rsidTr="002531E5">
        <w:tc>
          <w:tcPr>
            <w:tcW w:w="3726" w:type="pct"/>
            <w:tcBorders>
              <w:top w:val="nil"/>
              <w:bottom w:val="nil"/>
            </w:tcBorders>
            <w:shd w:val="clear" w:color="auto" w:fill="379887" w:themeFill="accent5" w:themeFillShade="BF"/>
            <w:vAlign w:val="center"/>
          </w:tcPr>
          <w:p w14:paraId="532DF2A2" w14:textId="45BC0FD9" w:rsidR="007B61BD" w:rsidRPr="00AC04B2" w:rsidRDefault="00FF0E74" w:rsidP="008E4EF5">
            <w:pPr>
              <w:pStyle w:val="TableHeading"/>
              <w:keepNext/>
            </w:pPr>
            <w:r w:rsidRPr="00AC04B2">
              <w:t>Deliverable</w:t>
            </w:r>
          </w:p>
        </w:tc>
        <w:tc>
          <w:tcPr>
            <w:tcW w:w="1274" w:type="pct"/>
            <w:tcBorders>
              <w:top w:val="nil"/>
              <w:bottom w:val="nil"/>
            </w:tcBorders>
            <w:shd w:val="clear" w:color="auto" w:fill="379887" w:themeFill="accent5" w:themeFillShade="BF"/>
            <w:vAlign w:val="center"/>
          </w:tcPr>
          <w:p w14:paraId="24C20D51" w14:textId="7DCC769D" w:rsidR="007B61BD" w:rsidRPr="00AC04B2" w:rsidRDefault="00FF0E74" w:rsidP="008E4EF5">
            <w:pPr>
              <w:pStyle w:val="TableHeading"/>
              <w:keepNext/>
            </w:pPr>
            <w:r w:rsidRPr="00AC04B2">
              <w:t>Timeframe</w:t>
            </w:r>
          </w:p>
        </w:tc>
      </w:tr>
      <w:tr w:rsidR="00CE1C1B" w:rsidRPr="00AC04B2" w14:paraId="63A9B231" w14:textId="77777777" w:rsidTr="002531E5">
        <w:trPr>
          <w:trHeight w:val="256"/>
        </w:trPr>
        <w:tc>
          <w:tcPr>
            <w:tcW w:w="3726" w:type="pct"/>
            <w:tcBorders>
              <w:top w:val="nil"/>
              <w:bottom w:val="single" w:sz="4" w:space="0" w:color="auto"/>
            </w:tcBorders>
          </w:tcPr>
          <w:p w14:paraId="76C31904" w14:textId="6996CDD3" w:rsidR="00CE1C1B" w:rsidRPr="00AC04B2" w:rsidRDefault="00CE1C1B" w:rsidP="008E4EF5">
            <w:pPr>
              <w:pStyle w:val="TableBodySmall"/>
              <w:keepNext/>
            </w:pPr>
            <w:r w:rsidRPr="00AC04B2">
              <w:t xml:space="preserve">Publish the </w:t>
            </w:r>
            <w:r w:rsidR="00873119" w:rsidRPr="00873119">
              <w:t>Supplementary Block</w:t>
            </w:r>
            <w:r w:rsidR="00330E94">
              <w:t xml:space="preserve"> </w:t>
            </w:r>
            <w:r w:rsidR="00873119" w:rsidRPr="00873119">
              <w:t>Funding Advice to the Administrator of the National Health Funding Pool for 202</w:t>
            </w:r>
            <w:r w:rsidR="00503A7A">
              <w:t>6</w:t>
            </w:r>
            <w:r w:rsidR="00873119" w:rsidRPr="00873119">
              <w:t>–2</w:t>
            </w:r>
            <w:r w:rsidR="00503A7A">
              <w:t>7</w:t>
            </w:r>
            <w:r w:rsidRPr="00AC04B2">
              <w:t>.</w:t>
            </w:r>
          </w:p>
        </w:tc>
        <w:tc>
          <w:tcPr>
            <w:tcW w:w="1274" w:type="pct"/>
            <w:tcBorders>
              <w:top w:val="nil"/>
              <w:bottom w:val="single" w:sz="4" w:space="0" w:color="auto"/>
            </w:tcBorders>
          </w:tcPr>
          <w:p w14:paraId="35A3B028" w14:textId="7008018F" w:rsidR="00CE1C1B" w:rsidRPr="00AC04B2" w:rsidRDefault="00E46F3E" w:rsidP="008E4EF5">
            <w:pPr>
              <w:pStyle w:val="TableBodySmall"/>
              <w:keepNext/>
            </w:pPr>
            <w:r>
              <w:t>June</w:t>
            </w:r>
            <w:r w:rsidRPr="00AC04B2">
              <w:t xml:space="preserve"> </w:t>
            </w:r>
            <w:r w:rsidR="00FF09DC" w:rsidRPr="00AC04B2">
              <w:t>202</w:t>
            </w:r>
            <w:r w:rsidR="00503A7A">
              <w:t>7</w:t>
            </w:r>
          </w:p>
        </w:tc>
      </w:tr>
    </w:tbl>
    <w:p w14:paraId="2DE47D08" w14:textId="77777777" w:rsidR="000362C5" w:rsidRDefault="000362C5" w:rsidP="008E4EF5">
      <w:pPr>
        <w:pStyle w:val="Body"/>
        <w:keepNext/>
      </w:pPr>
    </w:p>
    <w:p w14:paraId="46118DA6" w14:textId="1754D9A4" w:rsidR="00DE48B7" w:rsidRPr="000362C5" w:rsidRDefault="00CE1C1B" w:rsidP="008E4EF5">
      <w:pPr>
        <w:pStyle w:val="Body"/>
        <w:keepNext/>
        <w:rPr>
          <w:b/>
          <w:bCs/>
        </w:rPr>
      </w:pPr>
      <w:r w:rsidRPr="000362C5">
        <w:rPr>
          <w:b/>
          <w:bCs/>
        </w:rPr>
        <w:t xml:space="preserve">As the release of the NEC Determination in March each year does not align with all state and territory </w:t>
      </w:r>
      <w:r w:rsidR="00B20E4E">
        <w:rPr>
          <w:b/>
          <w:bCs/>
        </w:rPr>
        <w:t xml:space="preserve">government </w:t>
      </w:r>
      <w:r w:rsidRPr="000362C5">
        <w:rPr>
          <w:b/>
          <w:bCs/>
        </w:rPr>
        <w:t>budget cycles, IH</w:t>
      </w:r>
      <w:r w:rsidR="00BA5BB0" w:rsidRPr="000362C5">
        <w:rPr>
          <w:b/>
          <w:bCs/>
        </w:rPr>
        <w:t>AC</w:t>
      </w:r>
      <w:r w:rsidRPr="000362C5">
        <w:rPr>
          <w:b/>
          <w:bCs/>
        </w:rPr>
        <w:t xml:space="preserve">PA issues </w:t>
      </w:r>
      <w:r w:rsidR="00873119">
        <w:rPr>
          <w:b/>
          <w:bCs/>
        </w:rPr>
        <w:t>s</w:t>
      </w:r>
      <w:r w:rsidR="00873119" w:rsidRPr="00873119">
        <w:rPr>
          <w:b/>
          <w:bCs/>
        </w:rPr>
        <w:t xml:space="preserve">upplementary </w:t>
      </w:r>
      <w:r w:rsidR="00873119">
        <w:rPr>
          <w:b/>
          <w:bCs/>
        </w:rPr>
        <w:t>b</w:t>
      </w:r>
      <w:r w:rsidR="00873119" w:rsidRPr="00873119">
        <w:rPr>
          <w:b/>
          <w:bCs/>
        </w:rPr>
        <w:t>lock-</w:t>
      </w:r>
      <w:r w:rsidR="00873119">
        <w:rPr>
          <w:b/>
          <w:bCs/>
        </w:rPr>
        <w:t>f</w:t>
      </w:r>
      <w:r w:rsidR="00873119" w:rsidRPr="00873119">
        <w:rPr>
          <w:b/>
          <w:bCs/>
        </w:rPr>
        <w:t xml:space="preserve">unding </w:t>
      </w:r>
      <w:r w:rsidR="00873119">
        <w:rPr>
          <w:b/>
          <w:bCs/>
        </w:rPr>
        <w:t>a</w:t>
      </w:r>
      <w:r w:rsidR="00873119" w:rsidRPr="00873119">
        <w:rPr>
          <w:b/>
          <w:bCs/>
        </w:rPr>
        <w:t>dvice to the Administrator</w:t>
      </w:r>
      <w:r w:rsidR="003007BE" w:rsidRPr="000362C5">
        <w:rPr>
          <w:b/>
          <w:bCs/>
        </w:rPr>
        <w:t>,</w:t>
      </w:r>
      <w:r w:rsidRPr="000362C5">
        <w:rPr>
          <w:b/>
          <w:bCs/>
        </w:rPr>
        <w:t xml:space="preserve"> which provides an opportunity for state and territor</w:t>
      </w:r>
      <w:r w:rsidR="00B20E4E">
        <w:rPr>
          <w:b/>
          <w:bCs/>
        </w:rPr>
        <w:t>y governments</w:t>
      </w:r>
      <w:r w:rsidRPr="000362C5">
        <w:rPr>
          <w:b/>
          <w:bCs/>
        </w:rPr>
        <w:t xml:space="preserve"> to update their block</w:t>
      </w:r>
      <w:r w:rsidR="003007BE" w:rsidRPr="000362C5">
        <w:rPr>
          <w:b/>
          <w:bCs/>
        </w:rPr>
        <w:t>-</w:t>
      </w:r>
      <w:r w:rsidRPr="000362C5">
        <w:rPr>
          <w:b/>
          <w:bCs/>
        </w:rPr>
        <w:t xml:space="preserve">funded amounts following the finalisation of </w:t>
      </w:r>
      <w:r w:rsidR="00B20E4E">
        <w:rPr>
          <w:b/>
          <w:bCs/>
        </w:rPr>
        <w:t xml:space="preserve">their </w:t>
      </w:r>
      <w:r w:rsidRPr="000362C5">
        <w:rPr>
          <w:b/>
          <w:bCs/>
        </w:rPr>
        <w:t>budgets.</w:t>
      </w:r>
    </w:p>
    <w:p w14:paraId="3718A170" w14:textId="30F11F2F" w:rsidR="0099362F" w:rsidRPr="00AC04B2" w:rsidRDefault="008E1DE4" w:rsidP="001454FF">
      <w:pPr>
        <w:pStyle w:val="H4"/>
        <w:keepNext/>
        <w:ind w:left="357" w:hanging="357"/>
      </w:pPr>
      <w:bookmarkStart w:id="56" w:name="_Toc55045624"/>
      <w:bookmarkStart w:id="57" w:name="_Toc55053996"/>
      <w:bookmarkStart w:id="58" w:name="_Toc55237215"/>
      <w:bookmarkStart w:id="59" w:name="_Toc55238302"/>
      <w:bookmarkStart w:id="60" w:name="_Toc55974120"/>
      <w:bookmarkStart w:id="61" w:name="_Hlk120702935"/>
      <w:r w:rsidRPr="00AC04B2">
        <w:t>P</w:t>
      </w:r>
      <w:r w:rsidR="001564D7">
        <w:t>ublic hospital p</w:t>
      </w:r>
      <w:r w:rsidRPr="00AC04B2">
        <w:t>ricing model refinement</w:t>
      </w:r>
      <w:r w:rsidR="00E578AD" w:rsidRPr="00AC04B2">
        <w:t>s</w:t>
      </w:r>
      <w:bookmarkEnd w:id="56"/>
      <w:bookmarkEnd w:id="57"/>
      <w:bookmarkEnd w:id="58"/>
      <w:bookmarkEnd w:id="59"/>
      <w:bookmarkEnd w:id="6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99362F" w:rsidRPr="00AC04B2" w14:paraId="0C6106D0" w14:textId="77777777" w:rsidTr="007E2757">
        <w:tc>
          <w:tcPr>
            <w:tcW w:w="3726" w:type="pct"/>
            <w:tcBorders>
              <w:top w:val="nil"/>
              <w:bottom w:val="nil"/>
            </w:tcBorders>
            <w:shd w:val="clear" w:color="auto" w:fill="379887" w:themeFill="accent5" w:themeFillShade="BF"/>
            <w:vAlign w:val="center"/>
          </w:tcPr>
          <w:p w14:paraId="46F6266B" w14:textId="2DCAF2A3" w:rsidR="0099362F" w:rsidRPr="00AC04B2" w:rsidRDefault="00FF0E74" w:rsidP="00A207F8">
            <w:pPr>
              <w:pStyle w:val="TableHeading"/>
            </w:pPr>
            <w:r w:rsidRPr="00AC04B2">
              <w:t>Deliverable</w:t>
            </w:r>
          </w:p>
        </w:tc>
        <w:tc>
          <w:tcPr>
            <w:tcW w:w="1274" w:type="pct"/>
            <w:tcBorders>
              <w:top w:val="nil"/>
              <w:bottom w:val="nil"/>
            </w:tcBorders>
            <w:shd w:val="clear" w:color="auto" w:fill="379887" w:themeFill="accent5" w:themeFillShade="BF"/>
            <w:vAlign w:val="center"/>
          </w:tcPr>
          <w:p w14:paraId="6C2CC3D1" w14:textId="537F81CA" w:rsidR="0099362F" w:rsidRPr="00AC04B2" w:rsidRDefault="00FF0E74" w:rsidP="00A207F8">
            <w:pPr>
              <w:pStyle w:val="TableHeading"/>
            </w:pPr>
            <w:r w:rsidRPr="00AC04B2">
              <w:t>Timeframe</w:t>
            </w:r>
          </w:p>
        </w:tc>
      </w:tr>
      <w:tr w:rsidR="00C00C80" w:rsidRPr="00AC04B2" w14:paraId="7FD876B1" w14:textId="77777777" w:rsidTr="00073D98">
        <w:trPr>
          <w:trHeight w:val="256"/>
        </w:trPr>
        <w:tc>
          <w:tcPr>
            <w:tcW w:w="3726" w:type="pct"/>
            <w:tcBorders>
              <w:top w:val="nil"/>
              <w:bottom w:val="single" w:sz="4" w:space="0" w:color="auto"/>
            </w:tcBorders>
          </w:tcPr>
          <w:p w14:paraId="25579C7C" w14:textId="6B121BC5" w:rsidR="00C00C80" w:rsidRDefault="00F913DB" w:rsidP="00A207F8">
            <w:pPr>
              <w:pStyle w:val="TableBodySmall"/>
            </w:pPr>
            <w:r>
              <w:t>Continue to i</w:t>
            </w:r>
            <w:r w:rsidR="00C00C80">
              <w:t>nvestigate options</w:t>
            </w:r>
            <w:r w:rsidR="00A32E1F">
              <w:t xml:space="preserve"> for refini</w:t>
            </w:r>
            <w:r w:rsidR="00387710">
              <w:t>n</w:t>
            </w:r>
            <w:r w:rsidR="00A32E1F">
              <w:t xml:space="preserve">g the </w:t>
            </w:r>
            <w:r w:rsidR="00354CD3">
              <w:t>intensive care unit adjustment.</w:t>
            </w:r>
          </w:p>
        </w:tc>
        <w:tc>
          <w:tcPr>
            <w:tcW w:w="1274" w:type="pct"/>
            <w:tcBorders>
              <w:top w:val="nil"/>
              <w:bottom w:val="single" w:sz="4" w:space="0" w:color="auto"/>
            </w:tcBorders>
          </w:tcPr>
          <w:p w14:paraId="2D1AFFEA" w14:textId="154D213C" w:rsidR="00C00C80" w:rsidRDefault="00585829" w:rsidP="00A207F8">
            <w:pPr>
              <w:pStyle w:val="TableBodySmall"/>
            </w:pPr>
            <w:r>
              <w:t>June 2027</w:t>
            </w:r>
          </w:p>
        </w:tc>
      </w:tr>
      <w:tr w:rsidR="0046436E" w:rsidRPr="00AC04B2" w:rsidDel="00754FF8" w14:paraId="2C669B46" w14:textId="77777777" w:rsidTr="00073D98">
        <w:trPr>
          <w:trHeight w:val="256"/>
        </w:trPr>
        <w:tc>
          <w:tcPr>
            <w:tcW w:w="3726" w:type="pct"/>
            <w:tcBorders>
              <w:top w:val="nil"/>
              <w:bottom w:val="single" w:sz="4" w:space="0" w:color="auto"/>
            </w:tcBorders>
          </w:tcPr>
          <w:p w14:paraId="08FF9E1F" w14:textId="173173A2" w:rsidR="0046436E" w:rsidDel="00754FF8" w:rsidRDefault="007859B1" w:rsidP="00A207F8">
            <w:pPr>
              <w:pStyle w:val="TableBodySmall"/>
            </w:pPr>
            <w:r>
              <w:t>Commence a multi-year review into the costs and pricing of care to First Nations peoples</w:t>
            </w:r>
            <w:r w:rsidR="00315DBB">
              <w:t>.</w:t>
            </w:r>
          </w:p>
        </w:tc>
        <w:tc>
          <w:tcPr>
            <w:tcW w:w="1274" w:type="pct"/>
            <w:tcBorders>
              <w:top w:val="nil"/>
              <w:bottom w:val="single" w:sz="4" w:space="0" w:color="auto"/>
            </w:tcBorders>
          </w:tcPr>
          <w:p w14:paraId="5161B4EC" w14:textId="4B00CA12" w:rsidR="0046436E" w:rsidDel="00754FF8" w:rsidRDefault="000A59D3" w:rsidP="00A207F8">
            <w:pPr>
              <w:pStyle w:val="TableBodySmall"/>
            </w:pPr>
            <w:r>
              <w:t>June 2027</w:t>
            </w:r>
          </w:p>
        </w:tc>
      </w:tr>
      <w:tr w:rsidR="006D61B2" w:rsidRPr="00AC04B2" w:rsidDel="00754FF8" w14:paraId="2D4FCA59" w14:textId="77777777" w:rsidTr="00073D98">
        <w:trPr>
          <w:trHeight w:val="256"/>
        </w:trPr>
        <w:tc>
          <w:tcPr>
            <w:tcW w:w="3726" w:type="pct"/>
            <w:tcBorders>
              <w:top w:val="nil"/>
              <w:bottom w:val="single" w:sz="4" w:space="0" w:color="auto"/>
            </w:tcBorders>
          </w:tcPr>
          <w:p w14:paraId="14188A43" w14:textId="3E5B9D09" w:rsidR="006D61B2" w:rsidDel="007859B1" w:rsidRDefault="00C83485" w:rsidP="00A207F8">
            <w:pPr>
              <w:pStyle w:val="TableBodySmall"/>
            </w:pPr>
            <w:r w:rsidRPr="0026742E">
              <w:t>Commence a multi-year review into the costs and pricing of care in rural and remote areas and smaller states and territories</w:t>
            </w:r>
            <w:r>
              <w:t>.</w:t>
            </w:r>
          </w:p>
        </w:tc>
        <w:tc>
          <w:tcPr>
            <w:tcW w:w="1274" w:type="pct"/>
            <w:tcBorders>
              <w:top w:val="nil"/>
              <w:bottom w:val="single" w:sz="4" w:space="0" w:color="auto"/>
            </w:tcBorders>
          </w:tcPr>
          <w:p w14:paraId="0C7CDDA5" w14:textId="6E4C8545" w:rsidR="006D61B2" w:rsidRDefault="000A59D3" w:rsidP="00A207F8">
            <w:pPr>
              <w:pStyle w:val="TableBodySmall"/>
            </w:pPr>
            <w:r>
              <w:t>June 2027</w:t>
            </w:r>
          </w:p>
        </w:tc>
      </w:tr>
      <w:tr w:rsidR="00D24ED9" w:rsidRPr="00AC04B2" w14:paraId="6CFAF3E6" w14:textId="77777777" w:rsidTr="008E054B">
        <w:trPr>
          <w:trHeight w:val="256"/>
        </w:trPr>
        <w:tc>
          <w:tcPr>
            <w:tcW w:w="3726" w:type="pct"/>
            <w:tcBorders>
              <w:top w:val="nil"/>
              <w:bottom w:val="single" w:sz="4" w:space="0" w:color="auto"/>
            </w:tcBorders>
          </w:tcPr>
          <w:p w14:paraId="2E98D02D" w14:textId="3606A09A" w:rsidR="00D24ED9" w:rsidRPr="00AC04B2" w:rsidRDefault="003E25F4" w:rsidP="00A207F8">
            <w:pPr>
              <w:pStyle w:val="TableBodySmall"/>
            </w:pPr>
            <w:bookmarkStart w:id="62" w:name="_Hlk176935317"/>
            <w:r w:rsidRPr="0026742E">
              <w:t xml:space="preserve">Undertake analysis to identify requirements to support the review of the </w:t>
            </w:r>
            <w:r w:rsidR="004B2B13">
              <w:t>pricing</w:t>
            </w:r>
            <w:r w:rsidR="004B2B13" w:rsidRPr="0026742E">
              <w:t xml:space="preserve"> </w:t>
            </w:r>
            <w:r w:rsidRPr="0026742E">
              <w:t>methodology for unqualified newborns</w:t>
            </w:r>
            <w:bookmarkEnd w:id="62"/>
            <w:r w:rsidR="00D24ED9" w:rsidRPr="00AC04B2">
              <w:t>.</w:t>
            </w:r>
          </w:p>
        </w:tc>
        <w:tc>
          <w:tcPr>
            <w:tcW w:w="1274" w:type="pct"/>
            <w:tcBorders>
              <w:top w:val="nil"/>
              <w:bottom w:val="single" w:sz="4" w:space="0" w:color="auto"/>
            </w:tcBorders>
          </w:tcPr>
          <w:p w14:paraId="37770B58" w14:textId="07C56006" w:rsidR="00D24ED9" w:rsidRPr="00AC04B2" w:rsidRDefault="003E25F4" w:rsidP="00A207F8">
            <w:pPr>
              <w:pStyle w:val="TableBodySmall"/>
            </w:pPr>
            <w:r>
              <w:t>June 2027</w:t>
            </w:r>
          </w:p>
        </w:tc>
      </w:tr>
      <w:tr w:rsidR="000757AD" w:rsidRPr="00AC04B2" w14:paraId="1CAA866D" w14:textId="77777777" w:rsidTr="008E054B">
        <w:trPr>
          <w:trHeight w:val="256"/>
        </w:trPr>
        <w:tc>
          <w:tcPr>
            <w:tcW w:w="3726" w:type="pct"/>
            <w:tcBorders>
              <w:top w:val="single" w:sz="4" w:space="0" w:color="auto"/>
              <w:bottom w:val="single" w:sz="4" w:space="0" w:color="auto"/>
            </w:tcBorders>
          </w:tcPr>
          <w:p w14:paraId="3A4AF33D" w14:textId="705F3206" w:rsidR="000757AD" w:rsidRPr="00C76704" w:rsidRDefault="00D217CD" w:rsidP="00A207F8">
            <w:pPr>
              <w:pStyle w:val="TableBodySmall"/>
            </w:pPr>
            <w:r w:rsidRPr="00C76704">
              <w:t xml:space="preserve">Continue </w:t>
            </w:r>
            <w:r w:rsidR="00FB6A1C" w:rsidRPr="00C76704">
              <w:t xml:space="preserve">work to develop a harmonisation methodology that </w:t>
            </w:r>
            <w:r w:rsidR="004B2B13" w:rsidRPr="00C76704">
              <w:t>does not incentivise provision of care in one setting over another</w:t>
            </w:r>
            <w:r w:rsidR="00F16ED3" w:rsidRPr="00C76704">
              <w:t>.</w:t>
            </w:r>
          </w:p>
        </w:tc>
        <w:tc>
          <w:tcPr>
            <w:tcW w:w="1274" w:type="pct"/>
            <w:tcBorders>
              <w:top w:val="single" w:sz="4" w:space="0" w:color="auto"/>
              <w:bottom w:val="single" w:sz="4" w:space="0" w:color="auto"/>
            </w:tcBorders>
          </w:tcPr>
          <w:p w14:paraId="686242D3" w14:textId="456AAD5F" w:rsidR="000757AD" w:rsidRPr="00C76704" w:rsidRDefault="00D85EDB" w:rsidP="00A207F8">
            <w:pPr>
              <w:pStyle w:val="TableBodySmall"/>
            </w:pPr>
            <w:r w:rsidRPr="00C76704">
              <w:t>June 2027</w:t>
            </w:r>
          </w:p>
        </w:tc>
      </w:tr>
    </w:tbl>
    <w:p w14:paraId="63C88940" w14:textId="77777777" w:rsidR="000362C5" w:rsidRDefault="000362C5" w:rsidP="00F00D91">
      <w:pPr>
        <w:pStyle w:val="Body"/>
      </w:pPr>
    </w:p>
    <w:p w14:paraId="04563511" w14:textId="48CC562B" w:rsidR="0099362F" w:rsidRPr="000362C5" w:rsidRDefault="00E578AD" w:rsidP="00F00D91">
      <w:pPr>
        <w:pStyle w:val="Body"/>
        <w:rPr>
          <w:b/>
          <w:bCs/>
        </w:rPr>
      </w:pPr>
      <w:r w:rsidRPr="000362C5">
        <w:rPr>
          <w:b/>
          <w:bCs/>
        </w:rPr>
        <w:t>Under the</w:t>
      </w:r>
      <w:r w:rsidR="00BD18A6">
        <w:rPr>
          <w:b/>
          <w:bCs/>
        </w:rPr>
        <w:t xml:space="preserve"> </w:t>
      </w:r>
      <w:r w:rsidR="00542644" w:rsidRPr="000362C5">
        <w:rPr>
          <w:b/>
          <w:bCs/>
        </w:rPr>
        <w:t>NHR</w:t>
      </w:r>
      <w:r w:rsidR="00BD18A6">
        <w:rPr>
          <w:b/>
          <w:bCs/>
        </w:rPr>
        <w:t xml:space="preserve"> </w:t>
      </w:r>
      <w:r w:rsidR="00542644" w:rsidRPr="000362C5">
        <w:rPr>
          <w:b/>
          <w:bCs/>
        </w:rPr>
        <w:t>A</w:t>
      </w:r>
      <w:r w:rsidR="00BD18A6">
        <w:rPr>
          <w:b/>
          <w:bCs/>
        </w:rPr>
        <w:t>ct</w:t>
      </w:r>
      <w:r w:rsidR="00542644" w:rsidRPr="000362C5">
        <w:rPr>
          <w:b/>
          <w:bCs/>
        </w:rPr>
        <w:t>, IHACPA is required to determine the NEP for services provided on an activity basis in public hospitals through empirical analysis of data on actual activity and costs in public hospitals. The NHR</w:t>
      </w:r>
      <w:r w:rsidR="00BD18A6">
        <w:rPr>
          <w:b/>
          <w:bCs/>
        </w:rPr>
        <w:t xml:space="preserve"> </w:t>
      </w:r>
      <w:r w:rsidR="00542644" w:rsidRPr="000362C5">
        <w:rPr>
          <w:b/>
          <w:bCs/>
        </w:rPr>
        <w:t>A</w:t>
      </w:r>
      <w:r w:rsidR="00BD18A6">
        <w:rPr>
          <w:b/>
          <w:bCs/>
        </w:rPr>
        <w:t>ct</w:t>
      </w:r>
      <w:r w:rsidR="00542644" w:rsidRPr="000362C5">
        <w:rPr>
          <w:b/>
          <w:bCs/>
        </w:rPr>
        <w:t xml:space="preserve"> also specifies that IHACPA is responsible for developing, refining and maintaining systems to calculate the NEP and determine adjustments to the NEP to account for legitimate and unavoidable variations in the costs of service delivery</w:t>
      </w:r>
      <w:r w:rsidR="00045811" w:rsidRPr="000362C5">
        <w:rPr>
          <w:b/>
          <w:bCs/>
        </w:rPr>
        <w:t>.</w:t>
      </w:r>
    </w:p>
    <w:p w14:paraId="712F8442" w14:textId="7EB8C022" w:rsidR="00542644" w:rsidRPr="00AC04B2" w:rsidRDefault="00045811" w:rsidP="00F00D91">
      <w:pPr>
        <w:pStyle w:val="Body"/>
      </w:pPr>
      <w:r w:rsidRPr="00AC04B2">
        <w:t>IH</w:t>
      </w:r>
      <w:r w:rsidR="00BA5BB0" w:rsidRPr="00AC04B2">
        <w:t>AC</w:t>
      </w:r>
      <w:r w:rsidRPr="00AC04B2">
        <w:t xml:space="preserve">PA </w:t>
      </w:r>
      <w:r w:rsidR="00542644" w:rsidRPr="00AC04B2">
        <w:t xml:space="preserve">undertakes an ongoing program of work to refine the national pricing model using an evidence-based approach </w:t>
      </w:r>
      <w:proofErr w:type="gramStart"/>
      <w:r w:rsidR="00542644" w:rsidRPr="00AC04B2">
        <w:t>on the basis of</w:t>
      </w:r>
      <w:proofErr w:type="gramEnd"/>
      <w:r w:rsidR="00542644" w:rsidRPr="00AC04B2">
        <w:t xml:space="preserve"> actual activity and cost data. </w:t>
      </w:r>
    </w:p>
    <w:p w14:paraId="4C24ACA5" w14:textId="58FD7BE2" w:rsidR="004D2BE6" w:rsidRDefault="00DD68EF" w:rsidP="0012543D">
      <w:pPr>
        <w:pStyle w:val="Body"/>
      </w:pPr>
      <w:r>
        <w:t>Based on feedback</w:t>
      </w:r>
      <w:r w:rsidRPr="00DD68EF">
        <w:t xml:space="preserve"> </w:t>
      </w:r>
      <w:r>
        <w:t xml:space="preserve">received during the consultation process for the </w:t>
      </w:r>
      <w:r w:rsidRPr="00B20E4E">
        <w:t>Pricing Framework for Australian Public Hospitals 202</w:t>
      </w:r>
      <w:r w:rsidR="004F4BC5">
        <w:t>6</w:t>
      </w:r>
      <w:r w:rsidRPr="00B20E4E">
        <w:t>–2</w:t>
      </w:r>
      <w:r w:rsidR="00A06DCB">
        <w:t>7</w:t>
      </w:r>
      <w:r>
        <w:rPr>
          <w:i/>
          <w:iCs/>
        </w:rPr>
        <w:t>,</w:t>
      </w:r>
      <w:r>
        <w:t xml:space="preserve"> </w:t>
      </w:r>
      <w:r w:rsidR="006E6930">
        <w:t xml:space="preserve">IHACPA will </w:t>
      </w:r>
      <w:r w:rsidR="004F265D">
        <w:t xml:space="preserve">continue </w:t>
      </w:r>
      <w:r w:rsidR="00320318">
        <w:t>the investigation of options for refining the intensive care unit adjustment</w:t>
      </w:r>
      <w:r w:rsidR="00792903">
        <w:t xml:space="preserve"> </w:t>
      </w:r>
      <w:r w:rsidR="00B9038B">
        <w:t xml:space="preserve">and </w:t>
      </w:r>
      <w:r w:rsidR="00D24ED9" w:rsidRPr="00AC04B2">
        <w:t xml:space="preserve">the </w:t>
      </w:r>
      <w:r w:rsidR="004B2B13">
        <w:t>pricing</w:t>
      </w:r>
      <w:r w:rsidR="004B2B13" w:rsidRPr="00AC04B2">
        <w:t xml:space="preserve"> </w:t>
      </w:r>
      <w:r w:rsidR="00D24ED9" w:rsidRPr="00AC04B2">
        <w:t>methodology for unqualified newborns.</w:t>
      </w:r>
      <w:r w:rsidR="00696BDC">
        <w:t xml:space="preserve"> </w:t>
      </w:r>
    </w:p>
    <w:p w14:paraId="66090802" w14:textId="5EB918C9" w:rsidR="00DF0C2C" w:rsidRDefault="00ED64FE" w:rsidP="00DF0C2C">
      <w:pPr>
        <w:pStyle w:val="Body"/>
      </w:pPr>
      <w:r>
        <w:t>In 2026–27</w:t>
      </w:r>
      <w:r w:rsidR="00DF0C2C">
        <w:t xml:space="preserve">, </w:t>
      </w:r>
      <w:r w:rsidR="00DF0C2C" w:rsidRPr="00C76704">
        <w:t xml:space="preserve">IHACPA </w:t>
      </w:r>
      <w:r w:rsidR="008A7769" w:rsidRPr="00C76704">
        <w:t>will commence work to review</w:t>
      </w:r>
      <w:r w:rsidR="004D1F13" w:rsidRPr="00C76704">
        <w:t xml:space="preserve"> the costs and pricing of care to First Nations peoples</w:t>
      </w:r>
      <w:r w:rsidR="00DA1936" w:rsidRPr="00C76704">
        <w:t xml:space="preserve"> and </w:t>
      </w:r>
      <w:r w:rsidR="00FF59D9" w:rsidRPr="00C76704">
        <w:t>in rural and remote areas and smaller states and territories</w:t>
      </w:r>
      <w:r w:rsidR="00DF0C2C" w:rsidRPr="00C76704">
        <w:t>.</w:t>
      </w:r>
      <w:r w:rsidR="00F8131C" w:rsidRPr="00C76704">
        <w:t xml:space="preserve"> IHACPA will also </w:t>
      </w:r>
      <w:r w:rsidR="0084434E" w:rsidRPr="00C76704">
        <w:t xml:space="preserve">continue </w:t>
      </w:r>
      <w:r w:rsidR="00F8131C" w:rsidRPr="00C76704">
        <w:t xml:space="preserve">work </w:t>
      </w:r>
      <w:r w:rsidR="00F8131C" w:rsidRPr="0026742E">
        <w:t xml:space="preserve">to develop a harmonisation methodology that </w:t>
      </w:r>
      <w:r w:rsidR="004B2B13" w:rsidRPr="004B2B13">
        <w:t>does not incentivise provision of care in one setting over another</w:t>
      </w:r>
      <w:r w:rsidR="00F8131C">
        <w:t>.</w:t>
      </w:r>
    </w:p>
    <w:p w14:paraId="2AC353DA" w14:textId="77777777" w:rsidR="006D331A" w:rsidRDefault="00B83095" w:rsidP="003900E2">
      <w:pPr>
        <w:pStyle w:val="Body"/>
      </w:pPr>
      <w:r>
        <w:lastRenderedPageBreak/>
        <w:t xml:space="preserve">IHACPA will </w:t>
      </w:r>
      <w:r w:rsidR="008579E3">
        <w:t xml:space="preserve">continue </w:t>
      </w:r>
      <w:r w:rsidR="00B20E4E">
        <w:t xml:space="preserve">to </w:t>
      </w:r>
      <w:r w:rsidR="008579E3">
        <w:t>work</w:t>
      </w:r>
      <w:r w:rsidR="00981920">
        <w:t xml:space="preserve">, </w:t>
      </w:r>
      <w:r w:rsidR="00E378B1">
        <w:t xml:space="preserve">in collaboration and consultation with </w:t>
      </w:r>
      <w:r w:rsidR="00BA1FAA">
        <w:t>jurisdictions</w:t>
      </w:r>
      <w:r w:rsidR="00981920">
        <w:t xml:space="preserve">, </w:t>
      </w:r>
      <w:r>
        <w:t xml:space="preserve">to investigate the underlying and enduring drivers for growth in the NEP. Based on the findings of this analysis, IHACPA will provide </w:t>
      </w:r>
      <w:r w:rsidR="00B20E4E">
        <w:t xml:space="preserve">further reform </w:t>
      </w:r>
      <w:r>
        <w:t xml:space="preserve">options for consideration by </w:t>
      </w:r>
      <w:r w:rsidR="00B20E4E">
        <w:t xml:space="preserve">the </w:t>
      </w:r>
      <w:r>
        <w:t xml:space="preserve">parties </w:t>
      </w:r>
      <w:r w:rsidR="00B20E4E">
        <w:t xml:space="preserve">of </w:t>
      </w:r>
      <w:r>
        <w:t>the NHRA to help increase the efficiency of public hospital services and ensure the sustainability of public hospital funding.</w:t>
      </w:r>
    </w:p>
    <w:p w14:paraId="15CC4533" w14:textId="6E6C7711" w:rsidR="008A7EA9" w:rsidRPr="0060549F" w:rsidRDefault="0082243E" w:rsidP="00D05BDE">
      <w:pPr>
        <w:pStyle w:val="H2"/>
      </w:pPr>
      <w:bookmarkStart w:id="63" w:name="_Toc223594819"/>
      <w:bookmarkEnd w:id="61"/>
      <w:r>
        <w:t>2.2</w:t>
      </w:r>
      <w:r>
        <w:tab/>
      </w:r>
      <w:r w:rsidR="008A7EA9" w:rsidRPr="0060549F">
        <w:t>Data and information requirements</w:t>
      </w:r>
      <w:bookmarkEnd w:id="63"/>
    </w:p>
    <w:p w14:paraId="49D0F94C" w14:textId="77777777" w:rsidR="001A178B" w:rsidRPr="00665F36" w:rsidRDefault="001A178B" w:rsidP="00AA78C9">
      <w:pPr>
        <w:pStyle w:val="H4-List"/>
        <w:keepNext/>
        <w:numPr>
          <w:ilvl w:val="0"/>
          <w:numId w:val="51"/>
        </w:numPr>
        <w:rPr>
          <w:rFonts w:ascii="Arial" w:hAnsi="Arial"/>
        </w:rPr>
      </w:pPr>
      <w:bookmarkStart w:id="64" w:name="_Toc55974132"/>
      <w:bookmarkStart w:id="65" w:name="_Toc55054008"/>
      <w:bookmarkStart w:id="66" w:name="_Toc55045636"/>
      <w:bookmarkStart w:id="67" w:name="_Toc55237227"/>
      <w:bookmarkStart w:id="68" w:name="_Toc55238314"/>
      <w:r w:rsidRPr="00665F36">
        <w:rPr>
          <w:rFonts w:ascii="Arial" w:hAnsi="Arial"/>
        </w:rPr>
        <w:t>Data specification development and revision</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A178B" w:rsidRPr="00AC04B2" w14:paraId="6DF212A1" w14:textId="77777777" w:rsidTr="00BF383A">
        <w:tc>
          <w:tcPr>
            <w:tcW w:w="3726" w:type="pct"/>
            <w:tcBorders>
              <w:top w:val="nil"/>
              <w:bottom w:val="nil"/>
            </w:tcBorders>
            <w:shd w:val="clear" w:color="auto" w:fill="379887" w:themeFill="background1" w:themeFillShade="BF"/>
            <w:vAlign w:val="center"/>
          </w:tcPr>
          <w:p w14:paraId="70F8B658" w14:textId="77777777" w:rsidR="001A178B" w:rsidRPr="00AC04B2" w:rsidRDefault="001A178B" w:rsidP="006C6CD7">
            <w:pPr>
              <w:pStyle w:val="TableHeading"/>
              <w:keepNext/>
            </w:pPr>
            <w:r w:rsidRPr="00AC04B2">
              <w:t>Deliverable</w:t>
            </w:r>
          </w:p>
        </w:tc>
        <w:tc>
          <w:tcPr>
            <w:tcW w:w="1274" w:type="pct"/>
            <w:tcBorders>
              <w:top w:val="nil"/>
              <w:bottom w:val="nil"/>
            </w:tcBorders>
            <w:shd w:val="clear" w:color="auto" w:fill="379887" w:themeFill="background1" w:themeFillShade="BF"/>
            <w:vAlign w:val="center"/>
          </w:tcPr>
          <w:p w14:paraId="107830BA" w14:textId="77777777" w:rsidR="001A178B" w:rsidRPr="00AC04B2" w:rsidRDefault="001A178B" w:rsidP="006C6CD7">
            <w:pPr>
              <w:pStyle w:val="TableHeading"/>
              <w:keepNext/>
            </w:pPr>
            <w:r w:rsidRPr="00AC04B2">
              <w:t>Timeframe</w:t>
            </w:r>
          </w:p>
        </w:tc>
      </w:tr>
      <w:tr w:rsidR="001A178B" w:rsidRPr="00AC04B2" w14:paraId="2FDB9D61" w14:textId="77777777" w:rsidTr="006C6CD7">
        <w:trPr>
          <w:trHeight w:val="236"/>
        </w:trPr>
        <w:tc>
          <w:tcPr>
            <w:tcW w:w="3726" w:type="pct"/>
            <w:tcBorders>
              <w:top w:val="nil"/>
              <w:bottom w:val="single" w:sz="4" w:space="0" w:color="auto"/>
            </w:tcBorders>
          </w:tcPr>
          <w:p w14:paraId="7AC19A21" w14:textId="3B272091" w:rsidR="001A178B" w:rsidRDefault="001A178B" w:rsidP="006C6CD7">
            <w:pPr>
              <w:pStyle w:val="TableBodySmall"/>
              <w:keepNext/>
            </w:pPr>
            <w:r w:rsidRPr="00AC04B2">
              <w:t xml:space="preserve">Complete the annual </w:t>
            </w:r>
            <w:r>
              <w:t>development of specifications</w:t>
            </w:r>
            <w:r w:rsidRPr="00AC04B2">
              <w:t xml:space="preserve"> </w:t>
            </w:r>
            <w:r w:rsidR="00665F36">
              <w:t>for</w:t>
            </w:r>
            <w:r w:rsidRPr="00AC04B2">
              <w:t xml:space="preserve"> </w:t>
            </w:r>
            <w:r>
              <w:t>the</w:t>
            </w:r>
          </w:p>
          <w:p w14:paraId="7042D6B3" w14:textId="77777777" w:rsidR="001A178B" w:rsidRDefault="001A178B" w:rsidP="006C6CD7">
            <w:pPr>
              <w:pStyle w:val="TableBodySmall"/>
              <w:keepNext/>
              <w:numPr>
                <w:ilvl w:val="0"/>
                <w:numId w:val="45"/>
              </w:numPr>
            </w:pPr>
            <w:r w:rsidRPr="00AC04B2">
              <w:t xml:space="preserve">activity based funding </w:t>
            </w:r>
            <w:r>
              <w:t>n</w:t>
            </w:r>
            <w:r w:rsidRPr="00AC04B2">
              <w:t xml:space="preserve">ational </w:t>
            </w:r>
            <w:r>
              <w:t>b</w:t>
            </w:r>
            <w:r w:rsidRPr="00AC04B2">
              <w:t xml:space="preserve">est </w:t>
            </w:r>
            <w:r>
              <w:t>e</w:t>
            </w:r>
            <w:r w:rsidRPr="00AC04B2">
              <w:t xml:space="preserve">ndeavours </w:t>
            </w:r>
            <w:r>
              <w:t>d</w:t>
            </w:r>
            <w:r w:rsidRPr="00AC04B2">
              <w:t xml:space="preserve">ata </w:t>
            </w:r>
            <w:r>
              <w:t>s</w:t>
            </w:r>
            <w:r w:rsidRPr="00AC04B2">
              <w:t>ets</w:t>
            </w:r>
          </w:p>
          <w:p w14:paraId="4F3394D3" w14:textId="77777777" w:rsidR="001A178B" w:rsidRDefault="001A178B" w:rsidP="006C6CD7">
            <w:pPr>
              <w:pStyle w:val="TableBodySmall"/>
              <w:keepNext/>
              <w:numPr>
                <w:ilvl w:val="0"/>
                <w:numId w:val="45"/>
              </w:numPr>
            </w:pPr>
            <w:r>
              <w:t>n</w:t>
            </w:r>
            <w:r w:rsidRPr="00AC04B2">
              <w:t xml:space="preserve">ational </w:t>
            </w:r>
            <w:r>
              <w:t>m</w:t>
            </w:r>
            <w:r w:rsidRPr="00AC04B2">
              <w:t xml:space="preserve">inimum </w:t>
            </w:r>
            <w:r>
              <w:t>d</w:t>
            </w:r>
            <w:r w:rsidRPr="00AC04B2">
              <w:t xml:space="preserve">ata </w:t>
            </w:r>
            <w:r>
              <w:t>s</w:t>
            </w:r>
            <w:r w:rsidRPr="00AC04B2">
              <w:t>ets</w:t>
            </w:r>
          </w:p>
          <w:p w14:paraId="08E14FFA" w14:textId="77777777" w:rsidR="001A178B" w:rsidRPr="00AC04B2" w:rsidRDefault="001A178B" w:rsidP="006C6CD7">
            <w:pPr>
              <w:pStyle w:val="TableBodySmall"/>
              <w:keepNext/>
              <w:numPr>
                <w:ilvl w:val="0"/>
                <w:numId w:val="45"/>
              </w:numPr>
            </w:pPr>
            <w:r>
              <w:t>National Hospital Costs Data Collection (NHCDC) data sets</w:t>
            </w:r>
            <w:r w:rsidRPr="00AC04B2">
              <w:t>.</w:t>
            </w:r>
          </w:p>
        </w:tc>
        <w:tc>
          <w:tcPr>
            <w:tcW w:w="1274" w:type="pct"/>
            <w:tcBorders>
              <w:top w:val="nil"/>
              <w:bottom w:val="single" w:sz="4" w:space="0" w:color="auto"/>
            </w:tcBorders>
          </w:tcPr>
          <w:p w14:paraId="46C5DDD2" w14:textId="77777777" w:rsidR="001A178B" w:rsidRPr="00AC04B2" w:rsidRDefault="001A178B" w:rsidP="006C6CD7">
            <w:pPr>
              <w:pStyle w:val="TableBodySmall"/>
              <w:keepNext/>
            </w:pPr>
            <w:r w:rsidRPr="00AC04B2">
              <w:t>December 202</w:t>
            </w:r>
            <w:r>
              <w:t>6</w:t>
            </w:r>
          </w:p>
        </w:tc>
      </w:tr>
    </w:tbl>
    <w:p w14:paraId="17314EC8" w14:textId="77777777" w:rsidR="001A178B" w:rsidRDefault="001A178B" w:rsidP="001A178B">
      <w:pPr>
        <w:pStyle w:val="Body"/>
        <w:keepNext/>
      </w:pPr>
    </w:p>
    <w:p w14:paraId="59A81F81" w14:textId="77777777" w:rsidR="001A178B" w:rsidRPr="00BD0ECF" w:rsidRDefault="001A178B" w:rsidP="001A178B">
      <w:pPr>
        <w:pStyle w:val="Body"/>
        <w:rPr>
          <w:b/>
          <w:bCs/>
        </w:rPr>
      </w:pPr>
      <w:r w:rsidRPr="00BD0ECF">
        <w:rPr>
          <w:b/>
          <w:bCs/>
        </w:rPr>
        <w:t>IHACPA completes</w:t>
      </w:r>
      <w:r>
        <w:rPr>
          <w:b/>
          <w:bCs/>
        </w:rPr>
        <w:t xml:space="preserve"> and publishes</w:t>
      </w:r>
      <w:r w:rsidRPr="00BD0ECF">
        <w:rPr>
          <w:b/>
          <w:bCs/>
        </w:rPr>
        <w:t xml:space="preserve"> an annual review of the </w:t>
      </w:r>
      <w:r>
        <w:rPr>
          <w:b/>
          <w:bCs/>
        </w:rPr>
        <w:t>n</w:t>
      </w:r>
      <w:r w:rsidRPr="00BD0ECF">
        <w:rPr>
          <w:b/>
          <w:bCs/>
        </w:rPr>
        <w:t xml:space="preserve">ational </w:t>
      </w:r>
      <w:r>
        <w:rPr>
          <w:b/>
          <w:bCs/>
        </w:rPr>
        <w:t>b</w:t>
      </w:r>
      <w:r w:rsidRPr="00BD0ECF">
        <w:rPr>
          <w:b/>
          <w:bCs/>
        </w:rPr>
        <w:t xml:space="preserve">est </w:t>
      </w:r>
      <w:r>
        <w:rPr>
          <w:b/>
          <w:bCs/>
        </w:rPr>
        <w:t>e</w:t>
      </w:r>
      <w:r w:rsidRPr="00BD0ECF">
        <w:rPr>
          <w:b/>
          <w:bCs/>
        </w:rPr>
        <w:t xml:space="preserve">ndeavours </w:t>
      </w:r>
      <w:r>
        <w:rPr>
          <w:b/>
          <w:bCs/>
        </w:rPr>
        <w:t>d</w:t>
      </w:r>
      <w:r w:rsidRPr="00BD0ECF">
        <w:rPr>
          <w:b/>
          <w:bCs/>
        </w:rPr>
        <w:t xml:space="preserve">ata </w:t>
      </w:r>
      <w:r>
        <w:rPr>
          <w:b/>
          <w:bCs/>
        </w:rPr>
        <w:t>s</w:t>
      </w:r>
      <w:r w:rsidRPr="00BD0ECF">
        <w:rPr>
          <w:b/>
          <w:bCs/>
        </w:rPr>
        <w:t>ets</w:t>
      </w:r>
      <w:r>
        <w:rPr>
          <w:b/>
          <w:bCs/>
        </w:rPr>
        <w:t>,</w:t>
      </w:r>
      <w:r w:rsidRPr="00BD0ECF">
        <w:rPr>
          <w:b/>
          <w:bCs/>
        </w:rPr>
        <w:t xml:space="preserve"> </w:t>
      </w:r>
      <w:r>
        <w:rPr>
          <w:b/>
          <w:bCs/>
        </w:rPr>
        <w:t>n</w:t>
      </w:r>
      <w:r w:rsidRPr="00BD0ECF">
        <w:rPr>
          <w:b/>
          <w:bCs/>
        </w:rPr>
        <w:t xml:space="preserve">ational </w:t>
      </w:r>
      <w:r>
        <w:rPr>
          <w:b/>
          <w:bCs/>
        </w:rPr>
        <w:t>m</w:t>
      </w:r>
      <w:r w:rsidRPr="00BD0ECF">
        <w:rPr>
          <w:b/>
          <w:bCs/>
        </w:rPr>
        <w:t xml:space="preserve">inimum </w:t>
      </w:r>
      <w:r>
        <w:rPr>
          <w:b/>
          <w:bCs/>
        </w:rPr>
        <w:t>d</w:t>
      </w:r>
      <w:r w:rsidRPr="00BD0ECF">
        <w:rPr>
          <w:b/>
          <w:bCs/>
        </w:rPr>
        <w:t xml:space="preserve">ata </w:t>
      </w:r>
      <w:r>
        <w:rPr>
          <w:b/>
          <w:bCs/>
        </w:rPr>
        <w:t>s</w:t>
      </w:r>
      <w:r w:rsidRPr="00BD0ECF">
        <w:rPr>
          <w:b/>
          <w:bCs/>
        </w:rPr>
        <w:t>ets</w:t>
      </w:r>
      <w:r>
        <w:rPr>
          <w:b/>
          <w:bCs/>
        </w:rPr>
        <w:t xml:space="preserve"> and NHCDC data sets </w:t>
      </w:r>
      <w:r w:rsidRPr="00BD0ECF">
        <w:rPr>
          <w:b/>
          <w:bCs/>
        </w:rPr>
        <w:t>required for ABF.</w:t>
      </w:r>
    </w:p>
    <w:p w14:paraId="21CD7154" w14:textId="77777777" w:rsidR="001A178B" w:rsidRDefault="001A178B" w:rsidP="001A178B">
      <w:pPr>
        <w:pStyle w:val="Body"/>
      </w:pPr>
      <w:r w:rsidRPr="00146523">
        <w:t xml:space="preserve">IHACPA and </w:t>
      </w:r>
      <w:r>
        <w:t>state and territory</w:t>
      </w:r>
      <w:r w:rsidRPr="00146523">
        <w:t xml:space="preserve"> stakeholders have recognised the need to appropriately cost organ donation, retrieval and transplantation since 2014, and introduced </w:t>
      </w:r>
      <w:proofErr w:type="gramStart"/>
      <w:r w:rsidRPr="00146523">
        <w:t>a number of</w:t>
      </w:r>
      <w:proofErr w:type="gramEnd"/>
      <w:r w:rsidRPr="00146523">
        <w:t xml:space="preserve"> support strategies. </w:t>
      </w:r>
      <w:r>
        <w:t xml:space="preserve">In 2025–26, IHACPA completed a review of organ and tissue donation and transplantation services, from a data capture and pricing perspective. In 2026–27, </w:t>
      </w:r>
      <w:r w:rsidRPr="00AC04B2">
        <w:t xml:space="preserve">IHACPA will work closely with </w:t>
      </w:r>
      <w:r>
        <w:t>state and territory governments and key stakeholders to consider the recommendations from this review.</w:t>
      </w:r>
    </w:p>
    <w:p w14:paraId="618178B5" w14:textId="77777777" w:rsidR="001A178B" w:rsidRPr="0084434E" w:rsidRDefault="001A178B" w:rsidP="001A178B">
      <w:pPr>
        <w:pStyle w:val="H4-List"/>
        <w:keepNext/>
        <w:ind w:left="357" w:hanging="357"/>
        <w:rPr>
          <w:rFonts w:ascii="Arial" w:hAnsi="Arial"/>
        </w:rPr>
      </w:pPr>
      <w:r w:rsidRPr="0084434E">
        <w:rPr>
          <w:rFonts w:ascii="Arial" w:hAnsi="Arial"/>
        </w:rPr>
        <w:t xml:space="preserve">Collection of </w:t>
      </w:r>
      <w:proofErr w:type="gramStart"/>
      <w:r w:rsidRPr="0084434E">
        <w:rPr>
          <w:rFonts w:ascii="Arial" w:hAnsi="Arial"/>
        </w:rPr>
        <w:t>activity based</w:t>
      </w:r>
      <w:proofErr w:type="gramEnd"/>
      <w:r w:rsidRPr="0084434E">
        <w:rPr>
          <w:rFonts w:ascii="Arial" w:hAnsi="Arial"/>
        </w:rPr>
        <w:t xml:space="preserve"> funding activity data for public hospitals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A178B" w:rsidRPr="00AC04B2" w14:paraId="312959CF" w14:textId="77777777" w:rsidTr="00AA78C9">
        <w:tc>
          <w:tcPr>
            <w:tcW w:w="3726" w:type="pct"/>
            <w:tcBorders>
              <w:top w:val="nil"/>
              <w:bottom w:val="nil"/>
            </w:tcBorders>
            <w:shd w:val="clear" w:color="auto" w:fill="379887" w:themeFill="background1" w:themeFillShade="BF"/>
            <w:vAlign w:val="center"/>
          </w:tcPr>
          <w:p w14:paraId="3F00A5C0" w14:textId="77777777" w:rsidR="001A178B" w:rsidRPr="00AC04B2" w:rsidRDefault="001A178B" w:rsidP="006C6CD7">
            <w:pPr>
              <w:pStyle w:val="TableHeading"/>
              <w:keepNext/>
            </w:pPr>
            <w:r w:rsidRPr="00AC04B2">
              <w:t>Deliverable</w:t>
            </w:r>
          </w:p>
        </w:tc>
        <w:tc>
          <w:tcPr>
            <w:tcW w:w="1274" w:type="pct"/>
            <w:tcBorders>
              <w:top w:val="nil"/>
              <w:bottom w:val="nil"/>
            </w:tcBorders>
            <w:shd w:val="clear" w:color="auto" w:fill="379887" w:themeFill="background1" w:themeFillShade="BF"/>
            <w:vAlign w:val="center"/>
          </w:tcPr>
          <w:p w14:paraId="16E3831B" w14:textId="77777777" w:rsidR="001A178B" w:rsidRPr="00AC04B2" w:rsidRDefault="001A178B" w:rsidP="006C6CD7">
            <w:pPr>
              <w:pStyle w:val="TableHeading"/>
              <w:keepNext/>
            </w:pPr>
            <w:r w:rsidRPr="00AC04B2">
              <w:t>Timeframe</w:t>
            </w:r>
          </w:p>
        </w:tc>
      </w:tr>
      <w:tr w:rsidR="001A178B" w:rsidRPr="00AC04B2" w14:paraId="3C92AC8E" w14:textId="77777777" w:rsidTr="006C6CD7">
        <w:trPr>
          <w:trHeight w:val="236"/>
        </w:trPr>
        <w:tc>
          <w:tcPr>
            <w:tcW w:w="3726" w:type="pct"/>
            <w:tcBorders>
              <w:top w:val="nil"/>
              <w:bottom w:val="single" w:sz="4" w:space="0" w:color="auto"/>
            </w:tcBorders>
          </w:tcPr>
          <w:p w14:paraId="1A671A1E" w14:textId="77777777" w:rsidR="001A178B" w:rsidRPr="00AC04B2" w:rsidRDefault="001A178B" w:rsidP="006C6CD7">
            <w:pPr>
              <w:pStyle w:val="TableBodySmall"/>
              <w:keepNext/>
            </w:pPr>
            <w:r w:rsidRPr="00AC04B2">
              <w:t>Collect jurisdictional activity data submissions quarter</w:t>
            </w:r>
            <w:r>
              <w:t>ly</w:t>
            </w:r>
            <w:r w:rsidRPr="00AC04B2">
              <w:t xml:space="preserve"> </w:t>
            </w:r>
            <w:r>
              <w:t xml:space="preserve">for </w:t>
            </w:r>
            <w:r w:rsidRPr="00AC04B2">
              <w:t>202</w:t>
            </w:r>
            <w:r>
              <w:t>6–27</w:t>
            </w:r>
            <w:r w:rsidRPr="00AC04B2">
              <w:t>.</w:t>
            </w:r>
          </w:p>
        </w:tc>
        <w:tc>
          <w:tcPr>
            <w:tcW w:w="1274" w:type="pct"/>
            <w:tcBorders>
              <w:top w:val="nil"/>
              <w:bottom w:val="single" w:sz="4" w:space="0" w:color="auto"/>
            </w:tcBorders>
          </w:tcPr>
          <w:p w14:paraId="0061A20E" w14:textId="77777777" w:rsidR="001A178B" w:rsidRPr="00AC04B2" w:rsidRDefault="001A178B" w:rsidP="006C6CD7">
            <w:pPr>
              <w:pStyle w:val="TableBodySmall"/>
              <w:keepNext/>
            </w:pPr>
            <w:r>
              <w:t>Quarterly</w:t>
            </w:r>
          </w:p>
        </w:tc>
      </w:tr>
    </w:tbl>
    <w:p w14:paraId="61F2A9A3" w14:textId="77777777" w:rsidR="001A178B" w:rsidRDefault="001A178B" w:rsidP="001A178B">
      <w:pPr>
        <w:pStyle w:val="Body"/>
      </w:pPr>
    </w:p>
    <w:p w14:paraId="3562C994" w14:textId="77777777" w:rsidR="001A178B" w:rsidRPr="00BD0ECF" w:rsidRDefault="001A178B" w:rsidP="001A178B">
      <w:pPr>
        <w:pStyle w:val="Body"/>
        <w:rPr>
          <w:b/>
          <w:bCs/>
        </w:rPr>
      </w:pPr>
      <w:r>
        <w:rPr>
          <w:b/>
          <w:bCs/>
        </w:rPr>
        <w:t>F</w:t>
      </w:r>
      <w:r w:rsidRPr="00BD0ECF">
        <w:rPr>
          <w:b/>
          <w:bCs/>
        </w:rPr>
        <w:t xml:space="preserve">or public hospital services, IHACPA will continue its collection of ABF activity data on a quarterly basis and sentinel events data on a biannual basis. Teaching, training and research and hospital cost data provided through the NHCDC will continue to be reported on an annual basis. </w:t>
      </w:r>
    </w:p>
    <w:p w14:paraId="29DBF3CE" w14:textId="77777777" w:rsidR="001A178B" w:rsidRDefault="001A178B" w:rsidP="001A178B">
      <w:pPr>
        <w:pStyle w:val="Body"/>
        <w:rPr>
          <w:b/>
          <w:color w:val="15272F" w:themeColor="text1"/>
          <w:szCs w:val="18"/>
        </w:rPr>
      </w:pPr>
      <w:r w:rsidRPr="00AC04B2">
        <w:t xml:space="preserve">Based on quarterly data collections, IHACPA will undertake activity analysis </w:t>
      </w:r>
      <w:r>
        <w:t>that</w:t>
      </w:r>
      <w:r w:rsidRPr="00AC04B2">
        <w:t xml:space="preserve"> will be used to monitor the impact of the </w:t>
      </w:r>
      <w:r>
        <w:t>NEP</w:t>
      </w:r>
      <w:r w:rsidRPr="00AC04B2">
        <w:t xml:space="preserve"> pricing model on the hospital system.</w:t>
      </w:r>
    </w:p>
    <w:p w14:paraId="0205FF0B" w14:textId="77777777" w:rsidR="009956AD" w:rsidRPr="0084434E" w:rsidRDefault="009956AD" w:rsidP="00AA78C9">
      <w:pPr>
        <w:pStyle w:val="H4"/>
      </w:pPr>
      <w:r w:rsidRPr="0084434E">
        <w:t>Australian Hospital Patient Costing Standards</w:t>
      </w:r>
      <w:bookmarkEnd w:id="64"/>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9956AD" w:rsidRPr="00AC04B2" w14:paraId="75C3A840" w14:textId="77777777" w:rsidTr="00413D9C">
        <w:tc>
          <w:tcPr>
            <w:tcW w:w="3726" w:type="pct"/>
            <w:tcBorders>
              <w:top w:val="nil"/>
              <w:bottom w:val="nil"/>
            </w:tcBorders>
            <w:shd w:val="clear" w:color="auto" w:fill="379887" w:themeFill="accent5" w:themeFillShade="BF"/>
            <w:vAlign w:val="center"/>
          </w:tcPr>
          <w:p w14:paraId="3B15F97A" w14:textId="77777777" w:rsidR="009956AD" w:rsidRPr="00AC04B2" w:rsidRDefault="009956AD" w:rsidP="00204BDB">
            <w:pPr>
              <w:pStyle w:val="TableHeading"/>
            </w:pPr>
            <w:r w:rsidRPr="00AC04B2">
              <w:t>Deliverable</w:t>
            </w:r>
          </w:p>
        </w:tc>
        <w:tc>
          <w:tcPr>
            <w:tcW w:w="1274" w:type="pct"/>
            <w:tcBorders>
              <w:top w:val="nil"/>
              <w:bottom w:val="nil"/>
            </w:tcBorders>
            <w:shd w:val="clear" w:color="auto" w:fill="379887" w:themeFill="accent5" w:themeFillShade="BF"/>
            <w:vAlign w:val="center"/>
          </w:tcPr>
          <w:p w14:paraId="551084CE" w14:textId="77777777" w:rsidR="009956AD" w:rsidRPr="00AC04B2" w:rsidRDefault="009956AD" w:rsidP="00204BDB">
            <w:pPr>
              <w:pStyle w:val="TableHeading"/>
            </w:pPr>
            <w:r w:rsidRPr="00AC04B2">
              <w:t>Timeframe</w:t>
            </w:r>
          </w:p>
        </w:tc>
      </w:tr>
      <w:tr w:rsidR="009956AD" w:rsidRPr="00AC04B2" w14:paraId="2DEA26F6" w14:textId="77777777" w:rsidTr="00413D9C">
        <w:trPr>
          <w:trHeight w:val="236"/>
        </w:trPr>
        <w:tc>
          <w:tcPr>
            <w:tcW w:w="3726" w:type="pct"/>
            <w:tcBorders>
              <w:top w:val="nil"/>
              <w:bottom w:val="single" w:sz="4" w:space="0" w:color="auto"/>
            </w:tcBorders>
          </w:tcPr>
          <w:p w14:paraId="6E1AA226" w14:textId="005DCC49" w:rsidR="00852E6E" w:rsidRPr="00AC04B2" w:rsidRDefault="009956AD" w:rsidP="00CF2872">
            <w:pPr>
              <w:pStyle w:val="TableBodySmall"/>
            </w:pPr>
            <w:r w:rsidRPr="00AC04B2">
              <w:t>Promote ongoing improvement and consistency in cost data submissions through refinement of the Australian Hospital Patient Costing Standards</w:t>
            </w:r>
            <w:r w:rsidR="00CF2872">
              <w:t xml:space="preserve"> Business Rules and Costing Guidelines</w:t>
            </w:r>
            <w:r>
              <w:t>.</w:t>
            </w:r>
            <w:r w:rsidR="00CF2872">
              <w:t xml:space="preserve"> </w:t>
            </w:r>
          </w:p>
        </w:tc>
        <w:tc>
          <w:tcPr>
            <w:tcW w:w="1274" w:type="pct"/>
            <w:tcBorders>
              <w:top w:val="nil"/>
              <w:bottom w:val="single" w:sz="4" w:space="0" w:color="auto"/>
            </w:tcBorders>
          </w:tcPr>
          <w:p w14:paraId="0ECB723C" w14:textId="77777777" w:rsidR="009956AD" w:rsidRPr="00AC04B2" w:rsidRDefault="009956AD" w:rsidP="00204BDB">
            <w:pPr>
              <w:pStyle w:val="TableBodySmall"/>
            </w:pPr>
            <w:r w:rsidRPr="00AC04B2">
              <w:t>Ongoing</w:t>
            </w:r>
          </w:p>
        </w:tc>
      </w:tr>
      <w:tr w:rsidR="00CF2872" w:rsidRPr="00AC04B2" w14:paraId="4C25E30B" w14:textId="77777777" w:rsidTr="00413D9C">
        <w:trPr>
          <w:trHeight w:val="236"/>
        </w:trPr>
        <w:tc>
          <w:tcPr>
            <w:tcW w:w="3726" w:type="pct"/>
            <w:tcBorders>
              <w:top w:val="single" w:sz="4" w:space="0" w:color="auto"/>
              <w:bottom w:val="single" w:sz="4" w:space="0" w:color="auto"/>
            </w:tcBorders>
          </w:tcPr>
          <w:p w14:paraId="240582E4" w14:textId="27CAE710" w:rsidR="00CF2872" w:rsidRPr="00AC04B2" w:rsidRDefault="00CF2872" w:rsidP="0077118C">
            <w:pPr>
              <w:pStyle w:val="TableBodySmall"/>
            </w:pPr>
            <w:r>
              <w:t>Implement recommendations from the Cost Bucket Review and the NHCDC Independent Financial Review 2023–24.</w:t>
            </w:r>
          </w:p>
        </w:tc>
        <w:tc>
          <w:tcPr>
            <w:tcW w:w="1274" w:type="pct"/>
            <w:tcBorders>
              <w:top w:val="single" w:sz="4" w:space="0" w:color="auto"/>
              <w:bottom w:val="single" w:sz="4" w:space="0" w:color="auto"/>
            </w:tcBorders>
          </w:tcPr>
          <w:p w14:paraId="027B3827" w14:textId="711BCCD8" w:rsidR="00CF2872" w:rsidRPr="00AC04B2" w:rsidRDefault="005E407E" w:rsidP="00204BDB">
            <w:pPr>
              <w:pStyle w:val="TableBodySmall"/>
            </w:pPr>
            <w:r>
              <w:t>Ongoing</w:t>
            </w:r>
          </w:p>
        </w:tc>
      </w:tr>
    </w:tbl>
    <w:p w14:paraId="0AE589EE" w14:textId="77777777" w:rsidR="009956AD" w:rsidRDefault="009956AD" w:rsidP="009956AD">
      <w:pPr>
        <w:pStyle w:val="Body"/>
      </w:pPr>
      <w:bookmarkStart w:id="69" w:name="_Hlk94013493"/>
    </w:p>
    <w:p w14:paraId="22E92BC8" w14:textId="77777777" w:rsidR="009956AD" w:rsidRPr="000362C5" w:rsidRDefault="009956AD" w:rsidP="009956AD">
      <w:pPr>
        <w:pStyle w:val="Body"/>
        <w:rPr>
          <w:b/>
          <w:bCs/>
        </w:rPr>
      </w:pPr>
      <w:r w:rsidRPr="000362C5">
        <w:rPr>
          <w:b/>
          <w:bCs/>
        </w:rPr>
        <w:t xml:space="preserve">The Australian Hospital Patient Costing Standards (AHPCS) are published for those conducting national costing activities, to promote consistency in data submissions. The AHPCS provide the framework for regulators, funders, providers and researchers for the cost data collection. </w:t>
      </w:r>
    </w:p>
    <w:p w14:paraId="66415399" w14:textId="0F2FE967" w:rsidR="009956AD" w:rsidRDefault="009956AD" w:rsidP="009956AD">
      <w:pPr>
        <w:pStyle w:val="Body"/>
      </w:pPr>
      <w:bookmarkStart w:id="70" w:name="_Hlk94014958"/>
      <w:r w:rsidRPr="00AC04B2">
        <w:t xml:space="preserve">The Independent Health and Aged Care Pricing Authority (IHACPA) </w:t>
      </w:r>
      <w:r>
        <w:t>released</w:t>
      </w:r>
      <w:r w:rsidRPr="00AC04B2">
        <w:t xml:space="preserve"> the AHPCS Version 4.2 </w:t>
      </w:r>
      <w:r>
        <w:t xml:space="preserve">in September 2023 </w:t>
      </w:r>
      <w:r w:rsidRPr="00AC04B2">
        <w:t>for implementation for the 2022</w:t>
      </w:r>
      <w:r w:rsidRPr="00AC04B2">
        <w:rPr>
          <w:rFonts w:hint="cs"/>
        </w:rPr>
        <w:t>–</w:t>
      </w:r>
      <w:r w:rsidRPr="00AC04B2">
        <w:t>23 NHCDC submissions.</w:t>
      </w:r>
      <w:r>
        <w:t xml:space="preserve"> IHACPA also released updates to the </w:t>
      </w:r>
      <w:r w:rsidRPr="009A7C57">
        <w:lastRenderedPageBreak/>
        <w:t>Non-admitted Patient Care Costing Guidelines</w:t>
      </w:r>
      <w:r>
        <w:t xml:space="preserve"> for AHPCS Version 4.2 in May 2024</w:t>
      </w:r>
      <w:r w:rsidR="00413D9C">
        <w:t xml:space="preserve"> and the </w:t>
      </w:r>
      <w:r w:rsidR="00413D9C" w:rsidRPr="00AD142C">
        <w:t>Mental Health Care Costing Guidelines</w:t>
      </w:r>
      <w:r w:rsidR="00413D9C">
        <w:t xml:space="preserve"> in December 2025</w:t>
      </w:r>
      <w:r w:rsidR="00AD142C" w:rsidRPr="00AD142C">
        <w:t>.</w:t>
      </w:r>
    </w:p>
    <w:p w14:paraId="7330FA68" w14:textId="43C97B6E" w:rsidR="009956AD" w:rsidRPr="00AC04B2" w:rsidRDefault="009956AD" w:rsidP="009956AD">
      <w:pPr>
        <w:pStyle w:val="Body"/>
      </w:pPr>
      <w:r>
        <w:t>In 202</w:t>
      </w:r>
      <w:r w:rsidR="00AF74CC">
        <w:t>6</w:t>
      </w:r>
      <w:r>
        <w:t>–2</w:t>
      </w:r>
      <w:r w:rsidR="00AF74CC">
        <w:t>7</w:t>
      </w:r>
      <w:r>
        <w:t>, IHACPA will continue to update the AHPCS and</w:t>
      </w:r>
      <w:r w:rsidRPr="00B236DE">
        <w:t xml:space="preserve"> </w:t>
      </w:r>
      <w:r>
        <w:t>through consultation with jurisdictions</w:t>
      </w:r>
      <w:r w:rsidR="005E407E">
        <w:t>,</w:t>
      </w:r>
      <w:r>
        <w:t xml:space="preserve"> will identify and prioritise target areas for review. </w:t>
      </w:r>
    </w:p>
    <w:bookmarkEnd w:id="65"/>
    <w:bookmarkEnd w:id="66"/>
    <w:bookmarkEnd w:id="67"/>
    <w:bookmarkEnd w:id="68"/>
    <w:bookmarkEnd w:id="69"/>
    <w:bookmarkEnd w:id="70"/>
    <w:p w14:paraId="39036237" w14:textId="4ED85281" w:rsidR="009956AD" w:rsidRPr="0084434E" w:rsidRDefault="009956AD" w:rsidP="00944133">
      <w:pPr>
        <w:pStyle w:val="H4-List"/>
        <w:rPr>
          <w:rFonts w:ascii="Arial" w:hAnsi="Arial"/>
        </w:rPr>
      </w:pPr>
      <w:r w:rsidRPr="0084434E">
        <w:rPr>
          <w:rFonts w:ascii="Arial" w:hAnsi="Arial"/>
        </w:rPr>
        <w:t xml:space="preserve">National Hospital Cost Data Collection for public and private </w:t>
      </w:r>
      <w:r w:rsidR="00C667E3">
        <w:rPr>
          <w:rFonts w:ascii="Arial" w:hAnsi="Arial"/>
        </w:rPr>
        <w:t>sectors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9956AD" w:rsidRPr="00AC04B2" w14:paraId="7FC7D7B0" w14:textId="77777777" w:rsidTr="00D34028">
        <w:tc>
          <w:tcPr>
            <w:tcW w:w="3726" w:type="pct"/>
            <w:tcBorders>
              <w:top w:val="nil"/>
              <w:bottom w:val="nil"/>
            </w:tcBorders>
            <w:shd w:val="clear" w:color="auto" w:fill="379887" w:themeFill="accent5" w:themeFillShade="BF"/>
            <w:vAlign w:val="center"/>
          </w:tcPr>
          <w:p w14:paraId="51DBAA53" w14:textId="77777777" w:rsidR="009956AD" w:rsidRPr="00AC04B2" w:rsidRDefault="009956AD" w:rsidP="00204BDB">
            <w:pPr>
              <w:pStyle w:val="TableHeading"/>
            </w:pPr>
            <w:r w:rsidRPr="00AC04B2">
              <w:t>Deliverable</w:t>
            </w:r>
          </w:p>
        </w:tc>
        <w:tc>
          <w:tcPr>
            <w:tcW w:w="1274" w:type="pct"/>
            <w:tcBorders>
              <w:top w:val="nil"/>
              <w:bottom w:val="nil"/>
            </w:tcBorders>
            <w:shd w:val="clear" w:color="auto" w:fill="379887" w:themeFill="accent5" w:themeFillShade="BF"/>
            <w:vAlign w:val="center"/>
          </w:tcPr>
          <w:p w14:paraId="732223E4" w14:textId="77777777" w:rsidR="009956AD" w:rsidRPr="00AC04B2" w:rsidRDefault="009956AD" w:rsidP="00204BDB">
            <w:pPr>
              <w:pStyle w:val="TableHeading"/>
            </w:pPr>
            <w:r w:rsidRPr="00AC04B2">
              <w:t>Timeframe</w:t>
            </w:r>
          </w:p>
        </w:tc>
      </w:tr>
      <w:tr w:rsidR="009956AD" w:rsidRPr="00AC04B2" w14:paraId="5168F389" w14:textId="77777777" w:rsidTr="00204BDB">
        <w:trPr>
          <w:trHeight w:val="236"/>
        </w:trPr>
        <w:tc>
          <w:tcPr>
            <w:tcW w:w="3726" w:type="pct"/>
            <w:tcBorders>
              <w:top w:val="nil"/>
              <w:bottom w:val="single" w:sz="4" w:space="0" w:color="auto"/>
            </w:tcBorders>
          </w:tcPr>
          <w:p w14:paraId="30AA7080" w14:textId="0FDBFD01" w:rsidR="009956AD" w:rsidRPr="00AC04B2" w:rsidRDefault="009956AD" w:rsidP="00204BDB">
            <w:pPr>
              <w:pStyle w:val="TableBodySmall"/>
            </w:pPr>
            <w:r w:rsidRPr="00AC04B2">
              <w:t>Release the 202</w:t>
            </w:r>
            <w:r w:rsidR="00943103">
              <w:t>4</w:t>
            </w:r>
            <w:r w:rsidRPr="00AC04B2">
              <w:rPr>
                <w:rFonts w:hint="cs"/>
              </w:rPr>
              <w:t>–</w:t>
            </w:r>
            <w:r w:rsidRPr="00AC04B2">
              <w:t>2</w:t>
            </w:r>
            <w:r w:rsidR="00943103">
              <w:t>5</w:t>
            </w:r>
            <w:r w:rsidRPr="00AC04B2">
              <w:t xml:space="preserve"> National Hospital Cost Data Collection public sector report.</w:t>
            </w:r>
          </w:p>
        </w:tc>
        <w:tc>
          <w:tcPr>
            <w:tcW w:w="1274" w:type="pct"/>
            <w:tcBorders>
              <w:top w:val="nil"/>
              <w:bottom w:val="single" w:sz="4" w:space="0" w:color="auto"/>
            </w:tcBorders>
          </w:tcPr>
          <w:p w14:paraId="15AAB831" w14:textId="06E9C291" w:rsidR="009956AD" w:rsidRPr="00AC04B2" w:rsidRDefault="009956AD" w:rsidP="00204BDB">
            <w:pPr>
              <w:pStyle w:val="TableBodySmall"/>
            </w:pPr>
            <w:r>
              <w:t>February</w:t>
            </w:r>
            <w:r w:rsidRPr="00AC04B2">
              <w:t xml:space="preserve"> 202</w:t>
            </w:r>
            <w:r w:rsidR="004F6099">
              <w:t>7</w:t>
            </w:r>
          </w:p>
        </w:tc>
      </w:tr>
      <w:tr w:rsidR="009956AD" w:rsidRPr="00AC04B2" w14:paraId="51FE1FFD" w14:textId="77777777" w:rsidTr="00204BDB">
        <w:trPr>
          <w:trHeight w:val="236"/>
        </w:trPr>
        <w:tc>
          <w:tcPr>
            <w:tcW w:w="3726" w:type="pct"/>
            <w:tcBorders>
              <w:top w:val="single" w:sz="4" w:space="0" w:color="auto"/>
              <w:bottom w:val="single" w:sz="4" w:space="0" w:color="auto"/>
            </w:tcBorders>
          </w:tcPr>
          <w:p w14:paraId="4253B067" w14:textId="0869B346" w:rsidR="009956AD" w:rsidRPr="00AC04B2" w:rsidRDefault="009956AD" w:rsidP="00204BDB">
            <w:pPr>
              <w:pStyle w:val="TableBodySmall"/>
            </w:pPr>
            <w:r w:rsidRPr="00AC04B2">
              <w:t>Release the 202</w:t>
            </w:r>
            <w:r w:rsidR="004F6099">
              <w:t>4</w:t>
            </w:r>
            <w:r w:rsidRPr="00AC04B2">
              <w:rPr>
                <w:rFonts w:hint="cs"/>
              </w:rPr>
              <w:t>–</w:t>
            </w:r>
            <w:r w:rsidRPr="00AC04B2">
              <w:t>2</w:t>
            </w:r>
            <w:r w:rsidR="004F6099">
              <w:t>5</w:t>
            </w:r>
            <w:r w:rsidRPr="00AC04B2">
              <w:t xml:space="preserve"> National Hospital Cost Data Collection private sector report.</w:t>
            </w:r>
          </w:p>
        </w:tc>
        <w:tc>
          <w:tcPr>
            <w:tcW w:w="1274" w:type="pct"/>
            <w:tcBorders>
              <w:top w:val="single" w:sz="4" w:space="0" w:color="auto"/>
              <w:bottom w:val="single" w:sz="4" w:space="0" w:color="auto"/>
            </w:tcBorders>
          </w:tcPr>
          <w:p w14:paraId="1FA32CE5" w14:textId="01AAE1BF" w:rsidR="009956AD" w:rsidRPr="00AC04B2" w:rsidRDefault="009956AD" w:rsidP="00204BDB">
            <w:pPr>
              <w:pStyle w:val="TableBodySmall"/>
            </w:pPr>
            <w:r>
              <w:t>February</w:t>
            </w:r>
            <w:r w:rsidRPr="00AC04B2">
              <w:t xml:space="preserve"> 202</w:t>
            </w:r>
            <w:r w:rsidR="004F6099">
              <w:t>7</w:t>
            </w:r>
          </w:p>
        </w:tc>
      </w:tr>
      <w:tr w:rsidR="009956AD" w:rsidRPr="00AC04B2" w14:paraId="5434CBB2" w14:textId="77777777" w:rsidTr="00204BDB">
        <w:trPr>
          <w:trHeight w:val="236"/>
        </w:trPr>
        <w:tc>
          <w:tcPr>
            <w:tcW w:w="3726" w:type="pct"/>
            <w:tcBorders>
              <w:top w:val="single" w:sz="4" w:space="0" w:color="auto"/>
              <w:bottom w:val="single" w:sz="4" w:space="0" w:color="auto"/>
            </w:tcBorders>
          </w:tcPr>
          <w:p w14:paraId="1D1DFBBD" w14:textId="22DCD3B8" w:rsidR="009956AD" w:rsidRPr="00AC04B2" w:rsidRDefault="009956AD" w:rsidP="00204BDB">
            <w:pPr>
              <w:pStyle w:val="TableBodySmall"/>
            </w:pPr>
            <w:r>
              <w:t>Collect the 202</w:t>
            </w:r>
            <w:r w:rsidR="004F6099">
              <w:t>5</w:t>
            </w:r>
            <w:r>
              <w:rPr>
                <w:rFonts w:hint="cs"/>
              </w:rPr>
              <w:t>–</w:t>
            </w:r>
            <w:r>
              <w:t>2</w:t>
            </w:r>
            <w:r w:rsidR="004F6099">
              <w:t>6</w:t>
            </w:r>
            <w:r>
              <w:t xml:space="preserve"> National Hospital Cost Data Collection for public and private </w:t>
            </w:r>
            <w:r w:rsidR="004B2B13">
              <w:t>sectors</w:t>
            </w:r>
            <w:r>
              <w:t>.</w:t>
            </w:r>
          </w:p>
        </w:tc>
        <w:tc>
          <w:tcPr>
            <w:tcW w:w="1274" w:type="pct"/>
            <w:tcBorders>
              <w:top w:val="single" w:sz="4" w:space="0" w:color="auto"/>
              <w:bottom w:val="single" w:sz="4" w:space="0" w:color="auto"/>
            </w:tcBorders>
          </w:tcPr>
          <w:p w14:paraId="224F386F" w14:textId="2818BB23" w:rsidR="009956AD" w:rsidRPr="00AC04B2" w:rsidRDefault="009956AD" w:rsidP="00204BDB">
            <w:pPr>
              <w:pStyle w:val="TableBodySmall"/>
            </w:pPr>
            <w:r>
              <w:t>June 202</w:t>
            </w:r>
            <w:r w:rsidR="004F6099">
              <w:t>7</w:t>
            </w:r>
          </w:p>
        </w:tc>
      </w:tr>
    </w:tbl>
    <w:p w14:paraId="08774F8C" w14:textId="77777777" w:rsidR="009956AD" w:rsidRDefault="009956AD" w:rsidP="009956AD">
      <w:pPr>
        <w:pStyle w:val="Body"/>
      </w:pPr>
    </w:p>
    <w:p w14:paraId="64336634" w14:textId="2B25FAFA" w:rsidR="009956AD" w:rsidRPr="000362C5" w:rsidRDefault="009956AD" w:rsidP="009956AD">
      <w:pPr>
        <w:pStyle w:val="Body"/>
        <w:rPr>
          <w:b/>
          <w:bCs/>
        </w:rPr>
      </w:pPr>
      <w:r w:rsidRPr="000362C5">
        <w:rPr>
          <w:b/>
          <w:bCs/>
        </w:rPr>
        <w:t>In 202</w:t>
      </w:r>
      <w:r w:rsidR="004F6099">
        <w:rPr>
          <w:b/>
          <w:bCs/>
        </w:rPr>
        <w:t>6</w:t>
      </w:r>
      <w:r w:rsidRPr="000362C5">
        <w:rPr>
          <w:b/>
          <w:bCs/>
        </w:rPr>
        <w:t>–2</w:t>
      </w:r>
      <w:r w:rsidR="004F6099">
        <w:rPr>
          <w:b/>
          <w:bCs/>
        </w:rPr>
        <w:t>7</w:t>
      </w:r>
      <w:r w:rsidRPr="000362C5">
        <w:rPr>
          <w:b/>
          <w:bCs/>
        </w:rPr>
        <w:t xml:space="preserve">, IHACPA will continue to collect and analyse the NHCDC and will continue to develop a stronger compliance framework in conjunction with the NHCDC Advisory Committee. </w:t>
      </w:r>
    </w:p>
    <w:p w14:paraId="22E4C983" w14:textId="1EAF4AC0" w:rsidR="009956AD" w:rsidRPr="00AC04B2" w:rsidRDefault="009956AD" w:rsidP="009956AD">
      <w:pPr>
        <w:pStyle w:val="Body"/>
      </w:pPr>
      <w:r w:rsidRPr="00AC04B2">
        <w:t>The 202</w:t>
      </w:r>
      <w:r w:rsidR="004F6099">
        <w:t>4</w:t>
      </w:r>
      <w:r w:rsidRPr="00AC04B2">
        <w:rPr>
          <w:rFonts w:hint="cs"/>
        </w:rPr>
        <w:t>–</w:t>
      </w:r>
      <w:r w:rsidRPr="00AC04B2">
        <w:t>2</w:t>
      </w:r>
      <w:r w:rsidR="00FB0FB5">
        <w:t>5</w:t>
      </w:r>
      <w:r w:rsidRPr="00AC04B2">
        <w:t xml:space="preserve"> NHCDC public sector report will present the public hospital costs submitted by </w:t>
      </w:r>
      <w:r>
        <w:t>state and territory governments</w:t>
      </w:r>
      <w:r w:rsidRPr="00AC04B2">
        <w:t xml:space="preserve"> for the admitted acute, subacute and non-acute, emergency department, mental health and non-admitted activity streams.</w:t>
      </w:r>
    </w:p>
    <w:p w14:paraId="3E135A4A" w14:textId="49DABD48" w:rsidR="009956AD" w:rsidRPr="00AC04B2" w:rsidRDefault="009956AD" w:rsidP="009956AD">
      <w:pPr>
        <w:pStyle w:val="Body"/>
      </w:pPr>
      <w:r w:rsidRPr="00AC04B2">
        <w:t>The 202</w:t>
      </w:r>
      <w:r w:rsidR="00FB0FB5">
        <w:t>4</w:t>
      </w:r>
      <w:r w:rsidRPr="00AC04B2">
        <w:rPr>
          <w:rFonts w:hint="cs"/>
        </w:rPr>
        <w:t>–</w:t>
      </w:r>
      <w:r w:rsidRPr="00AC04B2">
        <w:t>2</w:t>
      </w:r>
      <w:r w:rsidR="00FB0FB5">
        <w:t>5</w:t>
      </w:r>
      <w:r w:rsidRPr="00AC04B2">
        <w:t xml:space="preserve"> NHCDC private sector report will present the results from a voluntary collection of private hospital cost and activity information.</w:t>
      </w:r>
      <w:r>
        <w:t xml:space="preserve">  </w:t>
      </w:r>
    </w:p>
    <w:p w14:paraId="077BAF77" w14:textId="6CABC9CE" w:rsidR="009956AD" w:rsidRPr="0084434E" w:rsidRDefault="00852E6E" w:rsidP="000537AF">
      <w:pPr>
        <w:pStyle w:val="H4-List"/>
        <w:rPr>
          <w:rFonts w:ascii="Arial" w:hAnsi="Arial"/>
        </w:rPr>
      </w:pPr>
      <w:r w:rsidRPr="0084434E">
        <w:rPr>
          <w:rFonts w:ascii="Arial" w:hAnsi="Arial"/>
        </w:rPr>
        <w:t>Independent Financial Review</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9956AD" w:rsidRPr="00AC04B2" w14:paraId="0DE033B0" w14:textId="77777777" w:rsidTr="00D34028">
        <w:tc>
          <w:tcPr>
            <w:tcW w:w="3726" w:type="pct"/>
            <w:tcBorders>
              <w:top w:val="nil"/>
              <w:bottom w:val="nil"/>
            </w:tcBorders>
            <w:shd w:val="clear" w:color="auto" w:fill="379887" w:themeFill="accent5" w:themeFillShade="BF"/>
            <w:vAlign w:val="center"/>
          </w:tcPr>
          <w:p w14:paraId="2F070EE5" w14:textId="77777777" w:rsidR="009956AD" w:rsidRPr="00AC04B2" w:rsidRDefault="009956AD" w:rsidP="00204BDB">
            <w:pPr>
              <w:pStyle w:val="TableHeading"/>
            </w:pPr>
            <w:r w:rsidRPr="00AC04B2">
              <w:t>Deliverable</w:t>
            </w:r>
          </w:p>
        </w:tc>
        <w:tc>
          <w:tcPr>
            <w:tcW w:w="1274" w:type="pct"/>
            <w:tcBorders>
              <w:top w:val="nil"/>
              <w:bottom w:val="nil"/>
            </w:tcBorders>
            <w:shd w:val="clear" w:color="auto" w:fill="379887" w:themeFill="accent5" w:themeFillShade="BF"/>
            <w:vAlign w:val="center"/>
          </w:tcPr>
          <w:p w14:paraId="3CD3368A" w14:textId="77777777" w:rsidR="009956AD" w:rsidRPr="00AC04B2" w:rsidRDefault="009956AD" w:rsidP="00204BDB">
            <w:pPr>
              <w:pStyle w:val="TableHeading"/>
            </w:pPr>
            <w:r w:rsidRPr="00AC04B2">
              <w:t>Timeframe</w:t>
            </w:r>
          </w:p>
        </w:tc>
      </w:tr>
      <w:tr w:rsidR="009956AD" w:rsidRPr="00AC04B2" w14:paraId="0D00D693" w14:textId="77777777" w:rsidTr="00204BDB">
        <w:trPr>
          <w:trHeight w:val="236"/>
        </w:trPr>
        <w:tc>
          <w:tcPr>
            <w:tcW w:w="3726" w:type="pct"/>
            <w:tcBorders>
              <w:top w:val="nil"/>
              <w:bottom w:val="single" w:sz="4" w:space="0" w:color="auto"/>
            </w:tcBorders>
          </w:tcPr>
          <w:p w14:paraId="6D2B9B76" w14:textId="5FD78312" w:rsidR="009956AD" w:rsidRPr="00AC04B2" w:rsidRDefault="009956AD" w:rsidP="00204BDB">
            <w:pPr>
              <w:pStyle w:val="TableBodySmall"/>
            </w:pPr>
            <w:r>
              <w:t xml:space="preserve">Release </w:t>
            </w:r>
            <w:r w:rsidR="00852E6E">
              <w:t xml:space="preserve">an </w:t>
            </w:r>
            <w:r w:rsidR="00F16ED3">
              <w:t>Independent Financial Review</w:t>
            </w:r>
            <w:r w:rsidR="00852E6E">
              <w:t xml:space="preserve"> report for </w:t>
            </w:r>
            <w:r>
              <w:t>202</w:t>
            </w:r>
            <w:r w:rsidR="00344D60">
              <w:t>4</w:t>
            </w:r>
            <w:r>
              <w:t>–2</w:t>
            </w:r>
            <w:r w:rsidR="00636AC8">
              <w:t>5</w:t>
            </w:r>
            <w:r>
              <w:t xml:space="preserve"> </w:t>
            </w:r>
          </w:p>
        </w:tc>
        <w:tc>
          <w:tcPr>
            <w:tcW w:w="1274" w:type="pct"/>
            <w:tcBorders>
              <w:top w:val="nil"/>
              <w:bottom w:val="single" w:sz="4" w:space="0" w:color="auto"/>
            </w:tcBorders>
          </w:tcPr>
          <w:p w14:paraId="3CF7E45F" w14:textId="78393EB2" w:rsidR="009956AD" w:rsidRPr="00AC04B2" w:rsidRDefault="009956AD" w:rsidP="00204BDB">
            <w:pPr>
              <w:pStyle w:val="TableBodySmall"/>
            </w:pPr>
            <w:r>
              <w:t>February</w:t>
            </w:r>
            <w:r w:rsidRPr="00AC04B2">
              <w:t xml:space="preserve"> 202</w:t>
            </w:r>
            <w:r w:rsidR="00636AC8">
              <w:t>7</w:t>
            </w:r>
          </w:p>
        </w:tc>
      </w:tr>
    </w:tbl>
    <w:p w14:paraId="74347282" w14:textId="77777777" w:rsidR="009956AD" w:rsidRDefault="009956AD" w:rsidP="009956AD">
      <w:pPr>
        <w:pStyle w:val="IntroBody"/>
      </w:pPr>
    </w:p>
    <w:p w14:paraId="1B19CC68" w14:textId="04C26D7B" w:rsidR="009956AD" w:rsidRDefault="00B10BF3" w:rsidP="009956AD">
      <w:pPr>
        <w:pStyle w:val="IntroBody"/>
      </w:pPr>
      <w:r>
        <w:t xml:space="preserve">An annual component of the NHCDC cycle </w:t>
      </w:r>
      <w:r w:rsidR="00636AC8" w:rsidRPr="00636AC8">
        <w:t xml:space="preserve">is </w:t>
      </w:r>
      <w:r w:rsidR="00D86071">
        <w:t>quality assurance</w:t>
      </w:r>
      <w:r w:rsidR="00636AC8" w:rsidRPr="00636AC8">
        <w:t>. IH</w:t>
      </w:r>
      <w:r w:rsidR="00D86071">
        <w:t>AC</w:t>
      </w:r>
      <w:r w:rsidR="00636AC8" w:rsidRPr="00636AC8">
        <w:t xml:space="preserve">PA commissions an independent body to review the public sector data provided by jurisdictions, with a specific focus on hospitals’ financial reconciliations and consistent application of the AHPCS. </w:t>
      </w:r>
      <w:r w:rsidR="009956AD">
        <w:t xml:space="preserve"> </w:t>
      </w:r>
    </w:p>
    <w:p w14:paraId="2EC29EA2" w14:textId="7EC64EFD" w:rsidR="009956AD" w:rsidRDefault="009956AD" w:rsidP="009956AD">
      <w:pPr>
        <w:pStyle w:val="Body"/>
      </w:pPr>
      <w:r>
        <w:t>Clause</w:t>
      </w:r>
      <w:r w:rsidRPr="00762F3D">
        <w:t xml:space="preserve"> B24 of the </w:t>
      </w:r>
      <w:r w:rsidR="00C10DB7">
        <w:t>addendum</w:t>
      </w:r>
      <w:r w:rsidRPr="00762F3D">
        <w:t xml:space="preserve"> states that the IHACPA, in determining the </w:t>
      </w:r>
      <w:r>
        <w:t xml:space="preserve">NEP </w:t>
      </w:r>
      <w:r w:rsidRPr="00762F3D">
        <w:t>for services provided on an activity basis, should do so through empirical analysis of data on actual activity and costs in public hospitals. </w:t>
      </w:r>
    </w:p>
    <w:p w14:paraId="226C78CE" w14:textId="254D2643" w:rsidR="00117571" w:rsidRDefault="001F0583" w:rsidP="00117571">
      <w:pPr>
        <w:pStyle w:val="Body"/>
      </w:pPr>
      <w:r w:rsidRPr="001F0583">
        <w:t>In</w:t>
      </w:r>
      <w:r>
        <w:t xml:space="preserve"> 2024</w:t>
      </w:r>
      <w:r w:rsidR="00117571">
        <w:t>–</w:t>
      </w:r>
      <w:r w:rsidRPr="001F0583">
        <w:t xml:space="preserve">25, IHACPA reinstated the Independent Financial Review (IFR) for the 2023–24 NHCDC </w:t>
      </w:r>
      <w:r w:rsidR="004B2B13">
        <w:t>p</w:t>
      </w:r>
      <w:r w:rsidRPr="001F0583">
        <w:t xml:space="preserve">ublic </w:t>
      </w:r>
      <w:r w:rsidR="004B2B13">
        <w:t>s</w:t>
      </w:r>
      <w:r w:rsidRPr="001F0583">
        <w:t>ector to ensure the data is robust and fit for purpose</w:t>
      </w:r>
      <w:r>
        <w:t xml:space="preserve"> for the development of the NEP. This includes verifying that all </w:t>
      </w:r>
      <w:r w:rsidR="00117571">
        <w:br/>
      </w:r>
      <w:r>
        <w:t xml:space="preserve">in-scope costs and activity data are </w:t>
      </w:r>
      <w:r w:rsidR="0072480F">
        <w:t>captured</w:t>
      </w:r>
      <w:r>
        <w:t xml:space="preserve"> in the NHCDC</w:t>
      </w:r>
      <w:r w:rsidR="0072480F">
        <w:t xml:space="preserve">, and </w:t>
      </w:r>
      <w:r w:rsidR="00E21FBD">
        <w:t>costs are allocated to activity</w:t>
      </w:r>
      <w:r w:rsidR="0072480F">
        <w:t xml:space="preserve"> in accordance with the AHPCS</w:t>
      </w:r>
      <w:r>
        <w:t>.</w:t>
      </w:r>
    </w:p>
    <w:p w14:paraId="68CBB09B" w14:textId="7AB7D483" w:rsidR="009956AD" w:rsidRDefault="009956AD" w:rsidP="00117571">
      <w:pPr>
        <w:pStyle w:val="Body"/>
      </w:pPr>
      <w:r>
        <w:t xml:space="preserve">In 2024–25, </w:t>
      </w:r>
      <w:r w:rsidRPr="00085510">
        <w:t>IHACPA</w:t>
      </w:r>
      <w:r w:rsidR="00413D9C">
        <w:t xml:space="preserve"> also</w:t>
      </w:r>
      <w:r w:rsidRPr="00085510">
        <w:t xml:space="preserve"> </w:t>
      </w:r>
      <w:r>
        <w:t>undertook</w:t>
      </w:r>
      <w:r w:rsidRPr="00085510">
        <w:t xml:space="preserve"> development of an NHCDC quality assurance report dashboard and a new data portal to provide streamlined, flexible and </w:t>
      </w:r>
      <w:r>
        <w:t>timely</w:t>
      </w:r>
      <w:r w:rsidRPr="00085510">
        <w:t xml:space="preserve"> data insights to state and territory governments regarding their NHCDC submission</w:t>
      </w:r>
      <w:r>
        <w:t xml:space="preserve">. </w:t>
      </w:r>
    </w:p>
    <w:p w14:paraId="69431F0B" w14:textId="3739E8A9" w:rsidR="00B20540" w:rsidRDefault="009956AD" w:rsidP="009956AD">
      <w:pPr>
        <w:pStyle w:val="Body"/>
      </w:pPr>
      <w:r w:rsidRPr="00762F3D">
        <w:t xml:space="preserve">To ensure </w:t>
      </w:r>
      <w:r>
        <w:t xml:space="preserve">continued </w:t>
      </w:r>
      <w:r w:rsidRPr="00762F3D">
        <w:t xml:space="preserve">compliance with </w:t>
      </w:r>
      <w:r>
        <w:t>clause</w:t>
      </w:r>
      <w:r w:rsidRPr="00762F3D">
        <w:t xml:space="preserve"> B24 of the </w:t>
      </w:r>
      <w:r w:rsidR="0056454E">
        <w:t>addendum</w:t>
      </w:r>
      <w:r w:rsidRPr="00762F3D">
        <w:t xml:space="preserve">, IHACPA </w:t>
      </w:r>
      <w:r>
        <w:t xml:space="preserve">will </w:t>
      </w:r>
      <w:r w:rsidRPr="00762F3D">
        <w:t xml:space="preserve">review and reevaluate the data used to calculate </w:t>
      </w:r>
      <w:r>
        <w:t xml:space="preserve">the </w:t>
      </w:r>
      <w:r w:rsidR="00D05BDE">
        <w:t>NEP and</w:t>
      </w:r>
      <w:r>
        <w:t xml:space="preserve"> </w:t>
      </w:r>
      <w:r w:rsidRPr="00762F3D">
        <w:t>assess the degree to which the data reflects the actual cost of delivery of public hospital services</w:t>
      </w:r>
      <w:r>
        <w:t xml:space="preserve"> to ensure</w:t>
      </w:r>
      <w:r w:rsidRPr="00762F3D">
        <w:t xml:space="preserve"> that only legitimate and unavoidable costs have been included in the reference cost data. </w:t>
      </w:r>
    </w:p>
    <w:p w14:paraId="4C8A998C" w14:textId="18EE34A6" w:rsidR="009956AD" w:rsidRPr="00B20540" w:rsidRDefault="00B20540" w:rsidP="00B20540">
      <w:pPr>
        <w:rPr>
          <w:rFonts w:ascii="Arial" w:hAnsi="Arial" w:cs="Arial"/>
          <w:sz w:val="20"/>
          <w:szCs w:val="20"/>
        </w:rPr>
      </w:pPr>
      <w:r>
        <w:br w:type="page"/>
      </w:r>
    </w:p>
    <w:p w14:paraId="709B5B75" w14:textId="77777777" w:rsidR="009956AD" w:rsidRPr="0084434E" w:rsidRDefault="009956AD" w:rsidP="000537AF">
      <w:pPr>
        <w:pStyle w:val="H4-List"/>
        <w:rPr>
          <w:rFonts w:ascii="Arial" w:hAnsi="Arial"/>
        </w:rPr>
      </w:pPr>
      <w:bookmarkStart w:id="71" w:name="_Toc55045639"/>
      <w:bookmarkStart w:id="72" w:name="_Toc55054011"/>
      <w:bookmarkStart w:id="73" w:name="_Toc55237230"/>
      <w:bookmarkStart w:id="74" w:name="_Toc55238317"/>
      <w:bookmarkStart w:id="75" w:name="_Toc55974135"/>
      <w:bookmarkStart w:id="76" w:name="_Hlk219894625"/>
      <w:r w:rsidRPr="0084434E">
        <w:rPr>
          <w:rFonts w:ascii="Arial" w:hAnsi="Arial"/>
        </w:rPr>
        <w:lastRenderedPageBreak/>
        <w:t>Costing private patients in public hospitals</w:t>
      </w:r>
      <w:bookmarkEnd w:id="71"/>
      <w:bookmarkEnd w:id="72"/>
      <w:bookmarkEnd w:id="73"/>
      <w:bookmarkEnd w:id="74"/>
      <w:bookmarkEnd w:id="7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9956AD" w:rsidRPr="00AC04B2" w14:paraId="06B16779" w14:textId="77777777" w:rsidTr="00D34028">
        <w:tc>
          <w:tcPr>
            <w:tcW w:w="3726" w:type="pct"/>
            <w:tcBorders>
              <w:top w:val="nil"/>
              <w:bottom w:val="nil"/>
            </w:tcBorders>
            <w:shd w:val="clear" w:color="auto" w:fill="379887" w:themeFill="accent5" w:themeFillShade="BF"/>
            <w:vAlign w:val="center"/>
          </w:tcPr>
          <w:p w14:paraId="13107923" w14:textId="77777777" w:rsidR="009956AD" w:rsidRPr="00AC04B2" w:rsidRDefault="009956AD" w:rsidP="00204BDB">
            <w:pPr>
              <w:pStyle w:val="TableHeading"/>
            </w:pPr>
            <w:r w:rsidRPr="00AC04B2">
              <w:t>Deliverable</w:t>
            </w:r>
          </w:p>
        </w:tc>
        <w:tc>
          <w:tcPr>
            <w:tcW w:w="1274" w:type="pct"/>
            <w:tcBorders>
              <w:top w:val="nil"/>
              <w:bottom w:val="nil"/>
            </w:tcBorders>
            <w:shd w:val="clear" w:color="auto" w:fill="379887" w:themeFill="accent5" w:themeFillShade="BF"/>
            <w:vAlign w:val="center"/>
          </w:tcPr>
          <w:p w14:paraId="7A040143" w14:textId="77777777" w:rsidR="009956AD" w:rsidRPr="00AC04B2" w:rsidRDefault="009956AD" w:rsidP="00204BDB">
            <w:pPr>
              <w:pStyle w:val="TableHeading"/>
            </w:pPr>
            <w:r w:rsidRPr="00AC04B2">
              <w:t>Timeframe</w:t>
            </w:r>
          </w:p>
        </w:tc>
      </w:tr>
      <w:tr w:rsidR="009956AD" w:rsidRPr="00AC04B2" w14:paraId="455A5CE5" w14:textId="77777777" w:rsidTr="00204BDB">
        <w:trPr>
          <w:trHeight w:val="236"/>
        </w:trPr>
        <w:tc>
          <w:tcPr>
            <w:tcW w:w="3726" w:type="pct"/>
            <w:tcBorders>
              <w:top w:val="nil"/>
              <w:bottom w:val="single" w:sz="4" w:space="0" w:color="auto"/>
            </w:tcBorders>
          </w:tcPr>
          <w:p w14:paraId="5EDB3172" w14:textId="77777777" w:rsidR="009956AD" w:rsidRPr="00AC04B2" w:rsidRDefault="009956AD" w:rsidP="00204BDB">
            <w:pPr>
              <w:pStyle w:val="TableBodySmall"/>
            </w:pPr>
            <w:r>
              <w:t>Investigate phasing out the</w:t>
            </w:r>
            <w:r w:rsidRPr="00AC04B2">
              <w:t xml:space="preserve"> private patient correction factor.</w:t>
            </w:r>
          </w:p>
        </w:tc>
        <w:tc>
          <w:tcPr>
            <w:tcW w:w="1274" w:type="pct"/>
            <w:tcBorders>
              <w:top w:val="nil"/>
              <w:bottom w:val="single" w:sz="4" w:space="0" w:color="auto"/>
            </w:tcBorders>
          </w:tcPr>
          <w:p w14:paraId="1A04CDDD" w14:textId="77777777" w:rsidR="009956AD" w:rsidRPr="00AC04B2" w:rsidRDefault="009956AD" w:rsidP="00204BDB">
            <w:pPr>
              <w:pStyle w:val="TableBodySmall"/>
            </w:pPr>
            <w:r>
              <w:t>Ongoing</w:t>
            </w:r>
          </w:p>
        </w:tc>
      </w:tr>
    </w:tbl>
    <w:p w14:paraId="36AA8D37" w14:textId="77777777" w:rsidR="009956AD" w:rsidRDefault="009956AD" w:rsidP="009956AD">
      <w:pPr>
        <w:pStyle w:val="IntroBody"/>
      </w:pPr>
    </w:p>
    <w:p w14:paraId="47F85085" w14:textId="77777777" w:rsidR="009956AD" w:rsidRPr="00AC04B2" w:rsidRDefault="009956AD" w:rsidP="009956AD">
      <w:pPr>
        <w:pStyle w:val="IntroBody"/>
      </w:pPr>
      <w:r w:rsidRPr="00AC04B2">
        <w:t xml:space="preserve">The collection of private patient medical expenses has previously been problematic in the NHCDC. For example, there is a common practice in some </w:t>
      </w:r>
      <w:r>
        <w:t>states and territories</w:t>
      </w:r>
      <w:r w:rsidRPr="00AC04B2">
        <w:t xml:space="preserve"> of using Special Purpose Funds to collect associated revenue (such as the Medicare Benefits Schedule) and reimburse medical practitioners.</w:t>
      </w:r>
    </w:p>
    <w:p w14:paraId="1C35DA7B" w14:textId="77777777" w:rsidR="009956AD" w:rsidRDefault="009956AD" w:rsidP="009956AD">
      <w:pPr>
        <w:pStyle w:val="Body"/>
      </w:pPr>
      <w:r w:rsidRPr="00AC04B2">
        <w:t xml:space="preserve">The private patient correction factor was introduced as an interim solution for the issue of missing private patient costs in the NHCDC. Submissions in response to previous consultation papers on the Pricing Framework for </w:t>
      </w:r>
      <w:bookmarkEnd w:id="76"/>
      <w:r w:rsidRPr="00AC04B2">
        <w:t xml:space="preserve">Australian Public Hospital Services have supported phasing out the private patient correction factor when feasible and the correction factor was removed for the Northern Territory for the National Efficient Price Determination 2021–22. </w:t>
      </w:r>
    </w:p>
    <w:p w14:paraId="590B6431" w14:textId="3FC2921D" w:rsidR="009956AD" w:rsidRDefault="009956AD" w:rsidP="009956AD">
      <w:pPr>
        <w:pStyle w:val="Body"/>
      </w:pPr>
      <w:r>
        <w:t>In 202</w:t>
      </w:r>
      <w:r w:rsidR="00320762">
        <w:t>6</w:t>
      </w:r>
      <w:r>
        <w:t>–2</w:t>
      </w:r>
      <w:r w:rsidR="00320762">
        <w:t>7</w:t>
      </w:r>
      <w:r>
        <w:t xml:space="preserve">, </w:t>
      </w:r>
      <w:r w:rsidRPr="008E165D">
        <w:t>IHACPA will continue to evaluate the private patient correction factor and remove it where appropriate</w:t>
      </w:r>
      <w:r>
        <w:t>.</w:t>
      </w:r>
    </w:p>
    <w:p w14:paraId="641C0A2C" w14:textId="79E9BC3E" w:rsidR="00B412A6" w:rsidRPr="0084434E" w:rsidRDefault="00B412A6" w:rsidP="00A82A87">
      <w:pPr>
        <w:pStyle w:val="H4"/>
      </w:pPr>
      <w:bookmarkStart w:id="77" w:name="_Toc55045646"/>
      <w:bookmarkStart w:id="78" w:name="_Toc55054017"/>
      <w:bookmarkStart w:id="79" w:name="_Toc55237237"/>
      <w:bookmarkStart w:id="80" w:name="_Toc55238324"/>
      <w:bookmarkStart w:id="81" w:name="_Toc55974142"/>
      <w:r w:rsidRPr="0084434E">
        <w:t>Data compliance</w:t>
      </w:r>
      <w:bookmarkEnd w:id="77"/>
      <w:bookmarkEnd w:id="78"/>
      <w:bookmarkEnd w:id="79"/>
      <w:bookmarkEnd w:id="80"/>
      <w:bookmarkEnd w:id="8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B412A6" w:rsidRPr="00AC04B2" w14:paraId="79649D8E" w14:textId="77777777" w:rsidTr="006E29F6">
        <w:tc>
          <w:tcPr>
            <w:tcW w:w="3726" w:type="pct"/>
            <w:tcBorders>
              <w:top w:val="nil"/>
              <w:bottom w:val="nil"/>
            </w:tcBorders>
            <w:shd w:val="clear" w:color="auto" w:fill="379887" w:themeFill="background1" w:themeFillShade="BF"/>
            <w:vAlign w:val="center"/>
          </w:tcPr>
          <w:p w14:paraId="22BF1480" w14:textId="77777777" w:rsidR="00B412A6" w:rsidRPr="00AC04B2" w:rsidRDefault="00B412A6" w:rsidP="00204BDB">
            <w:pPr>
              <w:pStyle w:val="TableHeading"/>
            </w:pPr>
            <w:r w:rsidRPr="00AC04B2">
              <w:t>Deliverable</w:t>
            </w:r>
          </w:p>
        </w:tc>
        <w:tc>
          <w:tcPr>
            <w:tcW w:w="1274" w:type="pct"/>
            <w:tcBorders>
              <w:top w:val="nil"/>
              <w:bottom w:val="nil"/>
            </w:tcBorders>
            <w:shd w:val="clear" w:color="auto" w:fill="379887" w:themeFill="background1" w:themeFillShade="BF"/>
            <w:vAlign w:val="center"/>
          </w:tcPr>
          <w:p w14:paraId="1782362A" w14:textId="77777777" w:rsidR="00B412A6" w:rsidRPr="00AC04B2" w:rsidRDefault="00B412A6" w:rsidP="00204BDB">
            <w:pPr>
              <w:pStyle w:val="TableHeading"/>
            </w:pPr>
            <w:r w:rsidRPr="00AC04B2">
              <w:t>Timeframe</w:t>
            </w:r>
          </w:p>
        </w:tc>
      </w:tr>
      <w:tr w:rsidR="00B412A6" w:rsidRPr="00AC04B2" w14:paraId="72D57D5F" w14:textId="77777777" w:rsidTr="00204BDB">
        <w:trPr>
          <w:trHeight w:val="236"/>
        </w:trPr>
        <w:tc>
          <w:tcPr>
            <w:tcW w:w="3726" w:type="pct"/>
            <w:tcBorders>
              <w:top w:val="nil"/>
              <w:bottom w:val="single" w:sz="4" w:space="0" w:color="auto"/>
            </w:tcBorders>
          </w:tcPr>
          <w:p w14:paraId="23FD488C" w14:textId="21C4908D" w:rsidR="00B412A6" w:rsidRPr="00AC04B2" w:rsidRDefault="00B412A6" w:rsidP="00204BDB">
            <w:pPr>
              <w:pStyle w:val="TableBodySmall"/>
            </w:pPr>
            <w:r w:rsidRPr="00AC04B2">
              <w:t>Publish data compliance report</w:t>
            </w:r>
            <w:r w:rsidR="001A794C">
              <w:t>s</w:t>
            </w:r>
            <w:r w:rsidRPr="00AC04B2">
              <w:t xml:space="preserve"> quarter</w:t>
            </w:r>
            <w:r w:rsidR="001A794C">
              <w:t>ly for</w:t>
            </w:r>
            <w:r w:rsidRPr="00AC04B2">
              <w:t xml:space="preserve"> 202</w:t>
            </w:r>
            <w:r w:rsidR="00660B80">
              <w:t>6</w:t>
            </w:r>
            <w:r w:rsidR="004B2B13">
              <w:t>–27</w:t>
            </w:r>
            <w:r w:rsidR="00B1417E">
              <w:t xml:space="preserve"> ABF activity data and 2025–26 NHCDC data</w:t>
            </w:r>
            <w:r w:rsidRPr="00AC04B2">
              <w:t>.</w:t>
            </w:r>
          </w:p>
        </w:tc>
        <w:tc>
          <w:tcPr>
            <w:tcW w:w="1274" w:type="pct"/>
            <w:tcBorders>
              <w:top w:val="nil"/>
              <w:bottom w:val="single" w:sz="4" w:space="0" w:color="auto"/>
            </w:tcBorders>
          </w:tcPr>
          <w:p w14:paraId="46D4F55B" w14:textId="072D8CBE" w:rsidR="00B412A6" w:rsidRPr="00AC04B2" w:rsidRDefault="003622A4" w:rsidP="00204BDB">
            <w:pPr>
              <w:pStyle w:val="TableBodySmall"/>
            </w:pPr>
            <w:r>
              <w:t>Quarterly</w:t>
            </w:r>
          </w:p>
        </w:tc>
      </w:tr>
    </w:tbl>
    <w:p w14:paraId="232CD5A5" w14:textId="77777777" w:rsidR="00B412A6" w:rsidRDefault="00B412A6" w:rsidP="00B412A6">
      <w:pPr>
        <w:pStyle w:val="Body"/>
      </w:pPr>
    </w:p>
    <w:p w14:paraId="0A0CDB4F" w14:textId="2048F94D" w:rsidR="00B412A6" w:rsidRPr="00BD0ECF" w:rsidRDefault="00B412A6" w:rsidP="00B412A6">
      <w:pPr>
        <w:pStyle w:val="Body"/>
        <w:rPr>
          <w:b/>
          <w:bCs/>
        </w:rPr>
      </w:pPr>
      <w:r w:rsidRPr="00BD0ECF">
        <w:rPr>
          <w:b/>
          <w:bCs/>
        </w:rPr>
        <w:t xml:space="preserve">IHACPA publishes details of jurisdictional compliance with data requirements as required by clause B81 of the </w:t>
      </w:r>
      <w:r w:rsidR="0004617F">
        <w:rPr>
          <w:b/>
          <w:bCs/>
        </w:rPr>
        <w:t>addendum</w:t>
      </w:r>
      <w:r w:rsidRPr="00BD0ECF">
        <w:rPr>
          <w:b/>
          <w:bCs/>
        </w:rPr>
        <w:t xml:space="preserve">. Both ABF hospital activity and cost data collections are assessed in accordance with IHACPA’s </w:t>
      </w:r>
      <w:r w:rsidRPr="00497A6E">
        <w:rPr>
          <w:b/>
          <w:bCs/>
        </w:rPr>
        <w:t>Data Compliance Policy</w:t>
      </w:r>
      <w:r w:rsidRPr="00BD0ECF">
        <w:rPr>
          <w:b/>
          <w:bCs/>
        </w:rPr>
        <w:t>. All data compliance reports are publicly available on the IHACPA website.</w:t>
      </w:r>
    </w:p>
    <w:p w14:paraId="2A461A4D" w14:textId="0F41B019" w:rsidR="00B412A6" w:rsidRDefault="00B412A6" w:rsidP="00B412A6">
      <w:pPr>
        <w:pStyle w:val="Body"/>
      </w:pPr>
      <w:r w:rsidRPr="00AC04B2">
        <w:t xml:space="preserve">As outlined in the </w:t>
      </w:r>
      <w:r w:rsidR="00125E07">
        <w:t>addendum</w:t>
      </w:r>
      <w:r>
        <w:t>,</w:t>
      </w:r>
      <w:r w:rsidRPr="00AC04B2">
        <w:t xml:space="preserve"> jurisdictions </w:t>
      </w:r>
      <w:r>
        <w:t>are</w:t>
      </w:r>
      <w:r w:rsidRPr="00AC04B2">
        <w:t xml:space="preserve"> required to provide IHACPA and the Administrator with a ‘Statement of Assurance’ on the completeness and accuracy of approved data submissions. This is outlined in more detail in the </w:t>
      </w:r>
      <w:proofErr w:type="gramStart"/>
      <w:r w:rsidRPr="00AC04B2">
        <w:t>Three Year</w:t>
      </w:r>
      <w:proofErr w:type="gramEnd"/>
      <w:r w:rsidRPr="00AC04B2">
        <w:t xml:space="preserve"> Data Plan.</w:t>
      </w:r>
    </w:p>
    <w:p w14:paraId="1E1EAEED" w14:textId="2DDDC87F" w:rsidR="004D5E44" w:rsidRPr="00E0109F" w:rsidRDefault="004D5E44" w:rsidP="006E29F6">
      <w:pPr>
        <w:pStyle w:val="H4-List"/>
        <w:keepNext/>
        <w:ind w:left="357" w:hanging="357"/>
        <w:rPr>
          <w:rFonts w:ascii="Arial" w:hAnsi="Arial"/>
        </w:rPr>
      </w:pPr>
      <w:bookmarkStart w:id="82" w:name="_Hlk189065389"/>
      <w:r w:rsidRPr="00E0109F">
        <w:rPr>
          <w:rFonts w:ascii="Arial" w:hAnsi="Arial"/>
        </w:rPr>
        <w:t xml:space="preserve">Data </w:t>
      </w:r>
      <w:r w:rsidR="00A94BD5" w:rsidRPr="00E0109F">
        <w:rPr>
          <w:rFonts w:ascii="Arial" w:hAnsi="Arial"/>
        </w:rPr>
        <w:t>sharing arrangements with Australian Government agencies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4D5E44" w:rsidRPr="00E0109F" w14:paraId="1B0736F4" w14:textId="4D9C8C0B" w:rsidTr="006E29F6">
        <w:tc>
          <w:tcPr>
            <w:tcW w:w="3726" w:type="pct"/>
            <w:tcBorders>
              <w:top w:val="nil"/>
              <w:bottom w:val="nil"/>
            </w:tcBorders>
            <w:shd w:val="clear" w:color="auto" w:fill="379887" w:themeFill="background1" w:themeFillShade="BF"/>
            <w:vAlign w:val="center"/>
          </w:tcPr>
          <w:p w14:paraId="1A298E05" w14:textId="6E29E0BF" w:rsidR="004D5E44" w:rsidRPr="00E0109F" w:rsidRDefault="004D5E44" w:rsidP="009C78D3">
            <w:pPr>
              <w:pStyle w:val="TableHeading"/>
              <w:keepNext/>
            </w:pPr>
            <w:r w:rsidRPr="00E0109F">
              <w:t>Deliverable</w:t>
            </w:r>
          </w:p>
        </w:tc>
        <w:tc>
          <w:tcPr>
            <w:tcW w:w="1274" w:type="pct"/>
            <w:tcBorders>
              <w:top w:val="nil"/>
              <w:bottom w:val="nil"/>
            </w:tcBorders>
            <w:shd w:val="clear" w:color="auto" w:fill="379887" w:themeFill="background1" w:themeFillShade="BF"/>
            <w:vAlign w:val="center"/>
          </w:tcPr>
          <w:p w14:paraId="473A1A13" w14:textId="2DC73081" w:rsidR="004D5E44" w:rsidRPr="00E0109F" w:rsidRDefault="004D5E44" w:rsidP="009C78D3">
            <w:pPr>
              <w:pStyle w:val="TableHeading"/>
              <w:keepNext/>
            </w:pPr>
            <w:r w:rsidRPr="00E0109F">
              <w:t>Timeframe</w:t>
            </w:r>
          </w:p>
        </w:tc>
      </w:tr>
      <w:tr w:rsidR="004D5E44" w:rsidRPr="00E0109F" w14:paraId="440F8495" w14:textId="29AAEFF8" w:rsidTr="00B1417E">
        <w:trPr>
          <w:trHeight w:val="236"/>
        </w:trPr>
        <w:tc>
          <w:tcPr>
            <w:tcW w:w="3726" w:type="pct"/>
            <w:tcBorders>
              <w:top w:val="nil"/>
              <w:bottom w:val="single" w:sz="4" w:space="0" w:color="auto"/>
            </w:tcBorders>
          </w:tcPr>
          <w:p w14:paraId="7ED3DF44" w14:textId="2958C919" w:rsidR="00852E6E" w:rsidRPr="00E0109F" w:rsidRDefault="00A94BD5" w:rsidP="009C78D3">
            <w:pPr>
              <w:pStyle w:val="TableBodySmall"/>
              <w:keepNext/>
            </w:pPr>
            <w:r w:rsidRPr="00E0109F">
              <w:t>Work collaboratively with relevant Australian Government agencies to enhance data sharing arrangements to support the development of the NEP and NEC</w:t>
            </w:r>
          </w:p>
        </w:tc>
        <w:tc>
          <w:tcPr>
            <w:tcW w:w="1274" w:type="pct"/>
            <w:tcBorders>
              <w:top w:val="nil"/>
              <w:bottom w:val="single" w:sz="4" w:space="0" w:color="auto"/>
            </w:tcBorders>
          </w:tcPr>
          <w:p w14:paraId="21292F7D" w14:textId="4E278472" w:rsidR="004D5E44" w:rsidRPr="00E0109F" w:rsidRDefault="00A94BD5" w:rsidP="009C78D3">
            <w:pPr>
              <w:pStyle w:val="TableBodySmall"/>
              <w:keepNext/>
            </w:pPr>
            <w:r w:rsidRPr="00E0109F">
              <w:t>Ongoing</w:t>
            </w:r>
          </w:p>
        </w:tc>
      </w:tr>
    </w:tbl>
    <w:p w14:paraId="225E2E7C" w14:textId="193F0550" w:rsidR="004D5E44" w:rsidRPr="00E0109F" w:rsidRDefault="004D5E44" w:rsidP="009C78D3">
      <w:pPr>
        <w:pStyle w:val="Body"/>
        <w:keepNext/>
      </w:pPr>
    </w:p>
    <w:p w14:paraId="122A032C" w14:textId="0372FF46" w:rsidR="004D5E44" w:rsidRPr="00E0109F" w:rsidRDefault="00A94BD5" w:rsidP="004D5E44">
      <w:pPr>
        <w:pStyle w:val="Body"/>
        <w:rPr>
          <w:b/>
          <w:bCs/>
        </w:rPr>
      </w:pPr>
      <w:r w:rsidRPr="00E0109F">
        <w:rPr>
          <w:b/>
          <w:bCs/>
        </w:rPr>
        <w:t>To undertake its functions, IHACPA receives data from Australian Government agencies, state and territory governments and some private hospitals in accordance with the NHR Act</w:t>
      </w:r>
      <w:r w:rsidR="004D5E44" w:rsidRPr="00E0109F">
        <w:rPr>
          <w:b/>
          <w:bCs/>
        </w:rPr>
        <w:t>.</w:t>
      </w:r>
    </w:p>
    <w:p w14:paraId="479F10DD" w14:textId="41E16A97" w:rsidR="00A94BD5" w:rsidRPr="00E0109F" w:rsidRDefault="004D5E44" w:rsidP="00A94BD5">
      <w:pPr>
        <w:pStyle w:val="Body"/>
      </w:pPr>
      <w:r w:rsidRPr="00E0109F">
        <w:t>In 202</w:t>
      </w:r>
      <w:r w:rsidR="00A94BD5" w:rsidRPr="00E0109F">
        <w:t>6</w:t>
      </w:r>
      <w:r w:rsidRPr="00E0109F">
        <w:t>–2</w:t>
      </w:r>
      <w:r w:rsidR="00A94BD5" w:rsidRPr="00E0109F">
        <w:t>7</w:t>
      </w:r>
      <w:r w:rsidRPr="00E0109F">
        <w:t xml:space="preserve">, IHACPA </w:t>
      </w:r>
      <w:r w:rsidR="00A94BD5" w:rsidRPr="00E0109F">
        <w:t xml:space="preserve">will continue to work with the Australian Government Department of Health, Disability and Ageing on data sharing of </w:t>
      </w:r>
      <w:r w:rsidR="00C76704" w:rsidRPr="00E0109F">
        <w:t xml:space="preserve">the </w:t>
      </w:r>
      <w:r w:rsidR="00A94BD5" w:rsidRPr="00E0109F">
        <w:t xml:space="preserve">Medicare Benefits Schedule, Pharmaceutical Benefits Scheme, Private Hospital Data Bureau and Hospital </w:t>
      </w:r>
      <w:proofErr w:type="spellStart"/>
      <w:r w:rsidR="00A94BD5" w:rsidRPr="00E0109F">
        <w:t>Casemix</w:t>
      </w:r>
      <w:proofErr w:type="spellEnd"/>
      <w:r w:rsidR="00A94BD5" w:rsidRPr="00E0109F">
        <w:t xml:space="preserve"> Protocol data collections. IHACPA will also continue to work with Services Australia on sharing Medicare PIN data (‘Submission B’ data file), and with the Australian Institute of Health and Welfare on sharing Local hospital networks/Public hospital establishments data.</w:t>
      </w:r>
    </w:p>
    <w:bookmarkEnd w:id="82"/>
    <w:p w14:paraId="404AC082" w14:textId="77777777" w:rsidR="003900E2" w:rsidRDefault="003900E2">
      <w:pPr>
        <w:rPr>
          <w:rFonts w:asciiTheme="majorHAnsi" w:hAnsiTheme="majorHAnsi" w:cs="Arial"/>
          <w:color w:val="379887" w:themeColor="accent5" w:themeShade="BF"/>
          <w:sz w:val="36"/>
          <w:szCs w:val="36"/>
        </w:rPr>
      </w:pPr>
      <w:r>
        <w:rPr>
          <w:color w:val="379887" w:themeColor="accent5" w:themeShade="BF"/>
        </w:rPr>
        <w:br w:type="page"/>
      </w:r>
    </w:p>
    <w:p w14:paraId="17A13C1B" w14:textId="74321489" w:rsidR="00216BC6" w:rsidRPr="00AC0E9F" w:rsidRDefault="00216BC6" w:rsidP="00D05BDE">
      <w:pPr>
        <w:pStyle w:val="H2"/>
      </w:pPr>
      <w:bookmarkStart w:id="83" w:name="_Toc223594820"/>
      <w:r w:rsidRPr="00AC0E9F">
        <w:lastRenderedPageBreak/>
        <w:t>2.</w:t>
      </w:r>
      <w:r w:rsidR="00ED1A85" w:rsidRPr="00AC0E9F">
        <w:t>3</w:t>
      </w:r>
      <w:r w:rsidRPr="00AC0E9F">
        <w:tab/>
        <w:t>Classifications</w:t>
      </w:r>
      <w:bookmarkEnd w:id="83"/>
    </w:p>
    <w:p w14:paraId="65A1264A" w14:textId="4DD5C407" w:rsidR="001D66D0" w:rsidRPr="007D0351" w:rsidRDefault="00755436" w:rsidP="006A7A86">
      <w:pPr>
        <w:pStyle w:val="H4-List"/>
        <w:keepNext/>
        <w:numPr>
          <w:ilvl w:val="0"/>
          <w:numId w:val="14"/>
        </w:numPr>
        <w:ind w:left="357" w:hanging="357"/>
        <w:rPr>
          <w:rFonts w:ascii="Arial" w:hAnsi="Arial"/>
        </w:rPr>
      </w:pPr>
      <w:r w:rsidRPr="007D0351">
        <w:rPr>
          <w:rFonts w:ascii="Arial" w:hAnsi="Arial"/>
        </w:rPr>
        <w:t>Admitted acute care</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AC04B2" w14:paraId="19FC96C2" w14:textId="77777777" w:rsidTr="00D34028">
        <w:tc>
          <w:tcPr>
            <w:tcW w:w="3726" w:type="pct"/>
            <w:tcBorders>
              <w:top w:val="nil"/>
              <w:bottom w:val="nil"/>
            </w:tcBorders>
            <w:shd w:val="clear" w:color="auto" w:fill="379887" w:themeFill="accent5" w:themeFillShade="BF"/>
            <w:vAlign w:val="center"/>
          </w:tcPr>
          <w:p w14:paraId="6B9B6899" w14:textId="4A98AD30" w:rsidR="00C27B65" w:rsidRPr="00AC04B2" w:rsidRDefault="00FF0E74" w:rsidP="006A7A86">
            <w:pPr>
              <w:pStyle w:val="TableHeading"/>
              <w:keepNext/>
            </w:pPr>
            <w:r w:rsidRPr="00AC04B2">
              <w:t>Deliverable</w:t>
            </w:r>
          </w:p>
        </w:tc>
        <w:tc>
          <w:tcPr>
            <w:tcW w:w="1274" w:type="pct"/>
            <w:tcBorders>
              <w:top w:val="nil"/>
              <w:bottom w:val="nil"/>
            </w:tcBorders>
            <w:shd w:val="clear" w:color="auto" w:fill="379887" w:themeFill="accent5" w:themeFillShade="BF"/>
            <w:vAlign w:val="center"/>
          </w:tcPr>
          <w:p w14:paraId="4408A05B" w14:textId="662FB65F" w:rsidR="00C27B65" w:rsidRPr="00AC04B2" w:rsidRDefault="00FF0E74" w:rsidP="006A7A86">
            <w:pPr>
              <w:pStyle w:val="TableHeading"/>
              <w:keepNext/>
            </w:pPr>
            <w:r w:rsidRPr="00AC04B2">
              <w:t>Timeframe</w:t>
            </w:r>
          </w:p>
        </w:tc>
      </w:tr>
      <w:tr w:rsidR="00755436" w:rsidRPr="00AC04B2" w14:paraId="3DD04B77" w14:textId="77777777" w:rsidTr="00C27B65">
        <w:trPr>
          <w:trHeight w:val="290"/>
        </w:trPr>
        <w:tc>
          <w:tcPr>
            <w:tcW w:w="3726" w:type="pct"/>
            <w:tcBorders>
              <w:top w:val="nil"/>
              <w:bottom w:val="single" w:sz="4" w:space="0" w:color="auto"/>
            </w:tcBorders>
          </w:tcPr>
          <w:p w14:paraId="0A303FD6" w14:textId="0F67AD9E" w:rsidR="00755436" w:rsidRPr="00AC04B2" w:rsidRDefault="00A74871" w:rsidP="006A7A86">
            <w:pPr>
              <w:pStyle w:val="TableBodySmall"/>
              <w:keepNext/>
            </w:pPr>
            <w:r>
              <w:t xml:space="preserve">Commence development of </w:t>
            </w:r>
            <w:r w:rsidR="00755436" w:rsidRPr="00AC04B2">
              <w:t xml:space="preserve">the International Statistical Classification of Diseases and Related Health Problems, Tenth Revision, Australian Modification, Australian Classification of Health Interventions and Australian Coding Standards </w:t>
            </w:r>
            <w:r w:rsidR="007277E1">
              <w:t>Fourteenth</w:t>
            </w:r>
            <w:r w:rsidR="007277E1" w:rsidRPr="00AC04B2">
              <w:t xml:space="preserve"> </w:t>
            </w:r>
            <w:r w:rsidR="00755436" w:rsidRPr="00AC04B2">
              <w:t>Edition.</w:t>
            </w:r>
          </w:p>
        </w:tc>
        <w:tc>
          <w:tcPr>
            <w:tcW w:w="1274" w:type="pct"/>
            <w:tcBorders>
              <w:top w:val="nil"/>
              <w:bottom w:val="single" w:sz="4" w:space="0" w:color="auto"/>
            </w:tcBorders>
          </w:tcPr>
          <w:p w14:paraId="780DA06C" w14:textId="5E94593C" w:rsidR="00755436" w:rsidRPr="00AC04B2" w:rsidRDefault="000D5BFA" w:rsidP="006A7A86">
            <w:pPr>
              <w:pStyle w:val="TableBodySmall"/>
              <w:keepNext/>
            </w:pPr>
            <w:r>
              <w:t>June 202</w:t>
            </w:r>
            <w:r w:rsidR="003622A4">
              <w:t>7</w:t>
            </w:r>
          </w:p>
        </w:tc>
      </w:tr>
      <w:tr w:rsidR="00755436" w:rsidRPr="00AC04B2" w14:paraId="305E81F9" w14:textId="77777777" w:rsidTr="00C27B65">
        <w:trPr>
          <w:trHeight w:val="290"/>
        </w:trPr>
        <w:tc>
          <w:tcPr>
            <w:tcW w:w="3726" w:type="pct"/>
            <w:tcBorders>
              <w:top w:val="single" w:sz="4" w:space="0" w:color="auto"/>
              <w:bottom w:val="single" w:sz="4" w:space="0" w:color="auto"/>
            </w:tcBorders>
          </w:tcPr>
          <w:p w14:paraId="7AEBF45C" w14:textId="668D60E8" w:rsidR="00755436" w:rsidRPr="00AC04B2" w:rsidRDefault="007277E1" w:rsidP="006A7A86">
            <w:pPr>
              <w:pStyle w:val="TableBodySmall"/>
              <w:keepNext/>
            </w:pPr>
            <w:r>
              <w:t xml:space="preserve">Commence development of </w:t>
            </w:r>
            <w:r w:rsidR="00755436" w:rsidRPr="00AC04B2">
              <w:t xml:space="preserve">the </w:t>
            </w:r>
            <w:bookmarkStart w:id="84" w:name="_Hlk119601911"/>
            <w:r w:rsidR="00755436" w:rsidRPr="00AC04B2">
              <w:t>Australian Refined Diagnosis Related Groups Version</w:t>
            </w:r>
            <w:bookmarkEnd w:id="84"/>
            <w:r w:rsidR="009D65B8" w:rsidRPr="00AC04B2">
              <w:t> </w:t>
            </w:r>
            <w:r w:rsidR="00755436" w:rsidRPr="00AC04B2">
              <w:t>1</w:t>
            </w:r>
            <w:r>
              <w:t>3</w:t>
            </w:r>
            <w:r w:rsidR="00755436" w:rsidRPr="00AC04B2">
              <w:t>.0.</w:t>
            </w:r>
          </w:p>
        </w:tc>
        <w:tc>
          <w:tcPr>
            <w:tcW w:w="1274" w:type="pct"/>
            <w:tcBorders>
              <w:top w:val="single" w:sz="4" w:space="0" w:color="auto"/>
              <w:bottom w:val="single" w:sz="4" w:space="0" w:color="auto"/>
            </w:tcBorders>
          </w:tcPr>
          <w:p w14:paraId="490A6F59" w14:textId="4274DE02" w:rsidR="00755436" w:rsidRPr="00AC04B2" w:rsidRDefault="000D5BFA" w:rsidP="006A7A86">
            <w:pPr>
              <w:pStyle w:val="TableBodySmall"/>
              <w:keepNext/>
            </w:pPr>
            <w:r>
              <w:t>Ju</w:t>
            </w:r>
            <w:r w:rsidR="00B1417E">
              <w:t>ne</w:t>
            </w:r>
            <w:r>
              <w:t xml:space="preserve"> 2027</w:t>
            </w:r>
          </w:p>
        </w:tc>
      </w:tr>
    </w:tbl>
    <w:p w14:paraId="0C6040FE" w14:textId="77777777" w:rsidR="000362C5" w:rsidRDefault="000362C5" w:rsidP="00F00D91">
      <w:pPr>
        <w:pStyle w:val="Body"/>
      </w:pPr>
    </w:p>
    <w:p w14:paraId="772162AF" w14:textId="108D21E5" w:rsidR="00FC2C52" w:rsidRPr="000362C5" w:rsidRDefault="00755436" w:rsidP="000362C5">
      <w:pPr>
        <w:pStyle w:val="Body"/>
        <w:rPr>
          <w:b/>
          <w:bCs/>
        </w:rPr>
      </w:pPr>
      <w:r w:rsidRPr="000362C5">
        <w:rPr>
          <w:b/>
          <w:bCs/>
        </w:rPr>
        <w:t xml:space="preserve">The classification system used for admitted </w:t>
      </w:r>
      <w:r w:rsidR="00DA1515" w:rsidRPr="000362C5">
        <w:rPr>
          <w:b/>
          <w:bCs/>
        </w:rPr>
        <w:t xml:space="preserve">acute </w:t>
      </w:r>
      <w:r w:rsidRPr="000362C5">
        <w:rPr>
          <w:b/>
          <w:bCs/>
        </w:rPr>
        <w:t xml:space="preserve">care is the </w:t>
      </w:r>
      <w:r w:rsidR="00DA1515" w:rsidRPr="000362C5">
        <w:rPr>
          <w:b/>
          <w:bCs/>
        </w:rPr>
        <w:t xml:space="preserve">Australian Refined Diagnosis Related Groups (AR-DRG) </w:t>
      </w:r>
      <w:r w:rsidR="000C78FD" w:rsidRPr="000362C5">
        <w:rPr>
          <w:b/>
          <w:bCs/>
        </w:rPr>
        <w:t>c</w:t>
      </w:r>
      <w:r w:rsidR="00DA1515" w:rsidRPr="000362C5">
        <w:rPr>
          <w:b/>
          <w:bCs/>
        </w:rPr>
        <w:t xml:space="preserve">lassification, which is underpinned by the </w:t>
      </w:r>
      <w:r w:rsidRPr="000362C5">
        <w:rPr>
          <w:b/>
          <w:bCs/>
        </w:rPr>
        <w:t xml:space="preserve">International Statistical Classification of Diseases and Related Health Problems, Tenth Revision, Australian Modification (ICD-10-AM), </w:t>
      </w:r>
      <w:r w:rsidR="00DA1515" w:rsidRPr="000362C5">
        <w:rPr>
          <w:b/>
          <w:bCs/>
        </w:rPr>
        <w:t xml:space="preserve">the </w:t>
      </w:r>
      <w:r w:rsidRPr="000362C5">
        <w:rPr>
          <w:b/>
          <w:bCs/>
        </w:rPr>
        <w:t xml:space="preserve">Australian Classification of Health Interventions (ACHI) and </w:t>
      </w:r>
      <w:r w:rsidR="00DA1515" w:rsidRPr="000362C5">
        <w:rPr>
          <w:b/>
          <w:bCs/>
        </w:rPr>
        <w:t xml:space="preserve">the </w:t>
      </w:r>
      <w:r w:rsidRPr="000362C5">
        <w:rPr>
          <w:b/>
          <w:bCs/>
        </w:rPr>
        <w:t>Australian Coding Standards (ACS)</w:t>
      </w:r>
      <w:r w:rsidR="00DA1515" w:rsidRPr="000362C5">
        <w:rPr>
          <w:b/>
          <w:bCs/>
        </w:rPr>
        <w:t>,</w:t>
      </w:r>
      <w:r w:rsidRPr="000362C5">
        <w:rPr>
          <w:b/>
          <w:bCs/>
        </w:rPr>
        <w:t xml:space="preserve"> collectively </w:t>
      </w:r>
      <w:r w:rsidR="00DA1515" w:rsidRPr="000362C5">
        <w:rPr>
          <w:b/>
          <w:bCs/>
        </w:rPr>
        <w:t>known</w:t>
      </w:r>
      <w:r w:rsidRPr="000362C5">
        <w:rPr>
          <w:b/>
          <w:bCs/>
        </w:rPr>
        <w:t xml:space="preserve"> as ICD-10-AM/ACHI/ACS. </w:t>
      </w:r>
      <w:r w:rsidR="00EE745F">
        <w:rPr>
          <w:b/>
          <w:bCs/>
        </w:rPr>
        <w:t xml:space="preserve">These classifications are refined over a </w:t>
      </w:r>
      <w:proofErr w:type="gramStart"/>
      <w:r w:rsidR="00B20E4E">
        <w:rPr>
          <w:b/>
          <w:bCs/>
        </w:rPr>
        <w:t xml:space="preserve">3 </w:t>
      </w:r>
      <w:r w:rsidR="00EE745F">
        <w:rPr>
          <w:b/>
          <w:bCs/>
        </w:rPr>
        <w:t>year</w:t>
      </w:r>
      <w:proofErr w:type="gramEnd"/>
      <w:r w:rsidR="00EE745F">
        <w:rPr>
          <w:b/>
          <w:bCs/>
        </w:rPr>
        <w:t xml:space="preserve"> development cycle.</w:t>
      </w:r>
    </w:p>
    <w:p w14:paraId="49D60BD9" w14:textId="6D8B3AFD" w:rsidR="00575AAD" w:rsidRDefault="00404EAA" w:rsidP="00A5329D">
      <w:pPr>
        <w:pStyle w:val="Body"/>
      </w:pPr>
      <w:r w:rsidDel="00C44F5F">
        <w:t>ICD</w:t>
      </w:r>
      <w:r w:rsidR="00765313" w:rsidDel="00C44F5F">
        <w:t>-</w:t>
      </w:r>
      <w:r w:rsidDel="00C44F5F">
        <w:t>10</w:t>
      </w:r>
      <w:r w:rsidR="00765313" w:rsidDel="00C44F5F">
        <w:t>-</w:t>
      </w:r>
      <w:r w:rsidDel="00C44F5F">
        <w:t xml:space="preserve">AM/ACHI/ACS Thirteenth Edition </w:t>
      </w:r>
      <w:r w:rsidR="00C44F5F">
        <w:t>was</w:t>
      </w:r>
      <w:r w:rsidDel="00C44F5F">
        <w:t xml:space="preserve"> implement</w:t>
      </w:r>
      <w:r w:rsidR="00C44F5F">
        <w:t>ed</w:t>
      </w:r>
      <w:r w:rsidR="00615CD2" w:rsidDel="00C44F5F">
        <w:t xml:space="preserve"> from</w:t>
      </w:r>
      <w:r w:rsidDel="00C44F5F">
        <w:t xml:space="preserve"> 1</w:t>
      </w:r>
      <w:r w:rsidR="00765313" w:rsidDel="00C44F5F">
        <w:t> </w:t>
      </w:r>
      <w:r w:rsidDel="00C44F5F">
        <w:t>July 2025</w:t>
      </w:r>
      <w:r w:rsidR="00615CD2" w:rsidDel="00C44F5F">
        <w:t xml:space="preserve">. AR-DRG </w:t>
      </w:r>
      <w:r w:rsidR="00BD1FBD" w:rsidDel="00C44F5F">
        <w:t xml:space="preserve">V12.0 </w:t>
      </w:r>
      <w:r w:rsidR="00C44F5F">
        <w:t>was</w:t>
      </w:r>
      <w:r w:rsidR="00E07435" w:rsidDel="00C44F5F">
        <w:t xml:space="preserve"> release</w:t>
      </w:r>
      <w:r w:rsidR="008D4F8A" w:rsidDel="00C44F5F">
        <w:t>d</w:t>
      </w:r>
      <w:r w:rsidR="00BD1FBD" w:rsidDel="00C44F5F">
        <w:t xml:space="preserve"> </w:t>
      </w:r>
      <w:r w:rsidR="008D4F8A" w:rsidDel="00C44F5F">
        <w:t>in</w:t>
      </w:r>
      <w:r w:rsidR="00BD1FBD" w:rsidDel="00C44F5F">
        <w:t xml:space="preserve"> July</w:t>
      </w:r>
      <w:r w:rsidR="004927FA" w:rsidDel="00C44F5F">
        <w:t xml:space="preserve"> </w:t>
      </w:r>
      <w:r w:rsidR="00BD1FBD" w:rsidDel="00C44F5F">
        <w:t xml:space="preserve">2025 and </w:t>
      </w:r>
      <w:r w:rsidR="00E31DE9">
        <w:t xml:space="preserve">is </w:t>
      </w:r>
      <w:r w:rsidR="00976580">
        <w:t>expected</w:t>
      </w:r>
      <w:r w:rsidR="00E31DE9">
        <w:t xml:space="preserve"> to be </w:t>
      </w:r>
      <w:r w:rsidR="00BD1FBD" w:rsidDel="00C44F5F">
        <w:t>used for pricing from 1 July 2026</w:t>
      </w:r>
      <w:r w:rsidR="00BD1FBD">
        <w:t>.</w:t>
      </w:r>
      <w:r>
        <w:t xml:space="preserve"> </w:t>
      </w:r>
    </w:p>
    <w:p w14:paraId="54C6CA41" w14:textId="479823E1" w:rsidR="00B1417E" w:rsidRPr="00AC04B2" w:rsidRDefault="00B1417E" w:rsidP="009C78D3">
      <w:pPr>
        <w:pStyle w:val="Body"/>
        <w:keepLines/>
      </w:pPr>
      <w:r>
        <w:t xml:space="preserve">In 2026–27, IHACPA will commence development of </w:t>
      </w:r>
      <w:r w:rsidRPr="00B1417E">
        <w:t>ICD-10-AM/ACHI/ACS</w:t>
      </w:r>
      <w:r>
        <w:t xml:space="preserve"> Fourteenth Edition and AR-DRG Version 13.0</w:t>
      </w:r>
      <w:r w:rsidR="009C23A9">
        <w:t xml:space="preserve">. </w:t>
      </w:r>
      <w:r w:rsidR="009C23A9" w:rsidRPr="00B1417E">
        <w:t>ICD-10-AM/ACHI/ACS</w:t>
      </w:r>
      <w:r w:rsidR="009C23A9">
        <w:t xml:space="preserve"> Fourteenth Edition is intended to be completed by June 2028 and implemented from 1 July 2028, and AR-DRG Version 13.0 is intended to be released in July 2028 and implemented from 1 July 2029.</w:t>
      </w:r>
    </w:p>
    <w:p w14:paraId="2933872F" w14:textId="2F48DEFE" w:rsidR="00C27B65" w:rsidRPr="001657A0" w:rsidRDefault="004B77DE" w:rsidP="00095777">
      <w:pPr>
        <w:pStyle w:val="H4-List"/>
        <w:keepNext/>
        <w:numPr>
          <w:ilvl w:val="0"/>
          <w:numId w:val="14"/>
        </w:numPr>
        <w:ind w:left="357" w:hanging="357"/>
        <w:rPr>
          <w:rFonts w:ascii="Arial" w:hAnsi="Arial"/>
        </w:rPr>
      </w:pPr>
      <w:bookmarkStart w:id="85" w:name="_Toc55045628"/>
      <w:bookmarkStart w:id="86" w:name="_Toc55053999"/>
      <w:bookmarkStart w:id="87" w:name="_Toc55237219"/>
      <w:bookmarkStart w:id="88" w:name="_Toc55238306"/>
      <w:bookmarkStart w:id="89" w:name="_Toc55974124"/>
      <w:r w:rsidRPr="001657A0">
        <w:rPr>
          <w:rFonts w:ascii="Arial" w:hAnsi="Arial"/>
        </w:rPr>
        <w:t>S</w:t>
      </w:r>
      <w:r w:rsidR="00A73127" w:rsidRPr="001657A0">
        <w:rPr>
          <w:rFonts w:ascii="Arial" w:hAnsi="Arial"/>
        </w:rPr>
        <w:t xml:space="preserve">ubacute and </w:t>
      </w:r>
      <w:r w:rsidRPr="001657A0">
        <w:rPr>
          <w:rFonts w:ascii="Arial" w:hAnsi="Arial"/>
        </w:rPr>
        <w:t>n</w:t>
      </w:r>
      <w:r w:rsidR="00A73127" w:rsidRPr="001657A0">
        <w:rPr>
          <w:rFonts w:ascii="Arial" w:hAnsi="Arial"/>
        </w:rPr>
        <w:t>on-</w:t>
      </w:r>
      <w:r w:rsidRPr="001657A0">
        <w:rPr>
          <w:rFonts w:ascii="Arial" w:hAnsi="Arial"/>
        </w:rPr>
        <w:t>a</w:t>
      </w:r>
      <w:r w:rsidR="00A73127" w:rsidRPr="001657A0">
        <w:rPr>
          <w:rFonts w:ascii="Arial" w:hAnsi="Arial"/>
        </w:rPr>
        <w:t xml:space="preserve">cute </w:t>
      </w:r>
      <w:bookmarkEnd w:id="85"/>
      <w:bookmarkEnd w:id="86"/>
      <w:bookmarkEnd w:id="87"/>
      <w:bookmarkEnd w:id="88"/>
      <w:bookmarkEnd w:id="89"/>
      <w:r w:rsidRPr="001657A0">
        <w:rPr>
          <w:rFonts w:ascii="Arial" w:hAnsi="Arial"/>
        </w:rPr>
        <w:t>care</w:t>
      </w:r>
      <w:r w:rsidR="00A73127" w:rsidRPr="001657A0">
        <w:rPr>
          <w:rFonts w:ascii="Arial" w:hAnsi="Arial"/>
        </w:rPr>
        <w:t xml:space="preserv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AC04B2" w14:paraId="3C9C3DE9" w14:textId="77777777" w:rsidTr="00A94BD5">
        <w:tc>
          <w:tcPr>
            <w:tcW w:w="3726" w:type="pct"/>
            <w:tcBorders>
              <w:top w:val="nil"/>
              <w:bottom w:val="nil"/>
            </w:tcBorders>
            <w:shd w:val="clear" w:color="auto" w:fill="379887" w:themeFill="accent5" w:themeFillShade="BF"/>
            <w:vAlign w:val="center"/>
          </w:tcPr>
          <w:p w14:paraId="38D5EA38" w14:textId="39D8148D" w:rsidR="00C27B65" w:rsidRPr="00AC04B2" w:rsidRDefault="00FF0E74" w:rsidP="00A207F8">
            <w:pPr>
              <w:pStyle w:val="TableHeading"/>
            </w:pPr>
            <w:r w:rsidRPr="00AC04B2">
              <w:t>Deliverable</w:t>
            </w:r>
          </w:p>
        </w:tc>
        <w:tc>
          <w:tcPr>
            <w:tcW w:w="1274" w:type="pct"/>
            <w:tcBorders>
              <w:top w:val="nil"/>
              <w:bottom w:val="nil"/>
            </w:tcBorders>
            <w:shd w:val="clear" w:color="auto" w:fill="379887" w:themeFill="accent5" w:themeFillShade="BF"/>
            <w:vAlign w:val="center"/>
          </w:tcPr>
          <w:p w14:paraId="01873F83" w14:textId="5BF5FE70" w:rsidR="00C27B65" w:rsidRPr="00AC04B2" w:rsidRDefault="00FF0E74" w:rsidP="00A207F8">
            <w:pPr>
              <w:pStyle w:val="TableHeading"/>
            </w:pPr>
            <w:r w:rsidRPr="00AC04B2">
              <w:t>Timeframe</w:t>
            </w:r>
          </w:p>
        </w:tc>
      </w:tr>
      <w:tr w:rsidR="00154590" w:rsidRPr="00AC04B2" w14:paraId="177EF30F" w14:textId="77777777" w:rsidTr="00A94BD5">
        <w:trPr>
          <w:trHeight w:val="290"/>
        </w:trPr>
        <w:tc>
          <w:tcPr>
            <w:tcW w:w="3726" w:type="pct"/>
            <w:tcBorders>
              <w:top w:val="nil"/>
              <w:bottom w:val="single" w:sz="4" w:space="0" w:color="auto"/>
            </w:tcBorders>
          </w:tcPr>
          <w:p w14:paraId="3FD927BB" w14:textId="38C3FA98" w:rsidR="00154590" w:rsidRPr="00AC04B2" w:rsidRDefault="009C23A9" w:rsidP="00A207F8">
            <w:pPr>
              <w:pStyle w:val="TableBodySmall"/>
            </w:pPr>
            <w:r>
              <w:t xml:space="preserve">Continue to refine </w:t>
            </w:r>
            <w:r w:rsidR="00154590">
              <w:t>the Australian National Subacute and Non-</w:t>
            </w:r>
            <w:r w:rsidR="000D3D65">
              <w:t xml:space="preserve">Acute </w:t>
            </w:r>
            <w:r w:rsidR="00154590">
              <w:t>Patient Classification</w:t>
            </w:r>
          </w:p>
        </w:tc>
        <w:tc>
          <w:tcPr>
            <w:tcW w:w="1274" w:type="pct"/>
            <w:tcBorders>
              <w:top w:val="nil"/>
              <w:bottom w:val="single" w:sz="4" w:space="0" w:color="auto"/>
            </w:tcBorders>
          </w:tcPr>
          <w:p w14:paraId="08D6120B" w14:textId="440A74CF" w:rsidR="00154590" w:rsidRPr="00AC04B2" w:rsidRDefault="00154590" w:rsidP="00A207F8">
            <w:pPr>
              <w:pStyle w:val="TableBodySmall"/>
            </w:pPr>
            <w:r>
              <w:t>Ongoing</w:t>
            </w:r>
          </w:p>
        </w:tc>
      </w:tr>
    </w:tbl>
    <w:p w14:paraId="65AF100C" w14:textId="77777777" w:rsidR="000362C5" w:rsidRDefault="000362C5" w:rsidP="00F00D91">
      <w:pPr>
        <w:pStyle w:val="Body"/>
      </w:pPr>
    </w:p>
    <w:p w14:paraId="277AAA78" w14:textId="744F9CA5" w:rsidR="00C27B65" w:rsidRPr="000362C5" w:rsidRDefault="004B77DE" w:rsidP="00F00D91">
      <w:pPr>
        <w:pStyle w:val="Body"/>
        <w:rPr>
          <w:b/>
          <w:bCs/>
        </w:rPr>
      </w:pPr>
      <w:r w:rsidRPr="000362C5">
        <w:rPr>
          <w:b/>
          <w:bCs/>
        </w:rPr>
        <w:t>The Australian National Subacute and Non</w:t>
      </w:r>
      <w:r w:rsidRPr="000362C5">
        <w:rPr>
          <w:rFonts w:ascii="Cambria Math" w:hAnsi="Cambria Math" w:cs="Cambria Math"/>
          <w:b/>
          <w:bCs/>
        </w:rPr>
        <w:t>‑</w:t>
      </w:r>
      <w:r w:rsidRPr="000362C5">
        <w:rPr>
          <w:b/>
          <w:bCs/>
        </w:rPr>
        <w:t xml:space="preserve">Acute Patient </w:t>
      </w:r>
      <w:r w:rsidR="002B1DA0" w:rsidRPr="000362C5">
        <w:rPr>
          <w:b/>
          <w:bCs/>
        </w:rPr>
        <w:t xml:space="preserve">Classification </w:t>
      </w:r>
      <w:r w:rsidRPr="000362C5">
        <w:rPr>
          <w:b/>
          <w:bCs/>
        </w:rPr>
        <w:t xml:space="preserve">(AN-SNAP) Version 5.0 was </w:t>
      </w:r>
      <w:r w:rsidR="00D32B60" w:rsidRPr="000362C5">
        <w:rPr>
          <w:b/>
          <w:bCs/>
        </w:rPr>
        <w:t xml:space="preserve">released in </w:t>
      </w:r>
      <w:proofErr w:type="gramStart"/>
      <w:r w:rsidR="00D32B60" w:rsidRPr="000362C5">
        <w:rPr>
          <w:b/>
          <w:bCs/>
        </w:rPr>
        <w:t>December</w:t>
      </w:r>
      <w:r w:rsidR="00E2490E" w:rsidRPr="000362C5">
        <w:rPr>
          <w:b/>
          <w:bCs/>
        </w:rPr>
        <w:t> </w:t>
      </w:r>
      <w:r w:rsidR="00D32B60" w:rsidRPr="000362C5">
        <w:rPr>
          <w:b/>
          <w:bCs/>
        </w:rPr>
        <w:t>2021</w:t>
      </w:r>
      <w:r w:rsidR="001D2733">
        <w:rPr>
          <w:b/>
          <w:bCs/>
        </w:rPr>
        <w:t>, and</w:t>
      </w:r>
      <w:proofErr w:type="gramEnd"/>
      <w:r w:rsidR="001D2733">
        <w:rPr>
          <w:b/>
          <w:bCs/>
        </w:rPr>
        <w:t xml:space="preserve"> has been used to </w:t>
      </w:r>
      <w:r w:rsidR="00BC4BDE">
        <w:rPr>
          <w:b/>
          <w:bCs/>
        </w:rPr>
        <w:t xml:space="preserve">price subacute and non-acute services </w:t>
      </w:r>
      <w:r w:rsidR="007F1CDD">
        <w:rPr>
          <w:b/>
          <w:bCs/>
        </w:rPr>
        <w:t>since 1 July 2024</w:t>
      </w:r>
      <w:r w:rsidR="00E01ED8">
        <w:rPr>
          <w:b/>
          <w:bCs/>
        </w:rPr>
        <w:t>.</w:t>
      </w:r>
      <w:r w:rsidR="00976580">
        <w:rPr>
          <w:b/>
          <w:bCs/>
        </w:rPr>
        <w:t xml:space="preserve"> </w:t>
      </w:r>
    </w:p>
    <w:p w14:paraId="29D14622" w14:textId="081FDB05" w:rsidR="00062387" w:rsidRDefault="00062387" w:rsidP="00062387">
      <w:pPr>
        <w:pStyle w:val="Body"/>
      </w:pPr>
      <w:r>
        <w:t>IHACPA will continue exploring a range of refinement areas for subacute and non-acute patient classification raised in stakeholder feedback or identified from the analysis of recent data sets and</w:t>
      </w:r>
      <w:r w:rsidRPr="00154590">
        <w:t xml:space="preserve"> will progress this work through the Subacute Care Working Group</w:t>
      </w:r>
      <w:r>
        <w:t>.</w:t>
      </w:r>
    </w:p>
    <w:p w14:paraId="77385B81" w14:textId="79892926" w:rsidR="00C3105B" w:rsidRPr="00C3105B" w:rsidRDefault="00C3105B" w:rsidP="00C3105B">
      <w:pPr>
        <w:pStyle w:val="Body"/>
      </w:pPr>
      <w:r w:rsidRPr="00C3105B">
        <w:t xml:space="preserve">The AN-SNAP classification is </w:t>
      </w:r>
      <w:r w:rsidR="009C23A9">
        <w:t xml:space="preserve">a </w:t>
      </w:r>
      <w:r w:rsidRPr="00C3105B">
        <w:t>priority</w:t>
      </w:r>
      <w:r>
        <w:t xml:space="preserve"> </w:t>
      </w:r>
      <w:r w:rsidRPr="00C3105B">
        <w:t xml:space="preserve">focus within the </w:t>
      </w:r>
      <w:r w:rsidR="0012274B" w:rsidRPr="009C23A9">
        <w:t>International Classification of Diseases</w:t>
      </w:r>
      <w:r w:rsidR="0012274B">
        <w:t xml:space="preserve"> </w:t>
      </w:r>
      <w:r w:rsidRPr="00C3105B">
        <w:t>11</w:t>
      </w:r>
      <w:r w:rsidR="0012274B">
        <w:t xml:space="preserve">th Revision </w:t>
      </w:r>
      <w:r w:rsidR="0012274B" w:rsidRPr="00C3105B">
        <w:t>(</w:t>
      </w:r>
      <w:r w:rsidR="0012274B">
        <w:t xml:space="preserve">ICD-11) </w:t>
      </w:r>
      <w:r w:rsidRPr="00C3105B">
        <w:t>maturity assessment, with short, medium, and long-term</w:t>
      </w:r>
      <w:r>
        <w:t xml:space="preserve"> </w:t>
      </w:r>
      <w:r w:rsidRPr="00C3105B">
        <w:t>refinement opportunities to strengthen classification interoperability and the evidence base.</w:t>
      </w:r>
      <w:r>
        <w:t xml:space="preserve"> </w:t>
      </w:r>
    </w:p>
    <w:p w14:paraId="3D751121" w14:textId="29F4FE1C" w:rsidR="003900E2" w:rsidRDefault="0012274B" w:rsidP="00C3105B">
      <w:pPr>
        <w:pStyle w:val="Body"/>
      </w:pPr>
      <w:r>
        <w:t xml:space="preserve">IHACPA will commence </w:t>
      </w:r>
      <w:r w:rsidR="00C3105B" w:rsidRPr="00C3105B">
        <w:t>work to validate ICD-11 Section V and the World Health</w:t>
      </w:r>
      <w:r w:rsidR="00C3105B">
        <w:t xml:space="preserve"> </w:t>
      </w:r>
      <w:r w:rsidR="00C3105B" w:rsidRPr="00C3105B">
        <w:t>Organi</w:t>
      </w:r>
      <w:r w:rsidR="003622A4">
        <w:t>z</w:t>
      </w:r>
      <w:r w:rsidR="00C3105B" w:rsidRPr="00C3105B">
        <w:t xml:space="preserve">ation Disability Assessment Schedule </w:t>
      </w:r>
      <w:r w:rsidR="00074B0A">
        <w:t xml:space="preserve">2.0 </w:t>
      </w:r>
      <w:r w:rsidR="00C3105B" w:rsidRPr="00C3105B">
        <w:t>(WHODAS 2.0), a coding framework</w:t>
      </w:r>
      <w:r w:rsidR="00C3105B">
        <w:t xml:space="preserve"> </w:t>
      </w:r>
      <w:r w:rsidR="00C3105B" w:rsidRPr="00C3105B">
        <w:t>capturing functional status, impairments, activity limitations, and participation restrictions. A</w:t>
      </w:r>
      <w:r w:rsidR="00C3105B">
        <w:t xml:space="preserve"> </w:t>
      </w:r>
      <w:r w:rsidR="00C3105B" w:rsidRPr="00C3105B">
        <w:t xml:space="preserve">structured evaluation of WHODAS 2.0 </w:t>
      </w:r>
      <w:r>
        <w:t xml:space="preserve">will be undertaken </w:t>
      </w:r>
      <w:r w:rsidR="00C3105B" w:rsidRPr="00C3105B">
        <w:t>comprising research partnerships,</w:t>
      </w:r>
      <w:r w:rsidR="00C3105B">
        <w:t xml:space="preserve"> </w:t>
      </w:r>
      <w:r w:rsidR="009A2239">
        <w:t xml:space="preserve">and </w:t>
      </w:r>
      <w:r w:rsidR="00C3105B" w:rsidRPr="00C3105B">
        <w:t>theoretical framework development to support the integration into ABF classifications. This will build a robust evidence base for broader adoption across</w:t>
      </w:r>
      <w:r w:rsidR="00C3105B">
        <w:t xml:space="preserve"> </w:t>
      </w:r>
      <w:r w:rsidR="00C3105B" w:rsidRPr="00C3105B">
        <w:t>classifications and care settings.</w:t>
      </w:r>
    </w:p>
    <w:p w14:paraId="0CD6DD50" w14:textId="768920F3" w:rsidR="00244B47" w:rsidRPr="006E0A55" w:rsidRDefault="003900E2" w:rsidP="006E0A55">
      <w:pPr>
        <w:rPr>
          <w:rFonts w:ascii="Arial" w:hAnsi="Arial" w:cs="Arial"/>
          <w:sz w:val="20"/>
          <w:szCs w:val="20"/>
        </w:rPr>
      </w:pPr>
      <w:r>
        <w:br w:type="page"/>
      </w:r>
    </w:p>
    <w:p w14:paraId="303592B2" w14:textId="1351BA33" w:rsidR="00731864" w:rsidRPr="00AC04B2" w:rsidRDefault="00731864" w:rsidP="000362C5">
      <w:pPr>
        <w:pStyle w:val="H4"/>
        <w:ind w:left="357" w:hanging="357"/>
      </w:pPr>
      <w:r w:rsidRPr="00AC04B2">
        <w:lastRenderedPageBreak/>
        <w:t xml:space="preserve">Emergency </w:t>
      </w:r>
      <w:r w:rsidR="000D3D65">
        <w:t>c</w:t>
      </w:r>
      <w:r w:rsidR="000D3D65" w:rsidRPr="00AC04B2">
        <w:t>are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31864" w:rsidRPr="00AC04B2" w14:paraId="5EDB7E0E" w14:textId="77777777" w:rsidTr="007708B8">
        <w:tc>
          <w:tcPr>
            <w:tcW w:w="3726" w:type="pct"/>
            <w:tcBorders>
              <w:top w:val="nil"/>
              <w:bottom w:val="nil"/>
            </w:tcBorders>
            <w:shd w:val="clear" w:color="auto" w:fill="379887" w:themeFill="accent5" w:themeFillShade="BF"/>
            <w:vAlign w:val="center"/>
          </w:tcPr>
          <w:p w14:paraId="12497E13" w14:textId="77777777" w:rsidR="00731864" w:rsidRPr="00AC04B2" w:rsidRDefault="00731864" w:rsidP="00A207F8">
            <w:pPr>
              <w:pStyle w:val="TableHeading"/>
            </w:pPr>
            <w:r w:rsidRPr="00AC04B2">
              <w:t>Deliverable</w:t>
            </w:r>
          </w:p>
        </w:tc>
        <w:tc>
          <w:tcPr>
            <w:tcW w:w="1274" w:type="pct"/>
            <w:tcBorders>
              <w:top w:val="nil"/>
              <w:bottom w:val="nil"/>
            </w:tcBorders>
            <w:shd w:val="clear" w:color="auto" w:fill="379887" w:themeFill="accent5" w:themeFillShade="BF"/>
            <w:vAlign w:val="center"/>
          </w:tcPr>
          <w:p w14:paraId="2876565A" w14:textId="77777777" w:rsidR="00731864" w:rsidRPr="00AC04B2" w:rsidRDefault="00731864" w:rsidP="00A207F8">
            <w:pPr>
              <w:pStyle w:val="TableHeading"/>
            </w:pPr>
            <w:r w:rsidRPr="00AC04B2">
              <w:t>Timeframe</w:t>
            </w:r>
          </w:p>
        </w:tc>
      </w:tr>
      <w:tr w:rsidR="00CC6980" w:rsidRPr="00AC04B2" w14:paraId="36B77E2F" w14:textId="77777777" w:rsidTr="00901F75">
        <w:trPr>
          <w:trHeight w:val="290"/>
        </w:trPr>
        <w:tc>
          <w:tcPr>
            <w:tcW w:w="3726" w:type="pct"/>
            <w:tcBorders>
              <w:top w:val="nil"/>
              <w:bottom w:val="nil"/>
            </w:tcBorders>
          </w:tcPr>
          <w:p w14:paraId="2BCC51BC" w14:textId="7849A5A2" w:rsidR="00CC6980" w:rsidRPr="00AC04B2" w:rsidRDefault="00C13E2E" w:rsidP="00A207F8">
            <w:pPr>
              <w:pStyle w:val="TableBodySmall"/>
            </w:pPr>
            <w:bookmarkStart w:id="90" w:name="_Hlk176936112"/>
            <w:r>
              <w:t>C</w:t>
            </w:r>
            <w:r w:rsidR="004B2B13">
              <w:t>ommence r</w:t>
            </w:r>
            <w:r w:rsidR="00495814">
              <w:t>efine</w:t>
            </w:r>
            <w:r w:rsidR="004B2B13">
              <w:t>ment of</w:t>
            </w:r>
            <w:r w:rsidR="00495814">
              <w:t xml:space="preserve"> </w:t>
            </w:r>
            <w:r w:rsidR="00692465" w:rsidRPr="00692465">
              <w:t xml:space="preserve">the Emergency Care ICD-10-AM </w:t>
            </w:r>
            <w:r w:rsidR="007C58D5" w:rsidRPr="007C58D5">
              <w:t xml:space="preserve">Principal Diagnosis Short List (EPD Short List) </w:t>
            </w:r>
            <w:r w:rsidR="004B2B13">
              <w:t xml:space="preserve">for </w:t>
            </w:r>
            <w:r w:rsidR="007C58D5" w:rsidRPr="007C58D5">
              <w:t xml:space="preserve">ICD-10-AM </w:t>
            </w:r>
            <w:r w:rsidR="002008A7">
              <w:t>Fourteenth</w:t>
            </w:r>
            <w:r w:rsidR="002008A7" w:rsidRPr="007C58D5">
              <w:t xml:space="preserve"> </w:t>
            </w:r>
            <w:r w:rsidR="007C58D5" w:rsidRPr="007C58D5">
              <w:t>Edition</w:t>
            </w:r>
            <w:bookmarkEnd w:id="90"/>
            <w:r w:rsidR="00F35FEC">
              <w:t>.</w:t>
            </w:r>
          </w:p>
        </w:tc>
        <w:tc>
          <w:tcPr>
            <w:tcW w:w="1274" w:type="pct"/>
            <w:tcBorders>
              <w:top w:val="nil"/>
              <w:bottom w:val="nil"/>
            </w:tcBorders>
          </w:tcPr>
          <w:p w14:paraId="58685CA8" w14:textId="4F151A52" w:rsidR="00CC6980" w:rsidRPr="00AC04B2" w:rsidRDefault="00C25EBF" w:rsidP="00A207F8">
            <w:pPr>
              <w:pStyle w:val="TableBodySmall"/>
            </w:pPr>
            <w:r>
              <w:t>June 202</w:t>
            </w:r>
            <w:r w:rsidR="004B2B13">
              <w:t>7</w:t>
            </w:r>
          </w:p>
        </w:tc>
      </w:tr>
      <w:tr w:rsidR="00401330" w:rsidRPr="00AC04B2" w:rsidDel="00DF7ABB" w14:paraId="57253715" w14:textId="77777777" w:rsidTr="00CD40E8">
        <w:trPr>
          <w:trHeight w:val="290"/>
        </w:trPr>
        <w:tc>
          <w:tcPr>
            <w:tcW w:w="3726" w:type="pct"/>
            <w:tcBorders>
              <w:top w:val="single" w:sz="4" w:space="0" w:color="auto"/>
              <w:bottom w:val="single" w:sz="4" w:space="0" w:color="auto"/>
            </w:tcBorders>
          </w:tcPr>
          <w:p w14:paraId="26CD78AA" w14:textId="3010D6C1" w:rsidR="00401330" w:rsidRPr="00AC04B2" w:rsidDel="00DF7ABB" w:rsidRDefault="00401330" w:rsidP="00CD40E8">
            <w:pPr>
              <w:pStyle w:val="TableBodySmall"/>
            </w:pPr>
            <w:r>
              <w:t xml:space="preserve">Continue development of the </w:t>
            </w:r>
            <w:r w:rsidR="00C25EBF">
              <w:t xml:space="preserve">Australian </w:t>
            </w:r>
            <w:r w:rsidRPr="00901F75">
              <w:t xml:space="preserve">Emergency Care Classification </w:t>
            </w:r>
            <w:r>
              <w:t>Version 2.0</w:t>
            </w:r>
            <w:r w:rsidR="00F35FEC">
              <w:t>.</w:t>
            </w:r>
          </w:p>
        </w:tc>
        <w:tc>
          <w:tcPr>
            <w:tcW w:w="1274" w:type="pct"/>
            <w:tcBorders>
              <w:top w:val="single" w:sz="4" w:space="0" w:color="auto"/>
              <w:bottom w:val="single" w:sz="4" w:space="0" w:color="auto"/>
            </w:tcBorders>
          </w:tcPr>
          <w:p w14:paraId="339ADD36" w14:textId="1A19DF86" w:rsidR="00401330" w:rsidDel="00DF7ABB" w:rsidRDefault="004B2B13" w:rsidP="00CD40E8">
            <w:pPr>
              <w:pStyle w:val="TableBodySmall"/>
            </w:pPr>
            <w:r>
              <w:t>June 2027</w:t>
            </w:r>
          </w:p>
        </w:tc>
      </w:tr>
      <w:tr w:rsidR="00D67E64" w:rsidRPr="00AC04B2" w:rsidDel="00DF7ABB" w14:paraId="450EDDD2" w14:textId="77777777" w:rsidTr="00CD40E8">
        <w:trPr>
          <w:trHeight w:val="290"/>
        </w:trPr>
        <w:tc>
          <w:tcPr>
            <w:tcW w:w="3726" w:type="pct"/>
            <w:tcBorders>
              <w:top w:val="single" w:sz="4" w:space="0" w:color="auto"/>
              <w:bottom w:val="single" w:sz="4" w:space="0" w:color="auto"/>
            </w:tcBorders>
          </w:tcPr>
          <w:p w14:paraId="03B42757" w14:textId="5C09B309" w:rsidR="00D67E64" w:rsidRDefault="003622A4" w:rsidP="00CD40E8">
            <w:pPr>
              <w:pStyle w:val="TableBodySmall"/>
            </w:pPr>
            <w:r>
              <w:t xml:space="preserve">Commence </w:t>
            </w:r>
            <w:r w:rsidR="00C25EBF">
              <w:t xml:space="preserve">investigation </w:t>
            </w:r>
            <w:r w:rsidR="0026422A">
              <w:t>into an</w:t>
            </w:r>
            <w:r w:rsidR="00C25EBF">
              <w:t xml:space="preserve"> appropriate classification for</w:t>
            </w:r>
            <w:r>
              <w:t xml:space="preserve"> </w:t>
            </w:r>
            <w:r w:rsidR="0026422A">
              <w:t>e</w:t>
            </w:r>
            <w:r w:rsidR="00D67E64">
              <w:t xml:space="preserve">mergency </w:t>
            </w:r>
            <w:r w:rsidR="0026422A">
              <w:t>v</w:t>
            </w:r>
            <w:r w:rsidR="00C25EBF">
              <w:t xml:space="preserve">irtual </w:t>
            </w:r>
            <w:r w:rsidR="0026422A">
              <w:t>c</w:t>
            </w:r>
            <w:r w:rsidR="00C25EBF">
              <w:t>are</w:t>
            </w:r>
            <w:r w:rsidR="00F35FEC">
              <w:t>.</w:t>
            </w:r>
          </w:p>
        </w:tc>
        <w:tc>
          <w:tcPr>
            <w:tcW w:w="1274" w:type="pct"/>
            <w:tcBorders>
              <w:top w:val="single" w:sz="4" w:space="0" w:color="auto"/>
              <w:bottom w:val="single" w:sz="4" w:space="0" w:color="auto"/>
            </w:tcBorders>
          </w:tcPr>
          <w:p w14:paraId="3155D666" w14:textId="7C303A6B" w:rsidR="00D67E64" w:rsidRDefault="003622A4" w:rsidP="00CD40E8">
            <w:pPr>
              <w:pStyle w:val="TableBodySmall"/>
            </w:pPr>
            <w:r>
              <w:t>June 2027</w:t>
            </w:r>
          </w:p>
        </w:tc>
      </w:tr>
    </w:tbl>
    <w:p w14:paraId="3893FADB" w14:textId="77777777" w:rsidR="000362C5" w:rsidRDefault="000362C5" w:rsidP="00F00D91">
      <w:pPr>
        <w:pStyle w:val="Body"/>
      </w:pPr>
    </w:p>
    <w:p w14:paraId="5600ABE7" w14:textId="44DDEE3F" w:rsidR="00731864" w:rsidRPr="000362C5" w:rsidRDefault="00797F2B" w:rsidP="00F00D91">
      <w:pPr>
        <w:pStyle w:val="Body"/>
        <w:rPr>
          <w:b/>
          <w:bCs/>
        </w:rPr>
      </w:pPr>
      <w:r>
        <w:rPr>
          <w:b/>
          <w:bCs/>
        </w:rPr>
        <w:t>T</w:t>
      </w:r>
      <w:r w:rsidR="00731864" w:rsidRPr="000362C5">
        <w:rPr>
          <w:b/>
          <w:bCs/>
        </w:rPr>
        <w:t>he Australian Emergency Care Classification (AECC) Version 1.</w:t>
      </w:r>
      <w:r w:rsidR="007D18DE">
        <w:rPr>
          <w:b/>
          <w:bCs/>
        </w:rPr>
        <w:t>1</w:t>
      </w:r>
      <w:r w:rsidR="00731864" w:rsidRPr="000362C5">
        <w:rPr>
          <w:b/>
          <w:bCs/>
        </w:rPr>
        <w:t xml:space="preserve"> was </w:t>
      </w:r>
      <w:r w:rsidR="00833FB5">
        <w:rPr>
          <w:b/>
          <w:bCs/>
        </w:rPr>
        <w:t xml:space="preserve">released in August 2024 </w:t>
      </w:r>
      <w:r w:rsidR="00731864" w:rsidRPr="000362C5">
        <w:rPr>
          <w:b/>
          <w:bCs/>
        </w:rPr>
        <w:t xml:space="preserve">and used to price emergency </w:t>
      </w:r>
      <w:r w:rsidR="0026422A">
        <w:rPr>
          <w:b/>
          <w:bCs/>
        </w:rPr>
        <w:t xml:space="preserve">care patient presentations </w:t>
      </w:r>
      <w:r w:rsidR="005103A8">
        <w:rPr>
          <w:b/>
          <w:bCs/>
        </w:rPr>
        <w:t>since</w:t>
      </w:r>
      <w:r w:rsidR="005103A8" w:rsidRPr="000362C5">
        <w:rPr>
          <w:b/>
          <w:bCs/>
        </w:rPr>
        <w:t xml:space="preserve"> </w:t>
      </w:r>
      <w:r w:rsidR="00731864" w:rsidRPr="000362C5">
        <w:rPr>
          <w:b/>
          <w:bCs/>
        </w:rPr>
        <w:t>1 July 202</w:t>
      </w:r>
      <w:r w:rsidR="00D71237">
        <w:rPr>
          <w:b/>
          <w:bCs/>
        </w:rPr>
        <w:t>5</w:t>
      </w:r>
      <w:r w:rsidR="00731864" w:rsidRPr="000362C5">
        <w:rPr>
          <w:b/>
          <w:bCs/>
        </w:rPr>
        <w:t>.</w:t>
      </w:r>
    </w:p>
    <w:p w14:paraId="4E5A2645" w14:textId="77777777" w:rsidR="0026422A" w:rsidRDefault="0026422A" w:rsidP="0026422A">
      <w:pPr>
        <w:pStyle w:val="Body"/>
        <w:keepLines/>
      </w:pPr>
      <w:r>
        <w:t xml:space="preserve">AECC is underpinned by the </w:t>
      </w:r>
      <w:r w:rsidRPr="00692465">
        <w:t xml:space="preserve">Emergency Care ICD-10-AM </w:t>
      </w:r>
      <w:r w:rsidRPr="007C58D5">
        <w:t>Principal Diagnosis Short List (EPD Short List)</w:t>
      </w:r>
      <w:r>
        <w:t xml:space="preserve"> and both the AECC and the EPD Short List are refined over a 3-year development cycle.</w:t>
      </w:r>
    </w:p>
    <w:p w14:paraId="737AF383" w14:textId="77777777" w:rsidR="0026422A" w:rsidRDefault="0026422A" w:rsidP="0026422A">
      <w:pPr>
        <w:pStyle w:val="Body"/>
      </w:pPr>
      <w:r>
        <w:t>IHACPA commenced development of the AECC Version 2.0 in 2025. The work program includes the review of paediatric patients presenting in emergency care, and standard refinements such as:</w:t>
      </w:r>
    </w:p>
    <w:p w14:paraId="4EDCEF9C" w14:textId="77777777" w:rsidR="0026422A" w:rsidRDefault="0026422A" w:rsidP="000D1BC9">
      <w:pPr>
        <w:pStyle w:val="BulletList"/>
      </w:pPr>
      <w:r>
        <w:t>recalibration of the complexity model using recent cost and activity data</w:t>
      </w:r>
    </w:p>
    <w:p w14:paraId="08CD527D" w14:textId="77777777" w:rsidR="00A93760" w:rsidRDefault="0026422A" w:rsidP="000D1BC9">
      <w:pPr>
        <w:pStyle w:val="BulletList"/>
      </w:pPr>
      <w:r>
        <w:t>incorporation of new editions of ICD-10-AM and EPD Short List</w:t>
      </w:r>
    </w:p>
    <w:p w14:paraId="7151C98A" w14:textId="1032EA2B" w:rsidR="00A93760" w:rsidRDefault="0026422A" w:rsidP="000D1BC9">
      <w:pPr>
        <w:pStyle w:val="BulletList"/>
      </w:pPr>
      <w:r>
        <w:t xml:space="preserve">review and refinement of the Emergency Care Diagnosis Groups that are used for assigning the AECC end classes.  </w:t>
      </w:r>
    </w:p>
    <w:p w14:paraId="317C3E48" w14:textId="072713FC" w:rsidR="00D67E64" w:rsidRDefault="00074B0A" w:rsidP="00D67E64">
      <w:pPr>
        <w:pStyle w:val="Body"/>
      </w:pPr>
      <w:r>
        <w:t xml:space="preserve">In 2026–27, </w:t>
      </w:r>
      <w:r w:rsidR="00D67E64">
        <w:t>IHACPA will commence a</w:t>
      </w:r>
      <w:r w:rsidR="0026422A">
        <w:t>n</w:t>
      </w:r>
      <w:r w:rsidR="00D67E64">
        <w:t xml:space="preserve"> Emergency </w:t>
      </w:r>
      <w:r w:rsidR="0026422A">
        <w:t xml:space="preserve">Virtual Care (EVC) </w:t>
      </w:r>
      <w:r w:rsidR="00D67E64">
        <w:t xml:space="preserve">Classification development project. This project will </w:t>
      </w:r>
      <w:r w:rsidR="00D67E64" w:rsidRPr="00D67E64">
        <w:t>assess if existing classifications can be modified or if a</w:t>
      </w:r>
      <w:r w:rsidR="0026422A">
        <w:t>n alternative</w:t>
      </w:r>
      <w:r w:rsidR="00D67E64" w:rsidRPr="00D67E64">
        <w:t xml:space="preserve"> classification is</w:t>
      </w:r>
      <w:r w:rsidR="00D67E64">
        <w:t xml:space="preserve"> </w:t>
      </w:r>
      <w:r w:rsidR="00D67E64" w:rsidRPr="00D67E64">
        <w:t>required</w:t>
      </w:r>
      <w:r w:rsidR="0026422A">
        <w:t xml:space="preserve"> for EVC presentations</w:t>
      </w:r>
      <w:r w:rsidR="00D67E64" w:rsidRPr="00D67E64">
        <w:t>.</w:t>
      </w:r>
    </w:p>
    <w:p w14:paraId="64363AFA" w14:textId="0D2D64B6" w:rsidR="00C27B65" w:rsidRPr="00AC04B2" w:rsidRDefault="005924FC" w:rsidP="005E01B5">
      <w:pPr>
        <w:pStyle w:val="H4"/>
        <w:keepNext/>
        <w:ind w:left="357" w:hanging="357"/>
      </w:pPr>
      <w:bookmarkStart w:id="91" w:name="_Hlk120704707"/>
      <w:bookmarkStart w:id="92" w:name="_Hlk120703095"/>
      <w:r w:rsidRPr="00AC04B2">
        <w:t>Non-admitted care</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080"/>
        <w:gridCol w:w="3002"/>
      </w:tblGrid>
      <w:tr w:rsidR="00E35BCD" w:rsidRPr="00AC04B2" w14:paraId="6EF57012" w14:textId="77777777" w:rsidTr="007708B8">
        <w:tc>
          <w:tcPr>
            <w:tcW w:w="3511" w:type="pct"/>
            <w:tcBorders>
              <w:top w:val="nil"/>
              <w:bottom w:val="nil"/>
            </w:tcBorders>
            <w:shd w:val="clear" w:color="auto" w:fill="379887" w:themeFill="accent5" w:themeFillShade="BF"/>
            <w:vAlign w:val="center"/>
          </w:tcPr>
          <w:p w14:paraId="0F817372" w14:textId="3D28357C" w:rsidR="00C27B65" w:rsidRPr="00AC04B2" w:rsidRDefault="00FF0E74" w:rsidP="005E01B5">
            <w:pPr>
              <w:pStyle w:val="TableHeading"/>
              <w:keepNext/>
            </w:pPr>
            <w:r w:rsidRPr="00AC04B2">
              <w:t>Deliverable</w:t>
            </w:r>
          </w:p>
        </w:tc>
        <w:tc>
          <w:tcPr>
            <w:tcW w:w="1489" w:type="pct"/>
            <w:tcBorders>
              <w:top w:val="nil"/>
              <w:bottom w:val="nil"/>
            </w:tcBorders>
            <w:shd w:val="clear" w:color="auto" w:fill="379887" w:themeFill="accent5" w:themeFillShade="BF"/>
            <w:vAlign w:val="center"/>
          </w:tcPr>
          <w:p w14:paraId="7436A218" w14:textId="205E6ED4" w:rsidR="00C27B65" w:rsidRPr="00AC04B2" w:rsidRDefault="00FF0E74" w:rsidP="005E01B5">
            <w:pPr>
              <w:pStyle w:val="TableHeading"/>
              <w:keepNext/>
            </w:pPr>
            <w:r w:rsidRPr="00AC04B2">
              <w:t>Timeframe</w:t>
            </w:r>
          </w:p>
        </w:tc>
      </w:tr>
      <w:tr w:rsidR="000451D8" w:rsidRPr="00AC04B2" w14:paraId="3B7F7266" w14:textId="77777777" w:rsidTr="00FF78C7">
        <w:trPr>
          <w:trHeight w:val="290"/>
        </w:trPr>
        <w:tc>
          <w:tcPr>
            <w:tcW w:w="3511" w:type="pct"/>
            <w:tcBorders>
              <w:top w:val="nil"/>
              <w:bottom w:val="single" w:sz="4" w:space="0" w:color="auto"/>
            </w:tcBorders>
          </w:tcPr>
          <w:p w14:paraId="31EB9E96" w14:textId="16FE4A98" w:rsidR="000451D8" w:rsidRPr="00AC04B2" w:rsidRDefault="000451D8" w:rsidP="005E01B5">
            <w:pPr>
              <w:pStyle w:val="TableBodySmall"/>
              <w:keepNext/>
            </w:pPr>
            <w:r w:rsidRPr="00AC04B2">
              <w:t xml:space="preserve">Continue to </w:t>
            </w:r>
            <w:r w:rsidR="00DE75DD">
              <w:t>refine</w:t>
            </w:r>
            <w:r w:rsidR="00DE75DD" w:rsidRPr="00AC04B2">
              <w:t xml:space="preserve"> </w:t>
            </w:r>
            <w:r w:rsidRPr="00AC04B2">
              <w:t>the Tier 2 Non</w:t>
            </w:r>
            <w:r w:rsidRPr="00AC04B2">
              <w:rPr>
                <w:rFonts w:ascii="Cambria Math" w:hAnsi="Cambria Math" w:cs="Cambria Math"/>
              </w:rPr>
              <w:t>‑</w:t>
            </w:r>
            <w:r w:rsidRPr="00AC04B2">
              <w:t>Admitted Services Classification.</w:t>
            </w:r>
          </w:p>
        </w:tc>
        <w:tc>
          <w:tcPr>
            <w:tcW w:w="1489" w:type="pct"/>
            <w:tcBorders>
              <w:top w:val="nil"/>
              <w:bottom w:val="single" w:sz="4" w:space="0" w:color="auto"/>
            </w:tcBorders>
          </w:tcPr>
          <w:p w14:paraId="372FAFFE" w14:textId="77777777" w:rsidR="000451D8" w:rsidRPr="00AC04B2" w:rsidRDefault="000451D8" w:rsidP="005E01B5">
            <w:pPr>
              <w:pStyle w:val="TableBodySmall"/>
              <w:keepNext/>
            </w:pPr>
            <w:r w:rsidRPr="00AC04B2">
              <w:t>Ongoing</w:t>
            </w:r>
          </w:p>
        </w:tc>
      </w:tr>
      <w:tr w:rsidR="005924FC" w:rsidRPr="00AC04B2" w14:paraId="7C3A3C43" w14:textId="77777777" w:rsidTr="00074B0A">
        <w:trPr>
          <w:trHeight w:val="290"/>
        </w:trPr>
        <w:tc>
          <w:tcPr>
            <w:tcW w:w="3511" w:type="pct"/>
            <w:tcBorders>
              <w:top w:val="nil"/>
              <w:bottom w:val="single" w:sz="4" w:space="0" w:color="auto"/>
            </w:tcBorders>
          </w:tcPr>
          <w:p w14:paraId="58D95E65" w14:textId="730CE710" w:rsidR="005924FC" w:rsidRPr="00AC04B2" w:rsidRDefault="001C1A3C" w:rsidP="005E01B5">
            <w:pPr>
              <w:pStyle w:val="TableBodySmall"/>
              <w:keepNext/>
            </w:pPr>
            <w:bookmarkStart w:id="93" w:name="_Hlk176936191"/>
            <w:r>
              <w:t>Continue the</w:t>
            </w:r>
            <w:r w:rsidR="005E53FF" w:rsidRPr="00AC04B2">
              <w:t xml:space="preserve"> multi</w:t>
            </w:r>
            <w:r w:rsidR="00260BF8" w:rsidRPr="00AC04B2">
              <w:t>-</w:t>
            </w:r>
            <w:r w:rsidR="005E53FF" w:rsidRPr="00AC04B2">
              <w:t>stage project to support the</w:t>
            </w:r>
            <w:r w:rsidR="002C4F67" w:rsidRPr="00AC04B2">
              <w:t xml:space="preserve"> development of</w:t>
            </w:r>
            <w:r w:rsidR="005924FC" w:rsidRPr="00AC04B2">
              <w:t xml:space="preserve"> </w:t>
            </w:r>
            <w:r w:rsidR="00731864" w:rsidRPr="00AC04B2">
              <w:t xml:space="preserve">a new </w:t>
            </w:r>
            <w:r w:rsidR="005E53FF" w:rsidRPr="00AC04B2">
              <w:t xml:space="preserve">patient level </w:t>
            </w:r>
            <w:r w:rsidR="00731864" w:rsidRPr="00AC04B2">
              <w:t>non-admitted care classification</w:t>
            </w:r>
            <w:bookmarkEnd w:id="93"/>
            <w:r w:rsidR="005924FC" w:rsidRPr="00AC04B2">
              <w:t>.</w:t>
            </w:r>
          </w:p>
        </w:tc>
        <w:tc>
          <w:tcPr>
            <w:tcW w:w="1489" w:type="pct"/>
            <w:tcBorders>
              <w:top w:val="nil"/>
              <w:bottom w:val="single" w:sz="4" w:space="0" w:color="auto"/>
            </w:tcBorders>
          </w:tcPr>
          <w:p w14:paraId="26072C46" w14:textId="5109360A" w:rsidR="005924FC" w:rsidRPr="00AC04B2" w:rsidRDefault="00F73AA0" w:rsidP="005E01B5">
            <w:pPr>
              <w:pStyle w:val="TableBodySmall"/>
              <w:keepNext/>
            </w:pPr>
            <w:r>
              <w:t>Ongoing</w:t>
            </w:r>
          </w:p>
        </w:tc>
      </w:tr>
    </w:tbl>
    <w:p w14:paraId="3BCF91BF" w14:textId="77777777" w:rsidR="000362C5" w:rsidRDefault="000362C5" w:rsidP="005E01B5">
      <w:pPr>
        <w:pStyle w:val="Body"/>
        <w:keepNext/>
      </w:pPr>
    </w:p>
    <w:p w14:paraId="794E7A9A" w14:textId="16CBD496" w:rsidR="00D07538" w:rsidRPr="000362C5" w:rsidRDefault="00D07538" w:rsidP="00F00D91">
      <w:pPr>
        <w:pStyle w:val="Body"/>
        <w:rPr>
          <w:b/>
          <w:bCs/>
        </w:rPr>
      </w:pPr>
      <w:r w:rsidRPr="000362C5">
        <w:rPr>
          <w:b/>
          <w:bCs/>
        </w:rPr>
        <w:t>The Tier 2 Non</w:t>
      </w:r>
      <w:r w:rsidRPr="000362C5">
        <w:rPr>
          <w:rFonts w:ascii="Cambria Math" w:hAnsi="Cambria Math" w:cs="Cambria Math"/>
          <w:b/>
          <w:bCs/>
        </w:rPr>
        <w:t>‑</w:t>
      </w:r>
      <w:r w:rsidRPr="000362C5">
        <w:rPr>
          <w:b/>
          <w:bCs/>
        </w:rPr>
        <w:t xml:space="preserve">Admitted Services Classification </w:t>
      </w:r>
      <w:r w:rsidR="004A2DB2">
        <w:rPr>
          <w:b/>
          <w:bCs/>
        </w:rPr>
        <w:t xml:space="preserve">(Tier 2) </w:t>
      </w:r>
      <w:r w:rsidRPr="000362C5">
        <w:rPr>
          <w:b/>
          <w:bCs/>
        </w:rPr>
        <w:t>categorises non</w:t>
      </w:r>
      <w:r w:rsidRPr="000362C5">
        <w:rPr>
          <w:rFonts w:ascii="Cambria Math" w:hAnsi="Cambria Math" w:cs="Cambria Math"/>
          <w:b/>
          <w:bCs/>
        </w:rPr>
        <w:t>‑</w:t>
      </w:r>
      <w:r w:rsidRPr="000362C5">
        <w:rPr>
          <w:b/>
          <w:bCs/>
        </w:rPr>
        <w:t xml:space="preserve">admitted services into classes </w:t>
      </w:r>
      <w:r w:rsidR="00D50265">
        <w:rPr>
          <w:b/>
          <w:bCs/>
        </w:rPr>
        <w:t>that</w:t>
      </w:r>
      <w:r w:rsidRPr="000362C5">
        <w:rPr>
          <w:b/>
          <w:bCs/>
        </w:rPr>
        <w:t xml:space="preserve"> are generally based on the nature of the service provided and the type of clinician providing the service.</w:t>
      </w:r>
    </w:p>
    <w:p w14:paraId="2A23E2B1" w14:textId="70FFC152" w:rsidR="00C27B65" w:rsidRPr="000362C5" w:rsidRDefault="00731864" w:rsidP="00F00D91">
      <w:pPr>
        <w:pStyle w:val="Body"/>
        <w:rPr>
          <w:b/>
          <w:bCs/>
        </w:rPr>
      </w:pPr>
      <w:r w:rsidRPr="000362C5">
        <w:rPr>
          <w:b/>
          <w:bCs/>
        </w:rPr>
        <w:t>A new non-admitted care classification</w:t>
      </w:r>
      <w:r w:rsidR="005924FC" w:rsidRPr="000362C5">
        <w:rPr>
          <w:b/>
          <w:bCs/>
        </w:rPr>
        <w:t xml:space="preserve"> will better describe patient characteristics and complexity of care </w:t>
      </w:r>
      <w:r w:rsidR="00B56DC6" w:rsidRPr="000362C5">
        <w:rPr>
          <w:b/>
          <w:bCs/>
        </w:rPr>
        <w:t>to</w:t>
      </w:r>
      <w:r w:rsidR="005924FC" w:rsidRPr="000362C5">
        <w:rPr>
          <w:b/>
          <w:bCs/>
        </w:rPr>
        <w:t xml:space="preserve"> more accurately reflect the costs of non-admitted services. The new classification will account for changes in how care is delivered</w:t>
      </w:r>
      <w:r w:rsidR="000451D8" w:rsidRPr="000362C5">
        <w:rPr>
          <w:b/>
          <w:bCs/>
        </w:rPr>
        <w:t xml:space="preserve"> and</w:t>
      </w:r>
      <w:r w:rsidRPr="000362C5">
        <w:rPr>
          <w:b/>
          <w:bCs/>
        </w:rPr>
        <w:t>,</w:t>
      </w:r>
      <w:r w:rsidR="005924FC" w:rsidRPr="000362C5">
        <w:rPr>
          <w:b/>
          <w:bCs/>
        </w:rPr>
        <w:t xml:space="preserve"> as electronic medical records </w:t>
      </w:r>
      <w:r w:rsidR="000451D8" w:rsidRPr="000362C5">
        <w:rPr>
          <w:b/>
          <w:bCs/>
        </w:rPr>
        <w:t xml:space="preserve">evolve, will enable </w:t>
      </w:r>
      <w:r w:rsidR="005924FC" w:rsidRPr="000362C5">
        <w:rPr>
          <w:b/>
          <w:bCs/>
        </w:rPr>
        <w:t xml:space="preserve">more detailed data capture </w:t>
      </w:r>
      <w:r w:rsidR="000451D8" w:rsidRPr="000362C5">
        <w:rPr>
          <w:b/>
          <w:bCs/>
        </w:rPr>
        <w:t xml:space="preserve">to support </w:t>
      </w:r>
      <w:r w:rsidR="005924FC" w:rsidRPr="000362C5">
        <w:rPr>
          <w:b/>
          <w:bCs/>
        </w:rPr>
        <w:t xml:space="preserve">testing of new funding models </w:t>
      </w:r>
      <w:r w:rsidR="000451D8" w:rsidRPr="000362C5">
        <w:rPr>
          <w:b/>
          <w:bCs/>
        </w:rPr>
        <w:t>across</w:t>
      </w:r>
      <w:r w:rsidR="005924FC" w:rsidRPr="000362C5">
        <w:rPr>
          <w:b/>
          <w:bCs/>
        </w:rPr>
        <w:t xml:space="preserve"> multiple settings</w:t>
      </w:r>
      <w:r w:rsidR="00C27B65" w:rsidRPr="000362C5">
        <w:rPr>
          <w:b/>
          <w:bCs/>
        </w:rPr>
        <w:t>.</w:t>
      </w:r>
    </w:p>
    <w:p w14:paraId="6A142DEF" w14:textId="77777777" w:rsidR="001B7783" w:rsidRDefault="00C01265" w:rsidP="00162A68">
      <w:pPr>
        <w:pStyle w:val="Body"/>
      </w:pPr>
      <w:r w:rsidRPr="00AC04B2">
        <w:t>In 2023</w:t>
      </w:r>
      <w:r w:rsidR="000D3D65">
        <w:t>, the work to develop a new non-admitted care classification recommenced through the Australian Non-Admitted Patient Classification Project</w:t>
      </w:r>
      <w:r w:rsidR="00162A68">
        <w:t xml:space="preserve"> (ANAPP). </w:t>
      </w:r>
      <w:r w:rsidR="0096345D">
        <w:t xml:space="preserve">The ANAPP aims to determine a method to extract and utilise data items from state and territory </w:t>
      </w:r>
      <w:r w:rsidR="00B20E4E">
        <w:t xml:space="preserve">electronic medical record </w:t>
      </w:r>
      <w:r w:rsidR="00514B81">
        <w:t xml:space="preserve">(eMR) </w:t>
      </w:r>
      <w:r w:rsidR="0096345D">
        <w:t xml:space="preserve">systems, other relevant information systems and applicable cost data to develop a comprehensive activity and cost data set. Rigorous statistical analysis will then be conducted to develop a new non-admitted care services </w:t>
      </w:r>
      <w:r w:rsidR="00BA1FAA">
        <w:t xml:space="preserve">classification. </w:t>
      </w:r>
    </w:p>
    <w:p w14:paraId="561CD571" w14:textId="77777777" w:rsidR="001B7783" w:rsidRDefault="001B7783">
      <w:pPr>
        <w:rPr>
          <w:rFonts w:ascii="Arial" w:hAnsi="Arial" w:cs="Arial"/>
          <w:sz w:val="20"/>
          <w:szCs w:val="20"/>
        </w:rPr>
      </w:pPr>
      <w:r>
        <w:br w:type="page"/>
      </w:r>
    </w:p>
    <w:p w14:paraId="02D60991" w14:textId="6492F478" w:rsidR="00162A68" w:rsidRPr="001B7783" w:rsidRDefault="00BA1FAA" w:rsidP="001B7783">
      <w:pPr>
        <w:pStyle w:val="Body"/>
      </w:pPr>
      <w:r>
        <w:lastRenderedPageBreak/>
        <w:t>The</w:t>
      </w:r>
      <w:r w:rsidR="00162A68">
        <w:t xml:space="preserve"> ANAPP is comprised of </w:t>
      </w:r>
      <w:r w:rsidR="00B20E4E">
        <w:t xml:space="preserve">4 </w:t>
      </w:r>
      <w:r w:rsidR="00162A68">
        <w:t>stages</w:t>
      </w:r>
      <w:r w:rsidR="00F45BB8">
        <w:t xml:space="preserve"> with a stage gate following each stage. Progression to future stages is dependent on IHACPA’s review of outputs, findings, and recommendations from each stage</w:t>
      </w:r>
      <w:r w:rsidR="00162A68">
        <w:t>:</w:t>
      </w:r>
    </w:p>
    <w:p w14:paraId="0F902BE6" w14:textId="0D3F5328" w:rsidR="00162A68" w:rsidRDefault="00162A68" w:rsidP="00162A68">
      <w:pPr>
        <w:pStyle w:val="Body"/>
        <w:numPr>
          <w:ilvl w:val="0"/>
          <w:numId w:val="16"/>
        </w:numPr>
      </w:pPr>
      <w:r>
        <w:t xml:space="preserve">Stage </w:t>
      </w:r>
      <w:r w:rsidR="00B20E4E">
        <w:t>1</w:t>
      </w:r>
      <w:r>
        <w:t>: Investigation and consultation</w:t>
      </w:r>
    </w:p>
    <w:p w14:paraId="5D55B461" w14:textId="1223131C" w:rsidR="007C58D5" w:rsidRDefault="00BA4343" w:rsidP="007C58D5">
      <w:pPr>
        <w:pStyle w:val="Body"/>
        <w:numPr>
          <w:ilvl w:val="0"/>
          <w:numId w:val="16"/>
        </w:numPr>
      </w:pPr>
      <w:r>
        <w:t xml:space="preserve">State 2: </w:t>
      </w:r>
      <w:r w:rsidR="007C58D5">
        <w:t xml:space="preserve">Pilot </w:t>
      </w:r>
      <w:r>
        <w:t xml:space="preserve">- </w:t>
      </w:r>
      <w:r w:rsidR="007C58D5">
        <w:t>Proof-of concept, data collection and final data sets</w:t>
      </w:r>
    </w:p>
    <w:p w14:paraId="3BF5C2A8" w14:textId="77777777" w:rsidR="007C58D5" w:rsidRDefault="007C58D5" w:rsidP="007C58D5">
      <w:pPr>
        <w:pStyle w:val="Body"/>
        <w:numPr>
          <w:ilvl w:val="0"/>
          <w:numId w:val="16"/>
        </w:numPr>
      </w:pPr>
      <w:r>
        <w:t xml:space="preserve">Stage 3: Close the gap exercise, if required </w:t>
      </w:r>
    </w:p>
    <w:p w14:paraId="258CA1E6" w14:textId="2FA1CE12" w:rsidR="00162A68" w:rsidRDefault="00162A68" w:rsidP="00162A68">
      <w:pPr>
        <w:pStyle w:val="Body"/>
        <w:numPr>
          <w:ilvl w:val="0"/>
          <w:numId w:val="16"/>
        </w:numPr>
      </w:pPr>
      <w:r>
        <w:t xml:space="preserve">Stage </w:t>
      </w:r>
      <w:r w:rsidR="00B20E4E">
        <w:t>4</w:t>
      </w:r>
      <w:r>
        <w:t xml:space="preserve">: Analysis and classification development. </w:t>
      </w:r>
    </w:p>
    <w:p w14:paraId="5189D778" w14:textId="61924FCD" w:rsidR="00AB2CA0" w:rsidRPr="00AC04B2" w:rsidRDefault="007C58D5" w:rsidP="008E4EF5">
      <w:pPr>
        <w:pStyle w:val="Body"/>
        <w:keepLines/>
      </w:pPr>
      <w:r w:rsidRPr="00514B81">
        <w:t xml:space="preserve">IHACPA completed Stage </w:t>
      </w:r>
      <w:r>
        <w:t>1</w:t>
      </w:r>
      <w:r w:rsidRPr="00514B81">
        <w:t xml:space="preserve"> of the project in October 2023 and has commenced </w:t>
      </w:r>
      <w:r>
        <w:t xml:space="preserve">the </w:t>
      </w:r>
      <w:r w:rsidRPr="00514B81">
        <w:t xml:space="preserve">Stage </w:t>
      </w:r>
      <w:r>
        <w:t>2</w:t>
      </w:r>
      <w:r w:rsidRPr="00514B81">
        <w:t xml:space="preserve"> </w:t>
      </w:r>
      <w:r>
        <w:t>Pilot</w:t>
      </w:r>
      <w:r w:rsidR="00BE0919">
        <w:t>,</w:t>
      </w:r>
      <w:r>
        <w:t xml:space="preserve"> which </w:t>
      </w:r>
      <w:r w:rsidRPr="009D56FF">
        <w:t xml:space="preserve">will utilise existing </w:t>
      </w:r>
      <w:r>
        <w:t xml:space="preserve">clinical data </w:t>
      </w:r>
      <w:r w:rsidRPr="009D56FF">
        <w:t xml:space="preserve">and cost data obtained from eMR systems and other relevant information systems to </w:t>
      </w:r>
      <w:r>
        <w:t xml:space="preserve">inform the costing process. </w:t>
      </w:r>
      <w:r w:rsidRPr="00E8123C">
        <w:t>This approach reduc</w:t>
      </w:r>
      <w:r>
        <w:t>es</w:t>
      </w:r>
      <w:r w:rsidRPr="00E8123C">
        <w:t xml:space="preserve"> the administrative burden on clinicians</w:t>
      </w:r>
      <w:r>
        <w:t xml:space="preserve"> and minimises the impact on clinical service delivery. While work is undertaken to develop a new non-admitted care classification, IHACPA will continue to refine Tier 2 in consultation with jurisdictions</w:t>
      </w:r>
      <w:r w:rsidRPr="00AC04B2">
        <w:t>.</w:t>
      </w:r>
    </w:p>
    <w:p w14:paraId="5EB27518" w14:textId="77777777" w:rsidR="00731864" w:rsidRPr="00AC04B2" w:rsidRDefault="00731864" w:rsidP="00FD0888">
      <w:pPr>
        <w:pStyle w:val="H4"/>
        <w:keepNext/>
        <w:ind w:left="357" w:hanging="357"/>
      </w:pPr>
      <w:bookmarkStart w:id="94" w:name="_Toc55045627"/>
      <w:bookmarkStart w:id="95" w:name="_Toc55053998"/>
      <w:bookmarkStart w:id="96" w:name="_Toc55237218"/>
      <w:bookmarkStart w:id="97" w:name="_Toc55238305"/>
      <w:bookmarkStart w:id="98" w:name="_Toc55974123"/>
      <w:bookmarkEnd w:id="91"/>
      <w:r w:rsidRPr="00AC04B2">
        <w:t>Mental health care</w:t>
      </w:r>
      <w:bookmarkEnd w:id="94"/>
      <w:bookmarkEnd w:id="95"/>
      <w:bookmarkEnd w:id="96"/>
      <w:bookmarkEnd w:id="97"/>
      <w:bookmarkEnd w:id="98"/>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31864" w:rsidRPr="00AC04B2" w14:paraId="2F26AB6A" w14:textId="77777777" w:rsidTr="00A94BD5">
        <w:tc>
          <w:tcPr>
            <w:tcW w:w="3726" w:type="pct"/>
            <w:tcBorders>
              <w:top w:val="nil"/>
              <w:bottom w:val="nil"/>
            </w:tcBorders>
            <w:shd w:val="clear" w:color="auto" w:fill="379887" w:themeFill="accent5" w:themeFillShade="BF"/>
            <w:vAlign w:val="center"/>
          </w:tcPr>
          <w:p w14:paraId="7F4312F3" w14:textId="5446DA0E" w:rsidR="00731864" w:rsidRPr="00AC04B2" w:rsidRDefault="00731864" w:rsidP="00A207F8">
            <w:pPr>
              <w:pStyle w:val="TableHeading"/>
            </w:pPr>
            <w:r w:rsidRPr="00AC04B2">
              <w:t>Deliverable</w:t>
            </w:r>
          </w:p>
        </w:tc>
        <w:tc>
          <w:tcPr>
            <w:tcW w:w="1274" w:type="pct"/>
            <w:tcBorders>
              <w:top w:val="nil"/>
              <w:bottom w:val="nil"/>
            </w:tcBorders>
            <w:shd w:val="clear" w:color="auto" w:fill="379887" w:themeFill="accent5" w:themeFillShade="BF"/>
            <w:vAlign w:val="center"/>
          </w:tcPr>
          <w:p w14:paraId="4B3AF06F" w14:textId="77777777" w:rsidR="00731864" w:rsidRPr="00AC04B2" w:rsidRDefault="00731864" w:rsidP="00A207F8">
            <w:pPr>
              <w:pStyle w:val="TableHeading"/>
            </w:pPr>
            <w:r w:rsidRPr="00AC04B2">
              <w:t>Timeframe</w:t>
            </w:r>
          </w:p>
        </w:tc>
      </w:tr>
      <w:tr w:rsidR="00D90E30" w:rsidRPr="00AC04B2" w:rsidDel="00DF7ABB" w14:paraId="43908D8F" w14:textId="77777777" w:rsidTr="00A94BD5">
        <w:trPr>
          <w:trHeight w:val="290"/>
        </w:trPr>
        <w:tc>
          <w:tcPr>
            <w:tcW w:w="3726" w:type="pct"/>
            <w:tcBorders>
              <w:top w:val="nil"/>
              <w:bottom w:val="single" w:sz="4" w:space="0" w:color="auto"/>
            </w:tcBorders>
          </w:tcPr>
          <w:p w14:paraId="31B51EC0" w14:textId="72BDA292" w:rsidR="00D90E30" w:rsidRPr="00AC04B2" w:rsidDel="00DF7ABB" w:rsidRDefault="00E16110" w:rsidP="00F8396F">
            <w:pPr>
              <w:pStyle w:val="TableBodySmall"/>
            </w:pPr>
            <w:r>
              <w:t xml:space="preserve">Continue </w:t>
            </w:r>
            <w:r w:rsidR="007C7B4A">
              <w:t>development of</w:t>
            </w:r>
            <w:r w:rsidR="00D90E30">
              <w:t xml:space="preserve"> the Australian Mental Health Care Classification Version 2.0</w:t>
            </w:r>
          </w:p>
        </w:tc>
        <w:tc>
          <w:tcPr>
            <w:tcW w:w="1274" w:type="pct"/>
            <w:tcBorders>
              <w:top w:val="nil"/>
              <w:bottom w:val="single" w:sz="4" w:space="0" w:color="auto"/>
            </w:tcBorders>
          </w:tcPr>
          <w:p w14:paraId="0C696D3E" w14:textId="70129DA4" w:rsidR="00D90E30" w:rsidDel="00DF7ABB" w:rsidRDefault="00E16110" w:rsidP="00F8396F">
            <w:pPr>
              <w:pStyle w:val="TableBodySmall"/>
            </w:pPr>
            <w:r>
              <w:t>Ongoing</w:t>
            </w:r>
          </w:p>
        </w:tc>
      </w:tr>
    </w:tbl>
    <w:p w14:paraId="325F3024" w14:textId="77777777" w:rsidR="000362C5" w:rsidRDefault="000362C5" w:rsidP="00F00D91">
      <w:pPr>
        <w:pStyle w:val="Body"/>
      </w:pPr>
    </w:p>
    <w:p w14:paraId="6A462DA8" w14:textId="6B28171D" w:rsidR="00731864" w:rsidRPr="000362C5" w:rsidRDefault="00731864" w:rsidP="00F00D91">
      <w:pPr>
        <w:pStyle w:val="Body"/>
        <w:rPr>
          <w:b/>
          <w:bCs/>
        </w:rPr>
      </w:pPr>
      <w:r w:rsidRPr="000362C5">
        <w:rPr>
          <w:b/>
          <w:bCs/>
        </w:rPr>
        <w:t>The Australian Mental Health Care Classification (AMHCC) Version 1.</w:t>
      </w:r>
      <w:r w:rsidR="00A55774">
        <w:rPr>
          <w:b/>
          <w:bCs/>
        </w:rPr>
        <w:t>1</w:t>
      </w:r>
      <w:r w:rsidRPr="000362C5">
        <w:rPr>
          <w:b/>
          <w:bCs/>
        </w:rPr>
        <w:t xml:space="preserve"> was </w:t>
      </w:r>
      <w:r w:rsidR="00514B81">
        <w:rPr>
          <w:b/>
          <w:bCs/>
        </w:rPr>
        <w:t>released</w:t>
      </w:r>
      <w:r w:rsidRPr="000362C5">
        <w:rPr>
          <w:b/>
          <w:bCs/>
        </w:rPr>
        <w:t xml:space="preserve"> in </w:t>
      </w:r>
      <w:r w:rsidR="00514B81">
        <w:rPr>
          <w:b/>
          <w:bCs/>
        </w:rPr>
        <w:t>December 2023</w:t>
      </w:r>
      <w:r w:rsidR="00A55774">
        <w:rPr>
          <w:b/>
          <w:bCs/>
        </w:rPr>
        <w:t>. AMHCC Version 1.1</w:t>
      </w:r>
      <w:r w:rsidRPr="000362C5">
        <w:rPr>
          <w:b/>
          <w:bCs/>
        </w:rPr>
        <w:t xml:space="preserve"> </w:t>
      </w:r>
      <w:r w:rsidR="00F950B4">
        <w:rPr>
          <w:b/>
          <w:bCs/>
        </w:rPr>
        <w:t>has been</w:t>
      </w:r>
      <w:r w:rsidRPr="000362C5">
        <w:rPr>
          <w:b/>
          <w:bCs/>
        </w:rPr>
        <w:t xml:space="preserve"> used to price admitted </w:t>
      </w:r>
      <w:r w:rsidR="00A55774">
        <w:rPr>
          <w:b/>
          <w:bCs/>
        </w:rPr>
        <w:t xml:space="preserve">and community </w:t>
      </w:r>
      <w:r w:rsidRPr="000362C5">
        <w:rPr>
          <w:b/>
          <w:bCs/>
        </w:rPr>
        <w:t xml:space="preserve">mental health care </w:t>
      </w:r>
      <w:r w:rsidR="00F950B4">
        <w:rPr>
          <w:b/>
          <w:bCs/>
        </w:rPr>
        <w:t xml:space="preserve">since </w:t>
      </w:r>
      <w:r w:rsidR="007A7631">
        <w:rPr>
          <w:b/>
          <w:bCs/>
        </w:rPr>
        <w:t>1</w:t>
      </w:r>
      <w:r w:rsidR="00F950B4">
        <w:rPr>
          <w:b/>
          <w:bCs/>
        </w:rPr>
        <w:t> </w:t>
      </w:r>
      <w:r w:rsidR="007A7631">
        <w:rPr>
          <w:b/>
          <w:bCs/>
        </w:rPr>
        <w:t>July</w:t>
      </w:r>
      <w:r w:rsidR="00F950B4">
        <w:rPr>
          <w:b/>
          <w:bCs/>
        </w:rPr>
        <w:t> </w:t>
      </w:r>
      <w:r w:rsidR="007A7631">
        <w:rPr>
          <w:b/>
          <w:bCs/>
        </w:rPr>
        <w:t>2025</w:t>
      </w:r>
      <w:r w:rsidRPr="000362C5">
        <w:rPr>
          <w:b/>
          <w:bCs/>
        </w:rPr>
        <w:t>.</w:t>
      </w:r>
    </w:p>
    <w:p w14:paraId="35F909CE" w14:textId="3A8BD714" w:rsidR="003C54AD" w:rsidRDefault="00B64C79" w:rsidP="00D90E30">
      <w:pPr>
        <w:pStyle w:val="Body"/>
      </w:pPr>
      <w:bookmarkStart w:id="99" w:name="_Hlk151042638"/>
      <w:r>
        <w:t>In 202</w:t>
      </w:r>
      <w:r w:rsidR="00C457F2">
        <w:t>6</w:t>
      </w:r>
      <w:r w:rsidR="00DD7058">
        <w:t>–27</w:t>
      </w:r>
      <w:r>
        <w:t>,</w:t>
      </w:r>
      <w:r w:rsidR="004404EB">
        <w:t xml:space="preserve"> </w:t>
      </w:r>
      <w:r w:rsidR="00DC4D7B">
        <w:t>IHACPA</w:t>
      </w:r>
      <w:r w:rsidR="00DC4D7B" w:rsidRPr="007C29E1">
        <w:t xml:space="preserve"> </w:t>
      </w:r>
      <w:r w:rsidR="00E07D11">
        <w:t xml:space="preserve">will continue </w:t>
      </w:r>
      <w:r w:rsidR="00445D8B">
        <w:t>deve</w:t>
      </w:r>
      <w:r w:rsidR="00EA2217">
        <w:t>l</w:t>
      </w:r>
      <w:r w:rsidR="00445D8B">
        <w:t xml:space="preserve">opment of AMHCC Version 2.0 </w:t>
      </w:r>
      <w:r w:rsidR="00E07D11">
        <w:t>including</w:t>
      </w:r>
      <w:r w:rsidR="00DC4D7B">
        <w:t xml:space="preserve"> </w:t>
      </w:r>
      <w:r w:rsidR="007C3478">
        <w:t xml:space="preserve">investigating </w:t>
      </w:r>
      <w:r w:rsidR="00EA2217">
        <w:t>areas for refinement, such as</w:t>
      </w:r>
      <w:r w:rsidR="00DE4F4C">
        <w:t xml:space="preserve"> </w:t>
      </w:r>
      <w:r w:rsidR="007C3478">
        <w:t>the treatment of age within the classification</w:t>
      </w:r>
      <w:r w:rsidR="00114CFE">
        <w:t xml:space="preserve">, reviewing </w:t>
      </w:r>
      <w:r w:rsidR="007C3478">
        <w:t>consumer characteristi</w:t>
      </w:r>
      <w:r w:rsidR="009D4861">
        <w:t>c</w:t>
      </w:r>
      <w:r w:rsidR="007C3478">
        <w:t xml:space="preserve">s of same-day treatments and </w:t>
      </w:r>
      <w:r w:rsidR="00114CFE">
        <w:t xml:space="preserve">the application of </w:t>
      </w:r>
      <w:r w:rsidR="007C3478">
        <w:t>m</w:t>
      </w:r>
      <w:r w:rsidR="00114CFE">
        <w:t xml:space="preserve">ental </w:t>
      </w:r>
      <w:r w:rsidR="007C3478">
        <w:t>h</w:t>
      </w:r>
      <w:r w:rsidR="00114CFE">
        <w:t xml:space="preserve">ealth </w:t>
      </w:r>
      <w:r w:rsidR="007C3478">
        <w:t>l</w:t>
      </w:r>
      <w:r w:rsidR="00114CFE">
        <w:t xml:space="preserve">egal </w:t>
      </w:r>
      <w:r w:rsidR="007C3478">
        <w:t>s</w:t>
      </w:r>
      <w:r w:rsidR="00114CFE">
        <w:t xml:space="preserve">tatus </w:t>
      </w:r>
      <w:r w:rsidR="007C3478">
        <w:t>across settings</w:t>
      </w:r>
      <w:r w:rsidR="00114CFE">
        <w:t xml:space="preserve"> in consultation with jurisdictions</w:t>
      </w:r>
      <w:r w:rsidR="007C3478">
        <w:t>, clinical and consumer representatives</w:t>
      </w:r>
      <w:r w:rsidR="00B2430D">
        <w:t xml:space="preserve"> and other stakeholders</w:t>
      </w:r>
      <w:r w:rsidR="005E53FF" w:rsidRPr="00AC04B2">
        <w:t>.</w:t>
      </w:r>
      <w:bookmarkStart w:id="100" w:name="_Toc55045632"/>
      <w:bookmarkStart w:id="101" w:name="_Toc55054003"/>
      <w:bookmarkStart w:id="102" w:name="_Toc55237223"/>
      <w:bookmarkStart w:id="103" w:name="_Toc55238310"/>
      <w:bookmarkStart w:id="104" w:name="_Toc55974128"/>
      <w:bookmarkEnd w:id="92"/>
    </w:p>
    <w:bookmarkEnd w:id="99"/>
    <w:p w14:paraId="31B06D7F" w14:textId="3029A327" w:rsidR="00C27B65" w:rsidRPr="00AC04B2" w:rsidRDefault="00C27B65" w:rsidP="00372AC8">
      <w:pPr>
        <w:pStyle w:val="H4"/>
        <w:keepNext/>
        <w:ind w:left="357" w:hanging="357"/>
      </w:pPr>
      <w:r w:rsidRPr="00AC04B2">
        <w:t>Teaching</w:t>
      </w:r>
      <w:r w:rsidR="004970B6" w:rsidRPr="00AC04B2">
        <w:t>, t</w:t>
      </w:r>
      <w:r w:rsidRPr="00AC04B2">
        <w:t xml:space="preserve">raining </w:t>
      </w:r>
      <w:bookmarkEnd w:id="100"/>
      <w:bookmarkEnd w:id="101"/>
      <w:bookmarkEnd w:id="102"/>
      <w:bookmarkEnd w:id="103"/>
      <w:bookmarkEnd w:id="104"/>
      <w:r w:rsidR="004970B6" w:rsidRPr="00AC04B2">
        <w:t>and research</w:t>
      </w:r>
      <w:r w:rsidRPr="00AC04B2">
        <w:t>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A0345" w:rsidRPr="00AC04B2" w14:paraId="0F67B1E7" w14:textId="77777777" w:rsidTr="007708B8">
        <w:tc>
          <w:tcPr>
            <w:tcW w:w="3726" w:type="pct"/>
            <w:tcBorders>
              <w:top w:val="nil"/>
              <w:bottom w:val="nil"/>
            </w:tcBorders>
            <w:shd w:val="clear" w:color="auto" w:fill="379887" w:themeFill="accent5" w:themeFillShade="BF"/>
            <w:vAlign w:val="center"/>
          </w:tcPr>
          <w:p w14:paraId="586561CC" w14:textId="4E846FE2" w:rsidR="003A0345" w:rsidRPr="00AC04B2" w:rsidRDefault="00FF0E74" w:rsidP="00A207F8">
            <w:pPr>
              <w:pStyle w:val="TableHeading"/>
            </w:pPr>
            <w:r w:rsidRPr="00AC04B2">
              <w:t>Deliverable</w:t>
            </w:r>
          </w:p>
        </w:tc>
        <w:tc>
          <w:tcPr>
            <w:tcW w:w="1274" w:type="pct"/>
            <w:tcBorders>
              <w:top w:val="nil"/>
              <w:bottom w:val="nil"/>
            </w:tcBorders>
            <w:shd w:val="clear" w:color="auto" w:fill="379887" w:themeFill="accent5" w:themeFillShade="BF"/>
            <w:vAlign w:val="center"/>
          </w:tcPr>
          <w:p w14:paraId="4465C5F2" w14:textId="2838C61A" w:rsidR="003A0345" w:rsidRPr="00AC04B2" w:rsidRDefault="00FF0E74" w:rsidP="00A207F8">
            <w:pPr>
              <w:pStyle w:val="TableHeading"/>
            </w:pPr>
            <w:r w:rsidRPr="00AC04B2">
              <w:t>Timeframe</w:t>
            </w:r>
          </w:p>
        </w:tc>
      </w:tr>
      <w:tr w:rsidR="004970B6" w:rsidRPr="00AC04B2" w14:paraId="435295E3" w14:textId="77777777" w:rsidTr="00241711">
        <w:trPr>
          <w:trHeight w:val="290"/>
        </w:trPr>
        <w:tc>
          <w:tcPr>
            <w:tcW w:w="3726" w:type="pct"/>
            <w:tcBorders>
              <w:top w:val="nil"/>
              <w:bottom w:val="single" w:sz="4" w:space="0" w:color="auto"/>
            </w:tcBorders>
          </w:tcPr>
          <w:p w14:paraId="1820AE5B" w14:textId="643333EB" w:rsidR="004970B6" w:rsidRPr="00AC04B2" w:rsidRDefault="004970B6" w:rsidP="00A207F8">
            <w:pPr>
              <w:pStyle w:val="TableBodySmall"/>
            </w:pPr>
            <w:r w:rsidRPr="00AC04B2">
              <w:t>Continue to work with jurisdictions to implement the Australian Teaching and Training Classification.</w:t>
            </w:r>
          </w:p>
        </w:tc>
        <w:tc>
          <w:tcPr>
            <w:tcW w:w="1274" w:type="pct"/>
            <w:tcBorders>
              <w:top w:val="nil"/>
              <w:bottom w:val="single" w:sz="4" w:space="0" w:color="auto"/>
            </w:tcBorders>
          </w:tcPr>
          <w:p w14:paraId="38CD9ED1" w14:textId="256C4FF6" w:rsidR="004970B6" w:rsidRPr="00AC04B2" w:rsidRDefault="004970B6" w:rsidP="00A207F8">
            <w:pPr>
              <w:pStyle w:val="TableBodySmall"/>
            </w:pPr>
            <w:r w:rsidRPr="00AC04B2">
              <w:t>Ongoing</w:t>
            </w:r>
          </w:p>
        </w:tc>
      </w:tr>
    </w:tbl>
    <w:p w14:paraId="3FE13F5E" w14:textId="77777777" w:rsidR="000362C5" w:rsidRDefault="000362C5" w:rsidP="00F00D91">
      <w:pPr>
        <w:pStyle w:val="Body"/>
      </w:pPr>
    </w:p>
    <w:p w14:paraId="4273E128" w14:textId="24909EC8" w:rsidR="001D1734" w:rsidRPr="000362C5" w:rsidRDefault="004970B6" w:rsidP="00F00D91">
      <w:pPr>
        <w:pStyle w:val="Body"/>
        <w:rPr>
          <w:b/>
          <w:bCs/>
        </w:rPr>
      </w:pPr>
      <w:r w:rsidRPr="000362C5">
        <w:rPr>
          <w:b/>
          <w:bCs/>
        </w:rPr>
        <w:t>The Australian Teaching and Training Classification (ATTC) Version 1.0 was released</w:t>
      </w:r>
      <w:r w:rsidR="001B09DD" w:rsidRPr="000362C5">
        <w:rPr>
          <w:b/>
          <w:bCs/>
        </w:rPr>
        <w:t xml:space="preserve"> in </w:t>
      </w:r>
      <w:r w:rsidRPr="000362C5">
        <w:rPr>
          <w:b/>
          <w:bCs/>
        </w:rPr>
        <w:t>July 2018.</w:t>
      </w:r>
    </w:p>
    <w:p w14:paraId="2F3BF2DD" w14:textId="58E38877" w:rsidR="004970B6" w:rsidRPr="00AC04B2" w:rsidRDefault="004970B6" w:rsidP="00F00D91">
      <w:pPr>
        <w:pStyle w:val="Body"/>
      </w:pPr>
      <w:r w:rsidRPr="00AC04B2">
        <w:t>IH</w:t>
      </w:r>
      <w:r w:rsidR="001A529D" w:rsidRPr="00AC04B2">
        <w:t>AC</w:t>
      </w:r>
      <w:r w:rsidRPr="00AC04B2">
        <w:t xml:space="preserve">PA has developed the ATTC as a national classification for teaching and training activities </w:t>
      </w:r>
      <w:r w:rsidR="00D50265">
        <w:t>that</w:t>
      </w:r>
      <w:r w:rsidRPr="00AC04B2">
        <w:t xml:space="preserve"> occur in public hospitals. The ATTC aims to provide a nationally consistent approach to how teaching and training activities are classified, counted and costed.</w:t>
      </w:r>
    </w:p>
    <w:p w14:paraId="29E0C8E0" w14:textId="418C9E6A" w:rsidR="004970B6" w:rsidRPr="00AC04B2" w:rsidRDefault="004970B6" w:rsidP="00F00D91">
      <w:pPr>
        <w:pStyle w:val="Body"/>
      </w:pPr>
      <w:r w:rsidRPr="00AC04B2">
        <w:t xml:space="preserve">The ATTC will improve reporting of hospital-based teaching and training </w:t>
      </w:r>
      <w:r w:rsidR="00557DCF" w:rsidRPr="00AC04B2">
        <w:t xml:space="preserve">activities </w:t>
      </w:r>
      <w:r w:rsidRPr="00AC04B2">
        <w:t xml:space="preserve">and in the future improve the transparency of funding. </w:t>
      </w:r>
      <w:r w:rsidR="00B20E4E">
        <w:t>State and territory governments</w:t>
      </w:r>
      <w:r w:rsidR="00B20E4E" w:rsidRPr="00AC04B2">
        <w:t xml:space="preserve"> </w:t>
      </w:r>
      <w:r w:rsidRPr="00AC04B2">
        <w:t>broadly support ATTC but note there are challenges related to its implementation, such as the availability of activity and cost data.</w:t>
      </w:r>
    </w:p>
    <w:p w14:paraId="2F8702E2" w14:textId="065D7403" w:rsidR="004970B6" w:rsidRPr="00AC04B2" w:rsidRDefault="004970B6" w:rsidP="008E4EF5">
      <w:pPr>
        <w:pStyle w:val="Body"/>
        <w:keepLines/>
      </w:pPr>
      <w:r w:rsidRPr="00AC04B2">
        <w:t>In 202</w:t>
      </w:r>
      <w:r w:rsidR="00E76CF4">
        <w:t>6</w:t>
      </w:r>
      <w:r w:rsidRPr="00AC04B2">
        <w:t>–2</w:t>
      </w:r>
      <w:r w:rsidR="00E76CF4">
        <w:t>7</w:t>
      </w:r>
      <w:r w:rsidRPr="00AC04B2">
        <w:t>, IH</w:t>
      </w:r>
      <w:r w:rsidR="001A529D" w:rsidRPr="00AC04B2">
        <w:t>AC</w:t>
      </w:r>
      <w:r w:rsidRPr="00AC04B2">
        <w:t xml:space="preserve">PA will </w:t>
      </w:r>
      <w:r w:rsidR="00E76CF4">
        <w:t xml:space="preserve">continue to </w:t>
      </w:r>
      <w:r w:rsidRPr="00AC04B2">
        <w:t xml:space="preserve">work with </w:t>
      </w:r>
      <w:r w:rsidR="001B09DD" w:rsidRPr="00AC04B2">
        <w:t>jurisdictions</w:t>
      </w:r>
      <w:r w:rsidRPr="00AC04B2">
        <w:t xml:space="preserve"> </w:t>
      </w:r>
      <w:r w:rsidR="0068398B" w:rsidRPr="0068398B">
        <w:t>to gain a clearer understanding of the composition of existing block-funded amounts for teaching and training, and how this funding is distributed across the states and territories</w:t>
      </w:r>
      <w:r w:rsidR="007856FA">
        <w:t xml:space="preserve">, while </w:t>
      </w:r>
      <w:r w:rsidRPr="00AC04B2">
        <w:t>improve</w:t>
      </w:r>
      <w:r w:rsidR="001C2236">
        <w:t>ments to</w:t>
      </w:r>
      <w:r w:rsidRPr="00AC04B2">
        <w:t xml:space="preserve"> the reporting of activity and cost data </w:t>
      </w:r>
      <w:r w:rsidR="001C2236">
        <w:t xml:space="preserve">continue to be made </w:t>
      </w:r>
      <w:r w:rsidRPr="00AC04B2">
        <w:t xml:space="preserve">to support implementation. </w:t>
      </w:r>
    </w:p>
    <w:p w14:paraId="21DF6F5F" w14:textId="044DFF92" w:rsidR="00180731" w:rsidRDefault="004970B6" w:rsidP="00F00D91">
      <w:pPr>
        <w:pStyle w:val="Body"/>
      </w:pPr>
      <w:r w:rsidRPr="00AC04B2">
        <w:t xml:space="preserve">Research is not incorporated into the ATTC and </w:t>
      </w:r>
      <w:r w:rsidR="005A6897">
        <w:t xml:space="preserve">IHACPA is not proposing any </w:t>
      </w:r>
      <w:r w:rsidRPr="00AC04B2">
        <w:t xml:space="preserve">further work </w:t>
      </w:r>
      <w:r w:rsidR="005A6897">
        <w:t xml:space="preserve">to develop </w:t>
      </w:r>
      <w:r w:rsidRPr="00AC04B2">
        <w:t>a research classification.</w:t>
      </w:r>
    </w:p>
    <w:p w14:paraId="6417E8E2" w14:textId="5A2D3D4D" w:rsidR="00976ACF" w:rsidRPr="000C1026" w:rsidRDefault="00180731" w:rsidP="00F52C1C">
      <w:r>
        <w:br w:type="page"/>
      </w:r>
    </w:p>
    <w:p w14:paraId="4B07126F" w14:textId="17D625C1" w:rsidR="003A0345" w:rsidRPr="00AC04B2" w:rsidRDefault="004970B6" w:rsidP="00341CAC">
      <w:pPr>
        <w:pStyle w:val="H4"/>
        <w:keepNext/>
        <w:ind w:left="357" w:hanging="357"/>
      </w:pPr>
      <w:bookmarkStart w:id="105" w:name="_Hlk161394076"/>
      <w:r w:rsidRPr="00AC04B2">
        <w:lastRenderedPageBreak/>
        <w:t xml:space="preserve">Sales of the </w:t>
      </w:r>
      <w:r w:rsidR="00557DCF" w:rsidRPr="00AC04B2">
        <w:t>admitted acute care</w:t>
      </w:r>
      <w:r w:rsidRPr="00AC04B2">
        <w:t xml:space="preserve"> classification system</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EF34BA" w:rsidRPr="00AC04B2" w14:paraId="2187D341" w14:textId="77777777" w:rsidTr="00DB0213">
        <w:tc>
          <w:tcPr>
            <w:tcW w:w="3726" w:type="pct"/>
            <w:tcBorders>
              <w:top w:val="nil"/>
              <w:bottom w:val="nil"/>
            </w:tcBorders>
            <w:shd w:val="clear" w:color="auto" w:fill="379887" w:themeFill="accent5" w:themeFillShade="BF"/>
            <w:vAlign w:val="center"/>
          </w:tcPr>
          <w:p w14:paraId="695AFFB8" w14:textId="56E25276" w:rsidR="00EF34BA" w:rsidRPr="00AC04B2" w:rsidRDefault="00FF0E74" w:rsidP="00E641EF">
            <w:pPr>
              <w:pStyle w:val="TableHeading"/>
              <w:keepNext/>
            </w:pPr>
            <w:r w:rsidRPr="00AC04B2">
              <w:t>Deliverable</w:t>
            </w:r>
          </w:p>
        </w:tc>
        <w:tc>
          <w:tcPr>
            <w:tcW w:w="1274" w:type="pct"/>
            <w:tcBorders>
              <w:top w:val="nil"/>
              <w:bottom w:val="nil"/>
            </w:tcBorders>
            <w:shd w:val="clear" w:color="auto" w:fill="379887" w:themeFill="accent5" w:themeFillShade="BF"/>
            <w:vAlign w:val="center"/>
          </w:tcPr>
          <w:p w14:paraId="6311160D" w14:textId="7C189F7D" w:rsidR="00EF34BA" w:rsidRPr="00AC04B2" w:rsidRDefault="00FF0E74" w:rsidP="00E641EF">
            <w:pPr>
              <w:pStyle w:val="TableHeading"/>
              <w:keepNext/>
            </w:pPr>
            <w:r w:rsidRPr="00AC04B2">
              <w:t>Timeframe</w:t>
            </w:r>
          </w:p>
        </w:tc>
      </w:tr>
      <w:tr w:rsidR="00EF34BA" w:rsidRPr="00AC04B2" w14:paraId="47590802" w14:textId="77777777" w:rsidTr="00DB0213">
        <w:trPr>
          <w:trHeight w:val="290"/>
        </w:trPr>
        <w:tc>
          <w:tcPr>
            <w:tcW w:w="3726" w:type="pct"/>
            <w:tcBorders>
              <w:top w:val="nil"/>
              <w:bottom w:val="single" w:sz="2" w:space="0" w:color="auto"/>
            </w:tcBorders>
          </w:tcPr>
          <w:p w14:paraId="72C038FB" w14:textId="685D938E" w:rsidR="00EF34BA" w:rsidRPr="00AC04B2" w:rsidRDefault="00E2490E" w:rsidP="00E641EF">
            <w:pPr>
              <w:pStyle w:val="TableBodySmall"/>
              <w:keepNext/>
            </w:pPr>
            <w:r w:rsidRPr="00AC04B2">
              <w:t xml:space="preserve">Manage </w:t>
            </w:r>
            <w:r w:rsidR="004970B6" w:rsidRPr="00AC04B2">
              <w:t xml:space="preserve">the international sales of the </w:t>
            </w:r>
            <w:r w:rsidR="00BA1FAA">
              <w:t>International</w:t>
            </w:r>
            <w:r w:rsidR="00290DA0">
              <w:t xml:space="preserve"> </w:t>
            </w:r>
            <w:r w:rsidR="00BA1FAA">
              <w:t>Statistical</w:t>
            </w:r>
            <w:r w:rsidR="00290DA0">
              <w:t xml:space="preserve"> Classification of Diseases and Related Health Problems, Tenth Revision, Australian Modification, Australian Classification of Health Interventions, Australian </w:t>
            </w:r>
            <w:r w:rsidR="00BA1FAA">
              <w:t>Coding</w:t>
            </w:r>
            <w:r w:rsidR="00290DA0">
              <w:t xml:space="preserve"> Standards (ICD-10-AM/ACHI/ACS) and the Australian Refined Diagnosis Related Groups (AR-DRG) </w:t>
            </w:r>
            <w:r w:rsidR="00BE13B4">
              <w:t>classification systems</w:t>
            </w:r>
            <w:r w:rsidR="004970B6" w:rsidRPr="00AC04B2">
              <w:t>.</w:t>
            </w:r>
          </w:p>
        </w:tc>
        <w:tc>
          <w:tcPr>
            <w:tcW w:w="1274" w:type="pct"/>
            <w:tcBorders>
              <w:top w:val="nil"/>
              <w:bottom w:val="single" w:sz="2" w:space="0" w:color="auto"/>
            </w:tcBorders>
          </w:tcPr>
          <w:p w14:paraId="5356E341" w14:textId="77777777" w:rsidR="00EF34BA" w:rsidRPr="00AC04B2" w:rsidRDefault="00EF34BA" w:rsidP="00E641EF">
            <w:pPr>
              <w:pStyle w:val="TableBodySmall"/>
              <w:keepNext/>
            </w:pPr>
            <w:r w:rsidRPr="00AC04B2">
              <w:t>Ongoing</w:t>
            </w:r>
          </w:p>
        </w:tc>
      </w:tr>
    </w:tbl>
    <w:p w14:paraId="44E1DAD9" w14:textId="77777777" w:rsidR="00DF5B90" w:rsidRDefault="00DF5B90" w:rsidP="00F00D91">
      <w:pPr>
        <w:pStyle w:val="Body"/>
      </w:pPr>
    </w:p>
    <w:p w14:paraId="1B50F75C" w14:textId="3EFAA625" w:rsidR="003A0345" w:rsidRPr="00AC04B2" w:rsidRDefault="004970B6" w:rsidP="00F00D91">
      <w:pPr>
        <w:pStyle w:val="Body"/>
      </w:pPr>
      <w:r w:rsidRPr="00AC04B2">
        <w:t>IH</w:t>
      </w:r>
      <w:r w:rsidR="001A529D" w:rsidRPr="00AC04B2">
        <w:t>AC</w:t>
      </w:r>
      <w:r w:rsidRPr="00AC04B2">
        <w:t xml:space="preserve">PA </w:t>
      </w:r>
      <w:r w:rsidR="004404EB">
        <w:t>has</w:t>
      </w:r>
      <w:r w:rsidR="004404EB" w:rsidRPr="00AC04B2">
        <w:t xml:space="preserve"> </w:t>
      </w:r>
      <w:r w:rsidRPr="00AC04B2">
        <w:t>responsibility for managing international sales of the ICD-10-AM/ACHI/ACS and AR</w:t>
      </w:r>
      <w:r w:rsidR="00731864" w:rsidRPr="00AC04B2">
        <w:noBreakHyphen/>
      </w:r>
      <w:r w:rsidRPr="00AC04B2">
        <w:t>DRG classification system</w:t>
      </w:r>
      <w:r w:rsidR="00BE13B4">
        <w:t>s</w:t>
      </w:r>
      <w:r w:rsidRPr="00AC04B2">
        <w:t xml:space="preserve"> as the custodian of the </w:t>
      </w:r>
      <w:r w:rsidR="0035467D">
        <w:t>Australian Government</w:t>
      </w:r>
      <w:r w:rsidR="0035467D" w:rsidRPr="00AC04B2">
        <w:t xml:space="preserve">’s </w:t>
      </w:r>
      <w:r w:rsidRPr="00AC04B2">
        <w:t xml:space="preserve">Intellectual Property in </w:t>
      </w:r>
      <w:r w:rsidR="00BE13B4">
        <w:br/>
      </w:r>
      <w:r w:rsidRPr="00AC04B2">
        <w:t>ICD-10-AM/ACHI/ACS and AR-DRGs.</w:t>
      </w:r>
    </w:p>
    <w:p w14:paraId="1EEFBB20" w14:textId="3B26AC91" w:rsidR="003A0514" w:rsidRPr="007708B8" w:rsidRDefault="003408DD" w:rsidP="00D05BDE">
      <w:pPr>
        <w:pStyle w:val="H2"/>
      </w:pPr>
      <w:bookmarkStart w:id="106" w:name="_Toc223594821"/>
      <w:bookmarkEnd w:id="105"/>
      <w:r w:rsidRPr="007708B8">
        <w:t>2.</w:t>
      </w:r>
      <w:r w:rsidR="00ED1A85" w:rsidRPr="007708B8">
        <w:t>4</w:t>
      </w:r>
      <w:r w:rsidRPr="007708B8">
        <w:tab/>
        <w:t>Decision making and engagement</w:t>
      </w:r>
      <w:bookmarkEnd w:id="106"/>
    </w:p>
    <w:p w14:paraId="210D28DC" w14:textId="77777777" w:rsidR="00D006FF" w:rsidRPr="00AC04B2" w:rsidRDefault="00D006FF" w:rsidP="009A2239">
      <w:pPr>
        <w:pStyle w:val="H4"/>
        <w:keepNext/>
        <w:numPr>
          <w:ilvl w:val="0"/>
          <w:numId w:val="11"/>
        </w:numPr>
        <w:ind w:left="357" w:hanging="357"/>
      </w:pPr>
      <w:bookmarkStart w:id="107" w:name="_Toc55045641"/>
      <w:bookmarkStart w:id="108" w:name="_Toc55054012"/>
      <w:bookmarkStart w:id="109" w:name="_Toc55237232"/>
      <w:bookmarkStart w:id="110" w:name="_Toc55238319"/>
      <w:bookmarkStart w:id="111" w:name="_Toc55974137"/>
      <w:r>
        <w:t>Investigate and make an assessment or recommendation on cost-shifting and cross-border disputes</w:t>
      </w:r>
      <w:r w:rsidRPr="00AC04B2">
        <w:t xml:space="preserve"> </w:t>
      </w:r>
    </w:p>
    <w:tbl>
      <w:tblPr>
        <w:tblStyle w:val="TableGrid"/>
        <w:tblW w:w="5098"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230"/>
        <w:gridCol w:w="3060"/>
      </w:tblGrid>
      <w:tr w:rsidR="00D006FF" w:rsidRPr="00AC04B2" w14:paraId="3CC202AA" w14:textId="77777777" w:rsidTr="00A82A87">
        <w:trPr>
          <w:trHeight w:val="310"/>
        </w:trPr>
        <w:tc>
          <w:tcPr>
            <w:tcW w:w="3513" w:type="pct"/>
            <w:tcBorders>
              <w:top w:val="nil"/>
              <w:bottom w:val="nil"/>
            </w:tcBorders>
            <w:shd w:val="clear" w:color="auto" w:fill="379887" w:themeFill="accent5" w:themeFillShade="BF"/>
            <w:vAlign w:val="center"/>
          </w:tcPr>
          <w:p w14:paraId="10E55113" w14:textId="77777777" w:rsidR="00D006FF" w:rsidRPr="00AC04B2" w:rsidRDefault="00D006FF" w:rsidP="009A2239">
            <w:pPr>
              <w:pStyle w:val="TableHeading"/>
              <w:keepNext/>
            </w:pPr>
            <w:r w:rsidRPr="00AC04B2">
              <w:t>Deliverable</w:t>
            </w:r>
          </w:p>
        </w:tc>
        <w:tc>
          <w:tcPr>
            <w:tcW w:w="1487" w:type="pct"/>
            <w:tcBorders>
              <w:top w:val="nil"/>
              <w:bottom w:val="nil"/>
            </w:tcBorders>
            <w:shd w:val="clear" w:color="auto" w:fill="379887" w:themeFill="accent5" w:themeFillShade="BF"/>
            <w:vAlign w:val="center"/>
          </w:tcPr>
          <w:p w14:paraId="4863EE83" w14:textId="77777777" w:rsidR="00D006FF" w:rsidRPr="00AC04B2" w:rsidRDefault="00D006FF" w:rsidP="009A2239">
            <w:pPr>
              <w:pStyle w:val="TableHeading"/>
              <w:keepNext/>
            </w:pPr>
            <w:r w:rsidRPr="00AC04B2">
              <w:t>Timeframe</w:t>
            </w:r>
          </w:p>
        </w:tc>
      </w:tr>
      <w:tr w:rsidR="00D006FF" w:rsidRPr="00AC04B2" w14:paraId="26CEF176" w14:textId="77777777" w:rsidTr="00A82A87">
        <w:trPr>
          <w:trHeight w:val="218"/>
        </w:trPr>
        <w:tc>
          <w:tcPr>
            <w:tcW w:w="3513" w:type="pct"/>
            <w:tcBorders>
              <w:top w:val="nil"/>
              <w:bottom w:val="single" w:sz="4" w:space="0" w:color="auto"/>
            </w:tcBorders>
          </w:tcPr>
          <w:p w14:paraId="79ECFCE2" w14:textId="77777777" w:rsidR="00D006FF" w:rsidRPr="00AC04B2" w:rsidRDefault="00D006FF" w:rsidP="009A2239">
            <w:pPr>
              <w:pStyle w:val="TableBodySmall"/>
              <w:keepNext/>
            </w:pPr>
            <w:r>
              <w:t>Investigate and make recommendations on cross-border disputes.</w:t>
            </w:r>
          </w:p>
        </w:tc>
        <w:tc>
          <w:tcPr>
            <w:tcW w:w="1487" w:type="pct"/>
            <w:tcBorders>
              <w:top w:val="nil"/>
              <w:bottom w:val="single" w:sz="4" w:space="0" w:color="auto"/>
            </w:tcBorders>
          </w:tcPr>
          <w:p w14:paraId="13AE7519" w14:textId="77777777" w:rsidR="00D006FF" w:rsidRPr="00AC04B2" w:rsidRDefault="00D006FF" w:rsidP="009A2239">
            <w:pPr>
              <w:pStyle w:val="TableBodySmall"/>
              <w:keepNext/>
            </w:pPr>
            <w:r>
              <w:t>Ongoing</w:t>
            </w:r>
          </w:p>
        </w:tc>
      </w:tr>
      <w:tr w:rsidR="00D006FF" w:rsidRPr="00AC04B2" w14:paraId="5D03EFCA" w14:textId="77777777" w:rsidTr="00DC7A38">
        <w:trPr>
          <w:trHeight w:val="218"/>
        </w:trPr>
        <w:tc>
          <w:tcPr>
            <w:tcW w:w="3513" w:type="pct"/>
            <w:tcBorders>
              <w:top w:val="single" w:sz="4" w:space="0" w:color="auto"/>
              <w:bottom w:val="single" w:sz="4" w:space="0" w:color="auto"/>
            </w:tcBorders>
          </w:tcPr>
          <w:p w14:paraId="6C120A3D" w14:textId="77777777" w:rsidR="00D006FF" w:rsidRDefault="00D006FF" w:rsidP="009A2239">
            <w:pPr>
              <w:pStyle w:val="TableBodySmall"/>
              <w:keepNext/>
            </w:pPr>
            <w:r>
              <w:t>Investigate and make an assessment on cost-shifting disputes.</w:t>
            </w:r>
          </w:p>
        </w:tc>
        <w:tc>
          <w:tcPr>
            <w:tcW w:w="1487" w:type="pct"/>
            <w:tcBorders>
              <w:top w:val="single" w:sz="4" w:space="0" w:color="auto"/>
              <w:bottom w:val="single" w:sz="4" w:space="0" w:color="auto"/>
            </w:tcBorders>
          </w:tcPr>
          <w:p w14:paraId="0B1FC637" w14:textId="77777777" w:rsidR="00D006FF" w:rsidRDefault="00D006FF" w:rsidP="009A2239">
            <w:pPr>
              <w:pStyle w:val="TableBodySmall"/>
              <w:keepNext/>
            </w:pPr>
            <w:r>
              <w:t>Ongoing</w:t>
            </w:r>
          </w:p>
        </w:tc>
      </w:tr>
    </w:tbl>
    <w:p w14:paraId="7B1300FB" w14:textId="77777777" w:rsidR="00D006FF" w:rsidRDefault="00D006FF" w:rsidP="009A2239">
      <w:pPr>
        <w:pStyle w:val="Body"/>
        <w:keepNext/>
      </w:pPr>
    </w:p>
    <w:p w14:paraId="23198CE7" w14:textId="4642A85A" w:rsidR="00D006FF" w:rsidRPr="00BD0ECF" w:rsidRDefault="00D006FF" w:rsidP="00D006FF">
      <w:pPr>
        <w:pStyle w:val="Body"/>
        <w:rPr>
          <w:b/>
          <w:bCs/>
        </w:rPr>
      </w:pPr>
      <w:r w:rsidRPr="00BD0ECF">
        <w:rPr>
          <w:b/>
          <w:bCs/>
        </w:rPr>
        <w:t xml:space="preserve">As outlined in Part 4.3 of the </w:t>
      </w:r>
      <w:r w:rsidR="00374FC8">
        <w:rPr>
          <w:b/>
          <w:bCs/>
        </w:rPr>
        <w:t>NHR Act</w:t>
      </w:r>
      <w:r w:rsidRPr="00BD0ECF">
        <w:rPr>
          <w:b/>
          <w:bCs/>
        </w:rPr>
        <w:t xml:space="preserve">, IHACPA has a role to investigate and make recommendations </w:t>
      </w:r>
      <w:r>
        <w:rPr>
          <w:b/>
          <w:bCs/>
        </w:rPr>
        <w:t>to resolve</w:t>
      </w:r>
      <w:r w:rsidRPr="00BD0ECF">
        <w:rPr>
          <w:b/>
          <w:bCs/>
        </w:rPr>
        <w:t xml:space="preserve"> cross</w:t>
      </w:r>
      <w:r w:rsidRPr="00BD0ECF">
        <w:rPr>
          <w:rFonts w:ascii="Cambria Math" w:hAnsi="Cambria Math" w:cs="Cambria Math"/>
          <w:b/>
          <w:bCs/>
        </w:rPr>
        <w:t>‑</w:t>
      </w:r>
      <w:r w:rsidRPr="00BD0ECF">
        <w:rPr>
          <w:b/>
          <w:bCs/>
        </w:rPr>
        <w:t xml:space="preserve">border disputes and to make assessments </w:t>
      </w:r>
      <w:r>
        <w:rPr>
          <w:b/>
          <w:bCs/>
        </w:rPr>
        <w:t>to resolve</w:t>
      </w:r>
      <w:r w:rsidRPr="00BD0ECF">
        <w:rPr>
          <w:b/>
          <w:bCs/>
        </w:rPr>
        <w:t xml:space="preserve"> cost-shifting disputes</w:t>
      </w:r>
      <w:r>
        <w:rPr>
          <w:b/>
          <w:bCs/>
        </w:rPr>
        <w:t xml:space="preserve"> </w:t>
      </w:r>
      <w:bookmarkStart w:id="112" w:name="_Hlk178240982"/>
      <w:r>
        <w:rPr>
          <w:b/>
          <w:bCs/>
        </w:rPr>
        <w:t>between jurisdictions in relation to public hospital services</w:t>
      </w:r>
      <w:bookmarkEnd w:id="112"/>
      <w:r>
        <w:rPr>
          <w:b/>
          <w:bCs/>
        </w:rPr>
        <w:t>, when requested to do so by a state or territory health minister</w:t>
      </w:r>
      <w:r w:rsidRPr="00BD0ECF">
        <w:rPr>
          <w:b/>
          <w:bCs/>
        </w:rPr>
        <w:t>.</w:t>
      </w:r>
    </w:p>
    <w:p w14:paraId="263F4D2A" w14:textId="77777777" w:rsidR="00D006FF" w:rsidRPr="00AC04B2" w:rsidRDefault="00D006FF" w:rsidP="00D006FF">
      <w:pPr>
        <w:pStyle w:val="Body"/>
      </w:pPr>
      <w:r w:rsidRPr="00AC04B2">
        <w:t xml:space="preserve">IHACPA developed the </w:t>
      </w:r>
      <w:hyperlink r:id="rId26" w:history="1">
        <w:r w:rsidRPr="00497A6E">
          <w:rPr>
            <w:rStyle w:val="LinkChar"/>
            <w:rFonts w:ascii="Arial" w:hAnsi="Arial"/>
            <w:sz w:val="20"/>
            <w:szCs w:val="20"/>
          </w:rPr>
          <w:t>Cost-Shifting and Cross-Border Dispute Resolution Policy</w:t>
        </w:r>
      </w:hyperlink>
      <w:r w:rsidRPr="00A75DC9">
        <w:t xml:space="preserve"> </w:t>
      </w:r>
      <w:r w:rsidRPr="00BD0ECF">
        <w:t>to</w:t>
      </w:r>
      <w:r w:rsidRPr="00AC04B2">
        <w:t xml:space="preserve"> guide timely, equitable and transparent processes to investigate both cross</w:t>
      </w:r>
      <w:r w:rsidRPr="00AC04B2">
        <w:rPr>
          <w:rFonts w:ascii="Cambria Math" w:hAnsi="Cambria Math" w:cs="Cambria Math"/>
        </w:rPr>
        <w:t>‑</w:t>
      </w:r>
      <w:r w:rsidRPr="00AC04B2">
        <w:t>border and cost-shifting disputes.</w:t>
      </w:r>
    </w:p>
    <w:p w14:paraId="65801687" w14:textId="77777777" w:rsidR="00D006FF" w:rsidRPr="00AC04B2" w:rsidRDefault="00D006FF" w:rsidP="00D006FF">
      <w:pPr>
        <w:pStyle w:val="Body"/>
      </w:pPr>
      <w:r w:rsidRPr="00883C3A">
        <w:t xml:space="preserve">The </w:t>
      </w:r>
      <w:r w:rsidRPr="00497A6E">
        <w:t>Cost-Shifting and Cross-Border Dispute Resolution Policy</w:t>
      </w:r>
      <w:r w:rsidRPr="00883C3A">
        <w:t xml:space="preserve"> is reviewed </w:t>
      </w:r>
      <w:r>
        <w:t xml:space="preserve">regularly </w:t>
      </w:r>
      <w:r w:rsidRPr="00883C3A">
        <w:t>in consultation with all jurisdictions to ensure it remains current to sufficiently support IHACPA’s cross-border and cost</w:t>
      </w:r>
      <w:r w:rsidRPr="00883C3A">
        <w:rPr>
          <w:rFonts w:ascii="Cambria Math" w:hAnsi="Cambria Math" w:cs="Cambria Math"/>
        </w:rPr>
        <w:t>‑</w:t>
      </w:r>
      <w:r w:rsidRPr="00883C3A">
        <w:t xml:space="preserve">shifting dispute resolution role. </w:t>
      </w:r>
    </w:p>
    <w:p w14:paraId="2B076458" w14:textId="77777777" w:rsidR="00D006FF" w:rsidRPr="00AC04B2" w:rsidRDefault="00D006FF" w:rsidP="00F622CD">
      <w:pPr>
        <w:pStyle w:val="H4"/>
        <w:keepNext/>
        <w:numPr>
          <w:ilvl w:val="0"/>
          <w:numId w:val="11"/>
        </w:numPr>
        <w:ind w:left="357" w:hanging="357"/>
      </w:pPr>
      <w:bookmarkStart w:id="113" w:name="_Toc55045651"/>
      <w:bookmarkStart w:id="114" w:name="_Toc55054019"/>
      <w:bookmarkStart w:id="115" w:name="_Toc55237241"/>
      <w:bookmarkStart w:id="116" w:name="_Toc55238255"/>
      <w:bookmarkStart w:id="117" w:name="_Toc55238328"/>
      <w:bookmarkStart w:id="118" w:name="_Toc55974146"/>
      <w:r w:rsidRPr="00AC04B2">
        <w:t xml:space="preserve">Monitor and evaluate the implementation of </w:t>
      </w:r>
      <w:bookmarkEnd w:id="113"/>
      <w:bookmarkEnd w:id="114"/>
      <w:bookmarkEnd w:id="115"/>
      <w:bookmarkEnd w:id="116"/>
      <w:bookmarkEnd w:id="117"/>
      <w:bookmarkEnd w:id="118"/>
      <w:proofErr w:type="gramStart"/>
      <w:r w:rsidRPr="00AC04B2">
        <w:t>activity based</w:t>
      </w:r>
      <w:proofErr w:type="gramEnd"/>
      <w:r w:rsidRPr="00AC04B2">
        <w:t xml:space="preserve"> funding for public hospital services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D006FF" w:rsidRPr="00AC04B2" w14:paraId="4A25D562" w14:textId="77777777" w:rsidTr="007708B8">
        <w:tc>
          <w:tcPr>
            <w:tcW w:w="3726" w:type="pct"/>
            <w:tcBorders>
              <w:top w:val="nil"/>
              <w:bottom w:val="nil"/>
            </w:tcBorders>
            <w:shd w:val="clear" w:color="auto" w:fill="379887" w:themeFill="accent5" w:themeFillShade="BF"/>
            <w:vAlign w:val="center"/>
          </w:tcPr>
          <w:p w14:paraId="55A15856" w14:textId="77777777" w:rsidR="00D006FF" w:rsidRPr="00AC04B2" w:rsidRDefault="00D006FF" w:rsidP="00204BDB">
            <w:pPr>
              <w:pStyle w:val="TableHeading"/>
            </w:pPr>
            <w:r w:rsidRPr="00AC04B2">
              <w:t>Deliverable</w:t>
            </w:r>
          </w:p>
        </w:tc>
        <w:tc>
          <w:tcPr>
            <w:tcW w:w="1274" w:type="pct"/>
            <w:tcBorders>
              <w:top w:val="nil"/>
              <w:bottom w:val="nil"/>
            </w:tcBorders>
            <w:shd w:val="clear" w:color="auto" w:fill="379887" w:themeFill="accent5" w:themeFillShade="BF"/>
            <w:vAlign w:val="center"/>
          </w:tcPr>
          <w:p w14:paraId="29C6C950" w14:textId="77777777" w:rsidR="00D006FF" w:rsidRPr="00AC04B2" w:rsidRDefault="00D006FF" w:rsidP="00204BDB">
            <w:pPr>
              <w:pStyle w:val="TableHeading"/>
            </w:pPr>
            <w:r w:rsidRPr="00AC04B2">
              <w:t>Timeframe</w:t>
            </w:r>
          </w:p>
        </w:tc>
      </w:tr>
      <w:tr w:rsidR="00D006FF" w:rsidRPr="00AC04B2" w14:paraId="512CBD78" w14:textId="77777777" w:rsidTr="00204BDB">
        <w:trPr>
          <w:trHeight w:val="236"/>
        </w:trPr>
        <w:tc>
          <w:tcPr>
            <w:tcW w:w="3726" w:type="pct"/>
            <w:tcBorders>
              <w:top w:val="nil"/>
              <w:bottom w:val="single" w:sz="4" w:space="0" w:color="auto"/>
            </w:tcBorders>
          </w:tcPr>
          <w:p w14:paraId="2877E9D8" w14:textId="3C6F7750" w:rsidR="00D006FF" w:rsidRPr="00AC04B2" w:rsidRDefault="00D006FF" w:rsidP="00204BDB">
            <w:pPr>
              <w:pStyle w:val="TableBodySmall"/>
            </w:pPr>
            <w:r w:rsidRPr="00AC04B2">
              <w:t xml:space="preserve">Provide quarterly </w:t>
            </w:r>
            <w:proofErr w:type="gramStart"/>
            <w:r w:rsidRPr="00AC04B2">
              <w:t>activity based</w:t>
            </w:r>
            <w:proofErr w:type="gramEnd"/>
            <w:r w:rsidRPr="00AC04B2">
              <w:t xml:space="preserve"> funding activity data reports to the Jurisdictional Advisory Committee</w:t>
            </w:r>
          </w:p>
        </w:tc>
        <w:tc>
          <w:tcPr>
            <w:tcW w:w="1274" w:type="pct"/>
            <w:tcBorders>
              <w:top w:val="nil"/>
              <w:bottom w:val="single" w:sz="4" w:space="0" w:color="auto"/>
            </w:tcBorders>
          </w:tcPr>
          <w:p w14:paraId="1B52C3C3" w14:textId="77777777" w:rsidR="00D006FF" w:rsidRPr="00AC04B2" w:rsidRDefault="00D006FF" w:rsidP="00204BDB">
            <w:pPr>
              <w:pStyle w:val="TableBodySmall"/>
            </w:pPr>
            <w:r w:rsidRPr="00AC04B2">
              <w:t>Ongoing</w:t>
            </w:r>
          </w:p>
        </w:tc>
      </w:tr>
    </w:tbl>
    <w:p w14:paraId="3C6D9630" w14:textId="77777777" w:rsidR="00D006FF" w:rsidRDefault="00D006FF" w:rsidP="00D006FF">
      <w:pPr>
        <w:pStyle w:val="Body"/>
      </w:pPr>
    </w:p>
    <w:p w14:paraId="53277100" w14:textId="29D94DDF" w:rsidR="00D006FF" w:rsidRPr="00BD0ECF" w:rsidRDefault="00D006FF" w:rsidP="00D006FF">
      <w:pPr>
        <w:pStyle w:val="Body"/>
        <w:rPr>
          <w:b/>
          <w:bCs/>
        </w:rPr>
      </w:pPr>
      <w:r w:rsidRPr="00BD0ECF">
        <w:rPr>
          <w:b/>
          <w:bCs/>
        </w:rPr>
        <w:t>In 202</w:t>
      </w:r>
      <w:r w:rsidR="00B71A7D">
        <w:rPr>
          <w:b/>
          <w:bCs/>
        </w:rPr>
        <w:t>6</w:t>
      </w:r>
      <w:r w:rsidRPr="00BD0ECF">
        <w:rPr>
          <w:b/>
          <w:bCs/>
        </w:rPr>
        <w:t>–2</w:t>
      </w:r>
      <w:r w:rsidR="00B71A7D">
        <w:rPr>
          <w:b/>
          <w:bCs/>
        </w:rPr>
        <w:t>7</w:t>
      </w:r>
      <w:r w:rsidRPr="00BD0ECF">
        <w:rPr>
          <w:b/>
          <w:bCs/>
        </w:rPr>
        <w:t xml:space="preserve">, IHACPA will continue to monitor changes in the mix, distribution and </w:t>
      </w:r>
      <w:r>
        <w:rPr>
          <w:b/>
          <w:bCs/>
        </w:rPr>
        <w:t>volume</w:t>
      </w:r>
      <w:r w:rsidRPr="00BD0ECF">
        <w:rPr>
          <w:b/>
          <w:bCs/>
        </w:rPr>
        <w:t xml:space="preserve"> of public hospital services each quarter, and conduct an annual analysis of the impacts of ABF implementation on the delivery of public hospital services through the ABF Monitoring Framework.</w:t>
      </w:r>
    </w:p>
    <w:p w14:paraId="2B26E45E" w14:textId="62E8F53A" w:rsidR="00D006FF" w:rsidRPr="00AC04B2" w:rsidRDefault="00D006FF" w:rsidP="00D006FF">
      <w:pPr>
        <w:pStyle w:val="Body"/>
      </w:pPr>
      <w:r w:rsidRPr="00AC04B2">
        <w:t>Consistent with clause A</w:t>
      </w:r>
      <w:r>
        <w:t>31</w:t>
      </w:r>
      <w:r w:rsidRPr="00AC04B2">
        <w:t xml:space="preserve"> of the </w:t>
      </w:r>
      <w:r w:rsidR="00374FC8">
        <w:t>addendum</w:t>
      </w:r>
      <w:r w:rsidRPr="00AC04B2">
        <w:t xml:space="preserve">, should IHACPA identify anomalies in service volumes or other data </w:t>
      </w:r>
      <w:r>
        <w:t>that</w:t>
      </w:r>
      <w:r w:rsidRPr="00AC04B2">
        <w:t xml:space="preserve"> suggest that services have been transferred from the community to public hospitals for the dominant purpose of making that service eligible for Commonwealth funding, IHACPA will in the first instance consult with the </w:t>
      </w:r>
      <w:r>
        <w:t>state or territory</w:t>
      </w:r>
      <w:r w:rsidRPr="00AC04B2">
        <w:t xml:space="preserve"> in question to ascertain what underlying factors may be driving movements in service volumes.</w:t>
      </w:r>
    </w:p>
    <w:p w14:paraId="0E13BC0C" w14:textId="77777777" w:rsidR="00D006FF" w:rsidRPr="00AC04B2" w:rsidRDefault="00D006FF" w:rsidP="00095777">
      <w:pPr>
        <w:pStyle w:val="H4"/>
        <w:keepNext/>
        <w:numPr>
          <w:ilvl w:val="0"/>
          <w:numId w:val="11"/>
        </w:numPr>
        <w:ind w:left="499" w:hanging="357"/>
      </w:pPr>
      <w:bookmarkStart w:id="119" w:name="_Toc55045652"/>
      <w:bookmarkStart w:id="120" w:name="_Toc55054020"/>
      <w:bookmarkStart w:id="121" w:name="_Toc55237242"/>
      <w:bookmarkStart w:id="122" w:name="_Toc55238256"/>
      <w:bookmarkStart w:id="123" w:name="_Toc55238329"/>
      <w:bookmarkStart w:id="124" w:name="_Toc55974147"/>
      <w:r w:rsidRPr="00AC04B2">
        <w:lastRenderedPageBreak/>
        <w:t xml:space="preserve">Evidence-based </w:t>
      </w:r>
      <w:proofErr w:type="gramStart"/>
      <w:r w:rsidRPr="00AC04B2">
        <w:t>activity based</w:t>
      </w:r>
      <w:proofErr w:type="gramEnd"/>
      <w:r w:rsidRPr="00AC04B2">
        <w:t xml:space="preserve"> funding related research</w:t>
      </w:r>
      <w:bookmarkEnd w:id="119"/>
      <w:bookmarkEnd w:id="120"/>
      <w:bookmarkEnd w:id="121"/>
      <w:bookmarkEnd w:id="122"/>
      <w:bookmarkEnd w:id="123"/>
      <w:bookmarkEnd w:id="124"/>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388"/>
        <w:gridCol w:w="2694"/>
      </w:tblGrid>
      <w:tr w:rsidR="00D006FF" w:rsidRPr="00AC04B2" w14:paraId="159B820D" w14:textId="77777777" w:rsidTr="008E054B">
        <w:tc>
          <w:tcPr>
            <w:tcW w:w="3664" w:type="pct"/>
            <w:tcBorders>
              <w:top w:val="nil"/>
              <w:bottom w:val="nil"/>
            </w:tcBorders>
            <w:shd w:val="clear" w:color="auto" w:fill="379887" w:themeFill="accent5" w:themeFillShade="BF"/>
            <w:vAlign w:val="center"/>
          </w:tcPr>
          <w:p w14:paraId="2621E04B" w14:textId="77777777" w:rsidR="00D006FF" w:rsidRPr="00AC04B2" w:rsidRDefault="00D006FF" w:rsidP="00204BDB">
            <w:pPr>
              <w:pStyle w:val="TableHeading"/>
            </w:pPr>
            <w:r w:rsidRPr="00AC04B2">
              <w:t>Deliverable</w:t>
            </w:r>
          </w:p>
        </w:tc>
        <w:tc>
          <w:tcPr>
            <w:tcW w:w="1336" w:type="pct"/>
            <w:tcBorders>
              <w:top w:val="nil"/>
              <w:bottom w:val="nil"/>
            </w:tcBorders>
            <w:shd w:val="clear" w:color="auto" w:fill="379887" w:themeFill="accent5" w:themeFillShade="BF"/>
            <w:vAlign w:val="center"/>
          </w:tcPr>
          <w:p w14:paraId="7CA65F1B" w14:textId="77777777" w:rsidR="00D006FF" w:rsidRPr="00AC04B2" w:rsidRDefault="00D006FF" w:rsidP="00204BDB">
            <w:pPr>
              <w:pStyle w:val="TableHeading"/>
            </w:pPr>
            <w:r w:rsidRPr="00AC04B2">
              <w:t>Timeframe</w:t>
            </w:r>
          </w:p>
        </w:tc>
      </w:tr>
      <w:tr w:rsidR="00D006FF" w:rsidRPr="00AC04B2" w14:paraId="6F64FF5C" w14:textId="77777777" w:rsidTr="008E054B">
        <w:trPr>
          <w:trHeight w:val="236"/>
        </w:trPr>
        <w:tc>
          <w:tcPr>
            <w:tcW w:w="3664" w:type="pct"/>
            <w:tcBorders>
              <w:top w:val="nil"/>
              <w:bottom w:val="single" w:sz="4" w:space="0" w:color="auto"/>
            </w:tcBorders>
          </w:tcPr>
          <w:p w14:paraId="09D8EE4A" w14:textId="77777777" w:rsidR="00D006FF" w:rsidRPr="00AC04B2" w:rsidRDefault="00D006FF" w:rsidP="00204BDB">
            <w:pPr>
              <w:pStyle w:val="TableBodySmall"/>
            </w:pPr>
            <w:r w:rsidRPr="00AC04B2">
              <w:t xml:space="preserve">Publish evidence-based </w:t>
            </w:r>
            <w:proofErr w:type="gramStart"/>
            <w:r w:rsidRPr="00AC04B2">
              <w:t>activity based</w:t>
            </w:r>
            <w:proofErr w:type="gramEnd"/>
            <w:r w:rsidRPr="00AC04B2">
              <w:t xml:space="preserve"> funding related research and analysis.</w:t>
            </w:r>
          </w:p>
        </w:tc>
        <w:tc>
          <w:tcPr>
            <w:tcW w:w="1336" w:type="pct"/>
            <w:tcBorders>
              <w:top w:val="nil"/>
              <w:bottom w:val="single" w:sz="4" w:space="0" w:color="auto"/>
            </w:tcBorders>
          </w:tcPr>
          <w:p w14:paraId="623A3DE2" w14:textId="77777777" w:rsidR="00D006FF" w:rsidRPr="00AC04B2" w:rsidRDefault="00D006FF" w:rsidP="00204BDB">
            <w:pPr>
              <w:pStyle w:val="TableBodySmall"/>
            </w:pPr>
            <w:r w:rsidRPr="00AC04B2">
              <w:t>Ongoing</w:t>
            </w:r>
          </w:p>
        </w:tc>
      </w:tr>
      <w:tr w:rsidR="00D006FF" w:rsidRPr="00AC04B2" w14:paraId="408C1AA1" w14:textId="77777777" w:rsidTr="008E054B">
        <w:trPr>
          <w:trHeight w:val="236"/>
        </w:trPr>
        <w:tc>
          <w:tcPr>
            <w:tcW w:w="3664" w:type="pct"/>
            <w:tcBorders>
              <w:top w:val="single" w:sz="4" w:space="0" w:color="auto"/>
              <w:bottom w:val="single" w:sz="4" w:space="0" w:color="auto"/>
            </w:tcBorders>
          </w:tcPr>
          <w:p w14:paraId="10A55AB8" w14:textId="77777777" w:rsidR="00D006FF" w:rsidRPr="00AC04B2" w:rsidRDefault="00D006FF" w:rsidP="00204BDB">
            <w:pPr>
              <w:pStyle w:val="TableBodySmall"/>
            </w:pPr>
            <w:r>
              <w:t>Provide advice to states and territories on proposals for the</w:t>
            </w:r>
            <w:r w:rsidRPr="00AC04B2">
              <w:t xml:space="preserve"> trial of innovative funding models</w:t>
            </w:r>
            <w:r>
              <w:t xml:space="preserve"> and models of care</w:t>
            </w:r>
            <w:r w:rsidRPr="00AC04B2">
              <w:t>.</w:t>
            </w:r>
          </w:p>
        </w:tc>
        <w:tc>
          <w:tcPr>
            <w:tcW w:w="1336" w:type="pct"/>
            <w:tcBorders>
              <w:top w:val="single" w:sz="4" w:space="0" w:color="auto"/>
              <w:bottom w:val="single" w:sz="4" w:space="0" w:color="auto"/>
            </w:tcBorders>
          </w:tcPr>
          <w:p w14:paraId="329606B5" w14:textId="77777777" w:rsidR="00D006FF" w:rsidRPr="00AC04B2" w:rsidRDefault="00D006FF" w:rsidP="00204BDB">
            <w:pPr>
              <w:pStyle w:val="TableBodySmall"/>
            </w:pPr>
            <w:r w:rsidRPr="00AC04B2">
              <w:t>Ongoing</w:t>
            </w:r>
          </w:p>
        </w:tc>
      </w:tr>
      <w:tr w:rsidR="00D006FF" w:rsidRPr="00AC04B2" w14:paraId="1F8E8E7E" w14:textId="77777777" w:rsidTr="008E054B">
        <w:trPr>
          <w:trHeight w:val="236"/>
        </w:trPr>
        <w:tc>
          <w:tcPr>
            <w:tcW w:w="3664" w:type="pct"/>
            <w:tcBorders>
              <w:top w:val="single" w:sz="4" w:space="0" w:color="auto"/>
              <w:bottom w:val="single" w:sz="4" w:space="0" w:color="auto"/>
            </w:tcBorders>
          </w:tcPr>
          <w:p w14:paraId="59E67A43" w14:textId="77777777" w:rsidR="00D006FF" w:rsidRPr="00AC04B2" w:rsidDel="00D0184A" w:rsidRDefault="00D006FF" w:rsidP="00204BDB">
            <w:pPr>
              <w:pStyle w:val="TableBodySmall"/>
            </w:pPr>
            <w:bookmarkStart w:id="125" w:name="_Hlk176936351"/>
            <w:r>
              <w:t xml:space="preserve">Consider recommendations arising from the investigation into </w:t>
            </w:r>
            <w:r w:rsidRPr="00974EC5">
              <w:t xml:space="preserve">virtual </w:t>
            </w:r>
            <w:r>
              <w:t xml:space="preserve">models of </w:t>
            </w:r>
            <w:r w:rsidRPr="00974EC5">
              <w:t xml:space="preserve">service delivery </w:t>
            </w:r>
            <w:r>
              <w:t>and care, and associated funding arrangements</w:t>
            </w:r>
            <w:bookmarkEnd w:id="125"/>
            <w:r>
              <w:t>.</w:t>
            </w:r>
          </w:p>
        </w:tc>
        <w:tc>
          <w:tcPr>
            <w:tcW w:w="1336" w:type="pct"/>
            <w:tcBorders>
              <w:top w:val="single" w:sz="4" w:space="0" w:color="auto"/>
              <w:bottom w:val="single" w:sz="4" w:space="0" w:color="auto"/>
            </w:tcBorders>
          </w:tcPr>
          <w:p w14:paraId="79ED4C21" w14:textId="14708577" w:rsidR="00D006FF" w:rsidRPr="00AC04B2" w:rsidRDefault="0084434E" w:rsidP="00204BDB">
            <w:pPr>
              <w:pStyle w:val="TableBodySmall"/>
            </w:pPr>
            <w:r>
              <w:t>September 2026</w:t>
            </w:r>
          </w:p>
        </w:tc>
      </w:tr>
      <w:tr w:rsidR="00D006FF" w:rsidRPr="00AC04B2" w14:paraId="3474FE8E" w14:textId="77777777" w:rsidTr="008E054B">
        <w:trPr>
          <w:trHeight w:val="236"/>
        </w:trPr>
        <w:tc>
          <w:tcPr>
            <w:tcW w:w="3664" w:type="pct"/>
            <w:tcBorders>
              <w:top w:val="single" w:sz="4" w:space="0" w:color="auto"/>
              <w:bottom w:val="single" w:sz="4" w:space="0" w:color="auto"/>
            </w:tcBorders>
          </w:tcPr>
          <w:p w14:paraId="535BC961" w14:textId="77777777" w:rsidR="00D006FF" w:rsidRDefault="00D006FF" w:rsidP="00204BDB">
            <w:pPr>
              <w:pStyle w:val="TableBodySmall"/>
            </w:pPr>
            <w:r>
              <w:t>Continue to investigate the impact and occurrence of long-stay patients in public hospitals.</w:t>
            </w:r>
          </w:p>
        </w:tc>
        <w:tc>
          <w:tcPr>
            <w:tcW w:w="1336" w:type="pct"/>
            <w:tcBorders>
              <w:top w:val="single" w:sz="4" w:space="0" w:color="auto"/>
              <w:bottom w:val="single" w:sz="4" w:space="0" w:color="auto"/>
            </w:tcBorders>
          </w:tcPr>
          <w:p w14:paraId="0349775E" w14:textId="4FF55D31" w:rsidR="00D006FF" w:rsidRDefault="00D006FF" w:rsidP="00204BDB">
            <w:pPr>
              <w:pStyle w:val="TableBodySmall"/>
            </w:pPr>
            <w:r>
              <w:t>June 202</w:t>
            </w:r>
            <w:r w:rsidR="00EF640D">
              <w:t>7</w:t>
            </w:r>
          </w:p>
        </w:tc>
      </w:tr>
    </w:tbl>
    <w:p w14:paraId="07566A47" w14:textId="77777777" w:rsidR="00D006FF" w:rsidRDefault="00D006FF" w:rsidP="00D006FF">
      <w:pPr>
        <w:pStyle w:val="Body"/>
      </w:pPr>
    </w:p>
    <w:p w14:paraId="1937E45C" w14:textId="77777777" w:rsidR="00D006FF" w:rsidRPr="00BD0ECF" w:rsidRDefault="00D006FF" w:rsidP="00D006FF">
      <w:pPr>
        <w:pStyle w:val="Body"/>
        <w:rPr>
          <w:b/>
          <w:bCs/>
        </w:rPr>
      </w:pPr>
      <w:r w:rsidRPr="00BD0ECF">
        <w:rPr>
          <w:b/>
          <w:bCs/>
        </w:rPr>
        <w:t xml:space="preserve">Evidence-based research plays a significant role in the ongoing advancement of ABF in Australia. This is particularly the case in improving the understanding of the relationship between public hospital activity and costs in all care settings. </w:t>
      </w:r>
    </w:p>
    <w:p w14:paraId="10406A9A" w14:textId="77777777" w:rsidR="00D006FF" w:rsidRPr="00AC04B2" w:rsidRDefault="00D006FF" w:rsidP="00D006FF">
      <w:pPr>
        <w:pStyle w:val="Body"/>
      </w:pPr>
      <w:r w:rsidRPr="00AC04B2">
        <w:t xml:space="preserve">As required, IHACPA will conduct ABF related research that furthers the understanding and implementation of ABF, particularly in relation to classifications, coding standards and pricing methodologies. As a result, IHACPA will be better positioned to determine a </w:t>
      </w:r>
      <w:r>
        <w:t>NEP</w:t>
      </w:r>
      <w:r w:rsidRPr="00AC04B2">
        <w:t xml:space="preserve"> that accurately reflects the costs experienced by Australian public hospitals.</w:t>
      </w:r>
    </w:p>
    <w:p w14:paraId="12464CDF" w14:textId="77777777" w:rsidR="00D006FF" w:rsidRPr="00BD0ECF" w:rsidRDefault="00D006FF" w:rsidP="00D006FF">
      <w:pPr>
        <w:pStyle w:val="Body"/>
        <w:keepNext/>
        <w:rPr>
          <w:b/>
          <w:bCs/>
        </w:rPr>
      </w:pPr>
      <w:r w:rsidRPr="00BD0ECF">
        <w:rPr>
          <w:b/>
          <w:bCs/>
        </w:rPr>
        <w:t>Publication of ABF related research</w:t>
      </w:r>
    </w:p>
    <w:p w14:paraId="2DFFBFF5" w14:textId="77777777" w:rsidR="00D006FF" w:rsidRPr="00AC04B2" w:rsidRDefault="00D006FF" w:rsidP="00D006FF">
      <w:pPr>
        <w:pStyle w:val="Body"/>
      </w:pPr>
      <w:r w:rsidRPr="00AC04B2">
        <w:t>IHACPA considers that broadening access to its data and publication of analysis using the data would benefit work to develop and evaluate health policy and programs by researchers, clinical groups and peak bodies and would serve the interests of transparency.</w:t>
      </w:r>
    </w:p>
    <w:p w14:paraId="4773F5A4" w14:textId="77777777" w:rsidR="00D006FF" w:rsidRPr="00AC04B2" w:rsidRDefault="00D006FF" w:rsidP="00D006FF">
      <w:pPr>
        <w:pStyle w:val="Body"/>
      </w:pPr>
      <w:r w:rsidRPr="00AC04B2">
        <w:t>IHACPA will continue to work with stakeholders to improve access to hospital data, including developing appropriate safeguards and identifying opportunities that all parties are agreeable to in the release of data and/or publications to third parties.</w:t>
      </w:r>
    </w:p>
    <w:p w14:paraId="46A37409" w14:textId="77777777" w:rsidR="00D006FF" w:rsidRPr="00BD0ECF" w:rsidRDefault="00D006FF" w:rsidP="00D006FF">
      <w:pPr>
        <w:pStyle w:val="Body"/>
        <w:rPr>
          <w:b/>
          <w:bCs/>
        </w:rPr>
      </w:pPr>
      <w:r w:rsidRPr="00BD0ECF">
        <w:rPr>
          <w:b/>
          <w:bCs/>
        </w:rPr>
        <w:t>Innovative funding models</w:t>
      </w:r>
      <w:r>
        <w:rPr>
          <w:b/>
          <w:bCs/>
        </w:rPr>
        <w:t xml:space="preserve"> and models of care</w:t>
      </w:r>
    </w:p>
    <w:p w14:paraId="07A766D9" w14:textId="3356DD56" w:rsidR="00D006FF" w:rsidRPr="00AC04B2" w:rsidRDefault="00D006FF" w:rsidP="00D006FF">
      <w:pPr>
        <w:pStyle w:val="Body"/>
      </w:pPr>
      <w:r w:rsidRPr="00AC04B2">
        <w:t xml:space="preserve">The </w:t>
      </w:r>
      <w:r w:rsidR="002B492A">
        <w:t>addendum</w:t>
      </w:r>
      <w:r>
        <w:t xml:space="preserve"> </w:t>
      </w:r>
      <w:r w:rsidRPr="00AC04B2">
        <w:t>and the Pricing Guidelines include provisions for IHACPA to consider the impact on its work of evidence</w:t>
      </w:r>
      <w:r w:rsidRPr="00AC04B2">
        <w:rPr>
          <w:rFonts w:ascii="Cambria Math" w:hAnsi="Cambria Math" w:cs="Cambria Math"/>
        </w:rPr>
        <w:t>‑</w:t>
      </w:r>
      <w:r w:rsidRPr="00AC04B2">
        <w:t>based, effective new technologies and innovations in models of health care. IHACPA maintains a watching brief on emerging trends in health care to ensure that the current ABF framework can accommodate new and alternate approaches to public hospital funding and service delivery.</w:t>
      </w:r>
    </w:p>
    <w:p w14:paraId="3C2143B0" w14:textId="77777777" w:rsidR="00D006FF" w:rsidRPr="00AC04B2" w:rsidRDefault="00D006FF" w:rsidP="00F622CD">
      <w:pPr>
        <w:pStyle w:val="Body"/>
        <w:keepLines/>
      </w:pPr>
      <w:r w:rsidRPr="00AC04B2">
        <w:t xml:space="preserve">While ABF has increased the transparency of hospital services and costs, it has the potential to incentivise more activity or to admit patients instead of focusing on hospital avoidance and patient outcomes. Consequently, there is an increased need to focus on delivering value-based health care aimed at improving patient outcomes and experiences. </w:t>
      </w:r>
    </w:p>
    <w:p w14:paraId="632E7AE5" w14:textId="155B2F68" w:rsidR="00D006FF" w:rsidRPr="00AC04B2" w:rsidRDefault="00D006FF" w:rsidP="00D006FF">
      <w:pPr>
        <w:pStyle w:val="Body"/>
      </w:pPr>
      <w:r w:rsidRPr="00AC04B2">
        <w:t xml:space="preserve">Schedule C of the </w:t>
      </w:r>
      <w:r w:rsidR="002B492A">
        <w:t>addendum</w:t>
      </w:r>
      <w:r w:rsidRPr="00AC04B2">
        <w:t xml:space="preserve"> contains key references to paying for value and outcomes through supporting innovative models of care and trialling new funding arrangements.</w:t>
      </w:r>
    </w:p>
    <w:p w14:paraId="092D99BB" w14:textId="4BE1AC3C" w:rsidR="00D006FF" w:rsidRDefault="00D006FF" w:rsidP="00D006FF">
      <w:pPr>
        <w:pStyle w:val="Body"/>
      </w:pPr>
      <w:r w:rsidRPr="00AC04B2">
        <w:t>In 202</w:t>
      </w:r>
      <w:r w:rsidR="00342AB3">
        <w:t>6</w:t>
      </w:r>
      <w:r w:rsidRPr="00AC04B2">
        <w:t>–2</w:t>
      </w:r>
      <w:r w:rsidR="00342AB3">
        <w:t>7</w:t>
      </w:r>
      <w:r w:rsidRPr="00AC04B2">
        <w:t xml:space="preserve">, IHACPA will continue to work closely with </w:t>
      </w:r>
      <w:r w:rsidR="00E9321E">
        <w:t>states and territories</w:t>
      </w:r>
      <w:r w:rsidR="00E9321E" w:rsidRPr="00257FC7">
        <w:t xml:space="preserve"> </w:t>
      </w:r>
      <w:r w:rsidRPr="00AC04B2">
        <w:t>and clinical experts to facilitate the implementation pathway for trialling state and territory nominated innovative funding models.</w:t>
      </w:r>
    </w:p>
    <w:p w14:paraId="356F5C0C" w14:textId="77777777" w:rsidR="00D006FF" w:rsidRPr="00257FC7" w:rsidRDefault="00D006FF" w:rsidP="009C78D3">
      <w:pPr>
        <w:pStyle w:val="Body"/>
        <w:keepNext/>
        <w:rPr>
          <w:b/>
          <w:bCs/>
        </w:rPr>
      </w:pPr>
      <w:r w:rsidRPr="00257FC7">
        <w:rPr>
          <w:b/>
          <w:bCs/>
        </w:rPr>
        <w:t>Virtual models of care</w:t>
      </w:r>
    </w:p>
    <w:p w14:paraId="0C2B0C48" w14:textId="0716FECD" w:rsidR="00D006FF" w:rsidRPr="00257FC7" w:rsidRDefault="00D006FF" w:rsidP="00D006FF">
      <w:pPr>
        <w:pStyle w:val="Body"/>
      </w:pPr>
      <w:bookmarkStart w:id="126" w:name="_Hlk176435909"/>
      <w:bookmarkStart w:id="127" w:name="_Hlk176768839"/>
      <w:r w:rsidRPr="00257FC7">
        <w:t xml:space="preserve">IHACPA </w:t>
      </w:r>
      <w:r w:rsidR="003A132A">
        <w:t>undertook</w:t>
      </w:r>
      <w:r w:rsidR="003A132A" w:rsidRPr="00257FC7">
        <w:t xml:space="preserve"> </w:t>
      </w:r>
      <w:r w:rsidRPr="00257FC7">
        <w:t xml:space="preserve">the Virtual Care Project to understand the current state of virtual care, including funding in Australia and internationally; investigate new and emerging trends in virtual care and opportunities to adapt the national pricing model; and develop practical recommendations to inform the improved integration of virtual care into the broader Australian health system. </w:t>
      </w:r>
      <w:r w:rsidR="003A132A">
        <w:t>The final report was published in February 2025 and</w:t>
      </w:r>
      <w:r w:rsidRPr="00257FC7">
        <w:t xml:space="preserve"> made 5 key recommendations to inform the development of a national strategy for virtual care services.</w:t>
      </w:r>
    </w:p>
    <w:p w14:paraId="6A82EA6A" w14:textId="257C739D" w:rsidR="00D006FF" w:rsidRPr="00257FC7" w:rsidRDefault="00D006FF" w:rsidP="00D006FF">
      <w:pPr>
        <w:pStyle w:val="Body"/>
      </w:pPr>
      <w:r w:rsidRPr="00257FC7">
        <w:t>In 202</w:t>
      </w:r>
      <w:r w:rsidR="0090137A">
        <w:t>6</w:t>
      </w:r>
      <w:r w:rsidRPr="00257FC7">
        <w:t>–2</w:t>
      </w:r>
      <w:r w:rsidR="0090137A">
        <w:t>7</w:t>
      </w:r>
      <w:r w:rsidRPr="00257FC7">
        <w:t xml:space="preserve"> IHACPA will </w:t>
      </w:r>
      <w:r w:rsidR="0090137A">
        <w:t xml:space="preserve">continue to </w:t>
      </w:r>
      <w:r w:rsidRPr="00257FC7">
        <w:t xml:space="preserve">work with </w:t>
      </w:r>
      <w:r w:rsidR="0090137A">
        <w:t>state</w:t>
      </w:r>
      <w:r w:rsidR="00E9321E">
        <w:t>s</w:t>
      </w:r>
      <w:r w:rsidR="0090137A">
        <w:t xml:space="preserve"> and territories</w:t>
      </w:r>
      <w:r w:rsidR="0090137A" w:rsidRPr="00257FC7">
        <w:t xml:space="preserve"> </w:t>
      </w:r>
      <w:r w:rsidRPr="00257FC7">
        <w:t>to respond to the findings and recommendations identified in the report.</w:t>
      </w:r>
      <w:bookmarkEnd w:id="126"/>
    </w:p>
    <w:bookmarkEnd w:id="127"/>
    <w:p w14:paraId="000E3930" w14:textId="77777777" w:rsidR="00D006FF" w:rsidRPr="00257FC7" w:rsidRDefault="00D006FF" w:rsidP="00D006FF">
      <w:pPr>
        <w:pStyle w:val="Body"/>
        <w:keepNext/>
        <w:rPr>
          <w:b/>
          <w:bCs/>
        </w:rPr>
      </w:pPr>
      <w:r w:rsidRPr="00257FC7">
        <w:rPr>
          <w:b/>
          <w:bCs/>
        </w:rPr>
        <w:lastRenderedPageBreak/>
        <w:t>Long-stay patients in public hospitals</w:t>
      </w:r>
    </w:p>
    <w:p w14:paraId="3CB49C9C" w14:textId="0C98F35C" w:rsidR="00D006FF" w:rsidRDefault="00D006FF" w:rsidP="00D006FF">
      <w:pPr>
        <w:rPr>
          <w:rFonts w:ascii="Arial" w:hAnsi="Arial" w:cs="Arial"/>
          <w:sz w:val="20"/>
          <w:szCs w:val="20"/>
        </w:rPr>
      </w:pPr>
      <w:r w:rsidRPr="00E0109F">
        <w:rPr>
          <w:rFonts w:ascii="Arial" w:hAnsi="Arial" w:cs="Arial"/>
          <w:sz w:val="20"/>
          <w:szCs w:val="20"/>
        </w:rPr>
        <w:t>In consultation with jurisdictions and key stakeholders, IHACPA investigate</w:t>
      </w:r>
      <w:r w:rsidR="00C562A3" w:rsidRPr="00E0109F">
        <w:rPr>
          <w:rFonts w:ascii="Arial" w:hAnsi="Arial" w:cs="Arial"/>
          <w:sz w:val="20"/>
          <w:szCs w:val="20"/>
        </w:rPr>
        <w:t>d</w:t>
      </w:r>
      <w:r w:rsidRPr="00E0109F">
        <w:rPr>
          <w:rFonts w:ascii="Arial" w:hAnsi="Arial" w:cs="Arial"/>
          <w:sz w:val="20"/>
          <w:szCs w:val="20"/>
        </w:rPr>
        <w:t xml:space="preserve"> the impact and occurrence of long-stay patients in public hospitals as part of the 2024–25 work program. IHACPA will continue to </w:t>
      </w:r>
      <w:r w:rsidR="00F622CD" w:rsidRPr="00E0109F">
        <w:rPr>
          <w:rFonts w:ascii="Arial" w:hAnsi="Arial" w:cs="Arial"/>
          <w:sz w:val="20"/>
          <w:szCs w:val="20"/>
        </w:rPr>
        <w:t xml:space="preserve">work with </w:t>
      </w:r>
      <w:r w:rsidR="00C76704" w:rsidRPr="00E0109F">
        <w:rPr>
          <w:rFonts w:ascii="Arial" w:hAnsi="Arial" w:cs="Arial"/>
          <w:sz w:val="20"/>
          <w:szCs w:val="20"/>
        </w:rPr>
        <w:t xml:space="preserve">the Australian Government and </w:t>
      </w:r>
      <w:r w:rsidR="00F622CD" w:rsidRPr="00E0109F">
        <w:rPr>
          <w:rFonts w:ascii="Arial" w:hAnsi="Arial" w:cs="Arial"/>
          <w:sz w:val="20"/>
          <w:szCs w:val="20"/>
        </w:rPr>
        <w:t>states</w:t>
      </w:r>
      <w:r w:rsidR="00F622CD">
        <w:rPr>
          <w:rFonts w:ascii="Arial" w:hAnsi="Arial" w:cs="Arial"/>
          <w:sz w:val="20"/>
          <w:szCs w:val="20"/>
        </w:rPr>
        <w:t xml:space="preserve"> and territories as they </w:t>
      </w:r>
      <w:r w:rsidRPr="00257FC7">
        <w:rPr>
          <w:rFonts w:ascii="Arial" w:hAnsi="Arial" w:cs="Arial"/>
          <w:sz w:val="20"/>
          <w:szCs w:val="20"/>
        </w:rPr>
        <w:t>progress work</w:t>
      </w:r>
      <w:r w:rsidR="00F622CD">
        <w:rPr>
          <w:rFonts w:ascii="Arial" w:hAnsi="Arial" w:cs="Arial"/>
          <w:sz w:val="20"/>
          <w:szCs w:val="20"/>
        </w:rPr>
        <w:t xml:space="preserve"> on this issue</w:t>
      </w:r>
      <w:r w:rsidRPr="00257FC7">
        <w:rPr>
          <w:rFonts w:ascii="Arial" w:hAnsi="Arial" w:cs="Arial"/>
          <w:sz w:val="20"/>
          <w:szCs w:val="20"/>
        </w:rPr>
        <w:t>.</w:t>
      </w:r>
      <w:r>
        <w:rPr>
          <w:rFonts w:ascii="Arial" w:hAnsi="Arial" w:cs="Arial"/>
          <w:sz w:val="20"/>
          <w:szCs w:val="20"/>
        </w:rPr>
        <w:t xml:space="preserve"> </w:t>
      </w:r>
    </w:p>
    <w:p w14:paraId="78168A12" w14:textId="77777777" w:rsidR="005D43B8" w:rsidRPr="00AC04B2" w:rsidRDefault="005D43B8" w:rsidP="0061718D">
      <w:pPr>
        <w:pStyle w:val="H4"/>
        <w:keepNext/>
        <w:numPr>
          <w:ilvl w:val="0"/>
          <w:numId w:val="11"/>
        </w:numPr>
        <w:ind w:left="357" w:hanging="357"/>
      </w:pPr>
      <w:r w:rsidRPr="00AC04B2">
        <w:t>Promoting access to public hospital data</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5D43B8" w:rsidRPr="00AC04B2" w14:paraId="4D2D0422" w14:textId="77777777" w:rsidTr="00C562A3">
        <w:tc>
          <w:tcPr>
            <w:tcW w:w="3726" w:type="pct"/>
            <w:tcBorders>
              <w:top w:val="nil"/>
              <w:bottom w:val="nil"/>
            </w:tcBorders>
            <w:shd w:val="clear" w:color="auto" w:fill="379887" w:themeFill="accent5" w:themeFillShade="BF"/>
            <w:vAlign w:val="center"/>
          </w:tcPr>
          <w:p w14:paraId="13BBC16A" w14:textId="77777777" w:rsidR="005D43B8" w:rsidRPr="00AC04B2" w:rsidRDefault="005D43B8" w:rsidP="0061718D">
            <w:pPr>
              <w:pStyle w:val="TableHeading"/>
              <w:keepNext/>
            </w:pPr>
            <w:r w:rsidRPr="00AC04B2">
              <w:t>Deliverable</w:t>
            </w:r>
          </w:p>
        </w:tc>
        <w:tc>
          <w:tcPr>
            <w:tcW w:w="1274" w:type="pct"/>
            <w:tcBorders>
              <w:top w:val="nil"/>
              <w:bottom w:val="nil"/>
            </w:tcBorders>
            <w:shd w:val="clear" w:color="auto" w:fill="379887" w:themeFill="accent5" w:themeFillShade="BF"/>
            <w:vAlign w:val="center"/>
          </w:tcPr>
          <w:p w14:paraId="24F7B023" w14:textId="77777777" w:rsidR="005D43B8" w:rsidRPr="00AC04B2" w:rsidRDefault="005D43B8" w:rsidP="0061718D">
            <w:pPr>
              <w:pStyle w:val="TableHeading"/>
              <w:keepNext/>
            </w:pPr>
            <w:r w:rsidRPr="00AC04B2">
              <w:t>Timeframe</w:t>
            </w:r>
          </w:p>
        </w:tc>
      </w:tr>
      <w:tr w:rsidR="005D43B8" w:rsidRPr="00AC04B2" w14:paraId="7930DA68" w14:textId="77777777" w:rsidTr="00204BDB">
        <w:trPr>
          <w:trHeight w:val="236"/>
        </w:trPr>
        <w:tc>
          <w:tcPr>
            <w:tcW w:w="3726" w:type="pct"/>
            <w:tcBorders>
              <w:top w:val="nil"/>
              <w:bottom w:val="single" w:sz="4" w:space="0" w:color="auto"/>
            </w:tcBorders>
          </w:tcPr>
          <w:p w14:paraId="530468E3" w14:textId="77777777" w:rsidR="005D43B8" w:rsidRPr="00AC04B2" w:rsidRDefault="005D43B8" w:rsidP="0061718D">
            <w:pPr>
              <w:pStyle w:val="TableBodySmall"/>
              <w:keepNext/>
            </w:pPr>
            <w:r w:rsidRPr="00AC04B2">
              <w:t>Continue to promote access to data through the National Benchmarking Portal.</w:t>
            </w:r>
          </w:p>
        </w:tc>
        <w:tc>
          <w:tcPr>
            <w:tcW w:w="1274" w:type="pct"/>
            <w:tcBorders>
              <w:top w:val="nil"/>
              <w:bottom w:val="single" w:sz="4" w:space="0" w:color="auto"/>
            </w:tcBorders>
          </w:tcPr>
          <w:p w14:paraId="6B38B2D1" w14:textId="77777777" w:rsidR="005D43B8" w:rsidRPr="00AC04B2" w:rsidRDefault="005D43B8" w:rsidP="0061718D">
            <w:pPr>
              <w:pStyle w:val="TableBodySmall"/>
              <w:keepNext/>
            </w:pPr>
            <w:r w:rsidRPr="00AC04B2">
              <w:t>Ongoing</w:t>
            </w:r>
          </w:p>
        </w:tc>
      </w:tr>
    </w:tbl>
    <w:p w14:paraId="6237C9EE" w14:textId="77777777" w:rsidR="005D43B8" w:rsidRDefault="005D43B8" w:rsidP="0061718D">
      <w:pPr>
        <w:pStyle w:val="Body"/>
        <w:keepNext/>
      </w:pPr>
    </w:p>
    <w:p w14:paraId="114A9CEF" w14:textId="322A0527" w:rsidR="005D43B8" w:rsidRPr="00BD0ECF" w:rsidRDefault="005D43B8" w:rsidP="005D43B8">
      <w:pPr>
        <w:pStyle w:val="Body"/>
        <w:rPr>
          <w:b/>
          <w:bCs/>
        </w:rPr>
      </w:pPr>
      <w:r w:rsidRPr="00BD0ECF">
        <w:rPr>
          <w:b/>
          <w:bCs/>
        </w:rPr>
        <w:t>The National Benchmarking Portal (NBP) is a secure web</w:t>
      </w:r>
      <w:r w:rsidRPr="00BD0ECF">
        <w:rPr>
          <w:rFonts w:ascii="Cambria Math" w:hAnsi="Cambria Math" w:cs="Cambria Math"/>
          <w:b/>
          <w:bCs/>
        </w:rPr>
        <w:t>‑</w:t>
      </w:r>
      <w:r w:rsidRPr="00BD0ECF">
        <w:rPr>
          <w:b/>
          <w:bCs/>
        </w:rPr>
        <w:t>based application that allows users to compare cost and activity from hospitals around the country. It provides users the ability to compare differences in activity, cost and efficiency at similar hospitals using NWAU.</w:t>
      </w:r>
    </w:p>
    <w:p w14:paraId="76733EC2" w14:textId="70482312" w:rsidR="005D43B8" w:rsidRPr="00AC04B2" w:rsidRDefault="005D43B8" w:rsidP="005D43B8">
      <w:pPr>
        <w:pStyle w:val="Body"/>
        <w:keepLines/>
      </w:pPr>
      <w:r w:rsidRPr="00AC04B2">
        <w:t>IHACPA provided public access to the NBP from July 2022. The NBP includes insights into the data collected</w:t>
      </w:r>
      <w:r>
        <w:t xml:space="preserve"> between</w:t>
      </w:r>
      <w:r w:rsidRPr="00AC04B2">
        <w:t xml:space="preserve"> 2017–18 and 20</w:t>
      </w:r>
      <w:r>
        <w:t>2</w:t>
      </w:r>
      <w:r w:rsidR="00F50A57">
        <w:t>2</w:t>
      </w:r>
      <w:r w:rsidRPr="00AC04B2">
        <w:t>–2</w:t>
      </w:r>
      <w:r w:rsidR="00F50A57">
        <w:t>3</w:t>
      </w:r>
      <w:r w:rsidRPr="00AC04B2">
        <w:t xml:space="preserve">. Information such as total NWAU, cost per NWAU and total costed records are available to facilitate analysis at the </w:t>
      </w:r>
      <w:r>
        <w:t>state and territory</w:t>
      </w:r>
      <w:r w:rsidRPr="00AC04B2">
        <w:t>, local hospital network and hospital level across the patient service categories.</w:t>
      </w:r>
      <w:r w:rsidR="00F50A57">
        <w:t xml:space="preserve"> The NBP also</w:t>
      </w:r>
      <w:r w:rsidR="00982211">
        <w:t xml:space="preserve"> includes dashboards relating to </w:t>
      </w:r>
      <w:r w:rsidR="00982211" w:rsidRPr="00AC04B2">
        <w:t>hospital acquired complications and avoidable hospital readmissions</w:t>
      </w:r>
      <w:r w:rsidR="00982211">
        <w:t>.</w:t>
      </w:r>
    </w:p>
    <w:p w14:paraId="0E77274F" w14:textId="39744E98" w:rsidR="005D43B8" w:rsidRPr="00AC04B2" w:rsidRDefault="005D43B8" w:rsidP="005D43B8">
      <w:pPr>
        <w:pStyle w:val="Body"/>
      </w:pPr>
      <w:r>
        <w:t>In 202</w:t>
      </w:r>
      <w:r w:rsidR="00982211">
        <w:t>6</w:t>
      </w:r>
      <w:r>
        <w:t>–2</w:t>
      </w:r>
      <w:r w:rsidR="00982211">
        <w:t>7</w:t>
      </w:r>
      <w:r>
        <w:t xml:space="preserve">, </w:t>
      </w:r>
      <w:r w:rsidRPr="00AC04B2">
        <w:t>IHACPA will update the existing dashboards to include data for 202</w:t>
      </w:r>
      <w:r w:rsidR="00EB2B46">
        <w:t>3</w:t>
      </w:r>
      <w:r w:rsidRPr="00AC04B2">
        <w:t>–2</w:t>
      </w:r>
      <w:r w:rsidR="00EB2B46">
        <w:t>4</w:t>
      </w:r>
      <w:r w:rsidR="00E9321E">
        <w:t xml:space="preserve"> and</w:t>
      </w:r>
      <w:r w:rsidRPr="00AC04B2">
        <w:t xml:space="preserve"> will continue working with jurisdictions and key stakeholders to enhance the functionality of, and data sets available through, the NBP.</w:t>
      </w:r>
    </w:p>
    <w:bookmarkEnd w:id="107"/>
    <w:bookmarkEnd w:id="108"/>
    <w:bookmarkEnd w:id="109"/>
    <w:bookmarkEnd w:id="110"/>
    <w:bookmarkEnd w:id="111"/>
    <w:p w14:paraId="0A4BE9AF" w14:textId="1E1991BB" w:rsidR="003B2A6F" w:rsidRPr="00AC04B2" w:rsidRDefault="003B2A6F" w:rsidP="00D05BDE">
      <w:pPr>
        <w:pStyle w:val="H2"/>
        <w:rPr>
          <w:sz w:val="18"/>
          <w:szCs w:val="18"/>
        </w:rPr>
      </w:pPr>
      <w:r w:rsidRPr="00AC04B2">
        <w:br w:type="page"/>
      </w:r>
    </w:p>
    <w:p w14:paraId="519C84C2" w14:textId="4362F82B" w:rsidR="001F3404" w:rsidRPr="00D05BDE" w:rsidRDefault="001A060A" w:rsidP="00D05BDE">
      <w:pPr>
        <w:pStyle w:val="TOCHeading"/>
      </w:pPr>
      <w:bookmarkStart w:id="128" w:name="_Toc55044583"/>
      <w:bookmarkStart w:id="129" w:name="_Toc223594822"/>
      <w:r w:rsidRPr="00D05BDE">
        <w:lastRenderedPageBreak/>
        <w:t>3</w:t>
      </w:r>
      <w:r w:rsidR="008D5984" w:rsidRPr="00D05BDE">
        <w:t>.</w:t>
      </w:r>
      <w:r w:rsidR="008D5984" w:rsidRPr="00D05BDE">
        <w:tab/>
      </w:r>
      <w:bookmarkEnd w:id="128"/>
      <w:r w:rsidR="00583D42" w:rsidRPr="00D05BDE">
        <w:t>Key activities – Aged care</w:t>
      </w:r>
      <w:bookmarkEnd w:id="129"/>
    </w:p>
    <w:p w14:paraId="022F882A" w14:textId="0C2B50CC" w:rsidR="001F3404" w:rsidRPr="00AC04B2" w:rsidRDefault="00583D42" w:rsidP="00F00D91">
      <w:pPr>
        <w:pStyle w:val="Body"/>
      </w:pPr>
      <w:r w:rsidRPr="00544AA5">
        <w:t xml:space="preserve">The Independent Health and Aged Care Pricing Authority’s (IHACPA) strategic objectives and the associated key deliverables </w:t>
      </w:r>
      <w:r>
        <w:t xml:space="preserve">for aged care </w:t>
      </w:r>
      <w:r w:rsidRPr="00544AA5">
        <w:t>for 202</w:t>
      </w:r>
      <w:r w:rsidR="00DC7A38">
        <w:t>6</w:t>
      </w:r>
      <w:r w:rsidRPr="00544AA5">
        <w:t>–2</w:t>
      </w:r>
      <w:r w:rsidR="00EB2B46">
        <w:t>7</w:t>
      </w:r>
      <w:r w:rsidRPr="00544AA5">
        <w:t xml:space="preserve"> </w:t>
      </w:r>
      <w:proofErr w:type="gramStart"/>
      <w:r w:rsidRPr="00544AA5">
        <w:t>are</w:t>
      </w:r>
      <w:proofErr w:type="gramEnd"/>
      <w:r w:rsidRPr="00544AA5">
        <w:t xml:space="preserve"> detailed below. These deliverables are based on the requirements of the </w:t>
      </w:r>
      <w:r w:rsidR="00EB2B46">
        <w:rPr>
          <w:i/>
          <w:iCs/>
        </w:rPr>
        <w:t xml:space="preserve">National Health Reform Act 2011 </w:t>
      </w:r>
      <w:r w:rsidR="00EB2B46">
        <w:t xml:space="preserve">(the NHR Act) and the </w:t>
      </w:r>
      <w:r w:rsidRPr="00544AA5">
        <w:rPr>
          <w:i/>
          <w:iCs/>
        </w:rPr>
        <w:t xml:space="preserve">Aged Care Act </w:t>
      </w:r>
      <w:r w:rsidR="00EB2B46">
        <w:rPr>
          <w:i/>
          <w:iCs/>
        </w:rPr>
        <w:t xml:space="preserve">2024 </w:t>
      </w:r>
      <w:r w:rsidR="00EB2B46">
        <w:t>(the Aged Care Act)</w:t>
      </w:r>
      <w:r w:rsidRPr="00544AA5">
        <w:t xml:space="preserve">. </w:t>
      </w:r>
    </w:p>
    <w:p w14:paraId="0A3DA34F" w14:textId="39873CFA" w:rsidR="001F3404" w:rsidRPr="00D05BDE" w:rsidRDefault="001A060A" w:rsidP="00D05BDE">
      <w:pPr>
        <w:pStyle w:val="H2"/>
      </w:pPr>
      <w:bookmarkStart w:id="130" w:name="_Toc55054029"/>
      <w:bookmarkStart w:id="131" w:name="_Toc223594823"/>
      <w:r w:rsidRPr="00D05BDE">
        <w:t>3</w:t>
      </w:r>
      <w:r w:rsidR="007F392E" w:rsidRPr="00D05BDE">
        <w:t>.</w:t>
      </w:r>
      <w:r w:rsidR="008550D6" w:rsidRPr="00D05BDE">
        <w:t>1</w:t>
      </w:r>
      <w:r w:rsidR="007F392E" w:rsidRPr="00D05BDE">
        <w:tab/>
      </w:r>
      <w:bookmarkEnd w:id="130"/>
      <w:r w:rsidR="00213BA3" w:rsidRPr="00D05BDE">
        <w:t>P</w:t>
      </w:r>
      <w:r w:rsidR="00C72323" w:rsidRPr="00D05BDE">
        <w:t>ricing</w:t>
      </w:r>
      <w:r w:rsidR="005C66FA" w:rsidRPr="00D05BDE">
        <w:t xml:space="preserve"> for Australian aged care services</w:t>
      </w:r>
      <w:bookmarkEnd w:id="131"/>
    </w:p>
    <w:p w14:paraId="16C38DBB" w14:textId="1B465CF5" w:rsidR="00BD5F19" w:rsidRPr="0084434E" w:rsidRDefault="00BD5F19" w:rsidP="00922569">
      <w:pPr>
        <w:pStyle w:val="H4-List"/>
        <w:keepNext/>
        <w:keepLines/>
        <w:numPr>
          <w:ilvl w:val="0"/>
          <w:numId w:val="36"/>
        </w:numPr>
        <w:rPr>
          <w:rFonts w:ascii="Arial" w:hAnsi="Arial"/>
        </w:rPr>
      </w:pPr>
      <w:r w:rsidRPr="0084434E">
        <w:rPr>
          <w:rFonts w:ascii="Arial" w:hAnsi="Arial"/>
        </w:rPr>
        <w:t xml:space="preserve">Development of the Pricing Framework for Australian Residential Aged Care Services and </w:t>
      </w:r>
      <w:r w:rsidR="00213BA3" w:rsidRPr="0084434E">
        <w:rPr>
          <w:rFonts w:ascii="Arial" w:hAnsi="Arial"/>
        </w:rPr>
        <w:t xml:space="preserve">the </w:t>
      </w:r>
      <w:r w:rsidRPr="0084434E">
        <w:rPr>
          <w:rFonts w:ascii="Arial" w:hAnsi="Arial"/>
        </w:rPr>
        <w:t xml:space="preserve">Residential Aged Care Pricing Advice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BD5F19" w:rsidRPr="00AC04B2" w14:paraId="04920B7C" w14:textId="77777777" w:rsidTr="00CC450E">
        <w:trPr>
          <w:trHeight w:val="351"/>
        </w:trPr>
        <w:tc>
          <w:tcPr>
            <w:tcW w:w="3726" w:type="pct"/>
            <w:tcBorders>
              <w:top w:val="nil"/>
              <w:bottom w:val="nil"/>
            </w:tcBorders>
            <w:shd w:val="clear" w:color="auto" w:fill="104F99" w:themeFill="accent2"/>
            <w:vAlign w:val="center"/>
          </w:tcPr>
          <w:p w14:paraId="67210789" w14:textId="77777777" w:rsidR="00BD5F19" w:rsidRPr="00AC04B2" w:rsidRDefault="00BD5F19" w:rsidP="00204BDB">
            <w:pPr>
              <w:pStyle w:val="TableHeading"/>
              <w:keepNext/>
              <w:keepLines/>
            </w:pPr>
            <w:r w:rsidRPr="00AC04B2">
              <w:t>Deliverable</w:t>
            </w:r>
          </w:p>
        </w:tc>
        <w:tc>
          <w:tcPr>
            <w:tcW w:w="1274" w:type="pct"/>
            <w:tcBorders>
              <w:top w:val="nil"/>
              <w:bottom w:val="nil"/>
            </w:tcBorders>
            <w:shd w:val="clear" w:color="auto" w:fill="104F99" w:themeFill="accent2"/>
            <w:vAlign w:val="center"/>
          </w:tcPr>
          <w:p w14:paraId="792B1358" w14:textId="77777777" w:rsidR="00BD5F19" w:rsidRPr="00AC04B2" w:rsidRDefault="00BD5F19" w:rsidP="00204BDB">
            <w:pPr>
              <w:pStyle w:val="TableHeading"/>
              <w:keepNext/>
              <w:keepLines/>
            </w:pPr>
            <w:r w:rsidRPr="00AC04B2">
              <w:t>Timeframe</w:t>
            </w:r>
          </w:p>
        </w:tc>
      </w:tr>
      <w:tr w:rsidR="00213BA3" w:rsidRPr="00D70DF8" w14:paraId="242B99DF" w14:textId="77777777" w:rsidTr="00204BDB">
        <w:trPr>
          <w:trHeight w:val="351"/>
        </w:trPr>
        <w:tc>
          <w:tcPr>
            <w:tcW w:w="3726" w:type="pct"/>
            <w:tcBorders>
              <w:top w:val="nil"/>
              <w:bottom w:val="single" w:sz="4" w:space="0" w:color="auto"/>
            </w:tcBorders>
          </w:tcPr>
          <w:p w14:paraId="71CF58E7" w14:textId="7755AC15" w:rsidR="00213BA3" w:rsidRPr="00A62288" w:rsidRDefault="00213BA3" w:rsidP="0084434E">
            <w:pPr>
              <w:pStyle w:val="TableHeading"/>
              <w:keepNext/>
              <w:keepLines/>
              <w:spacing w:before="40" w:after="40"/>
              <w:rPr>
                <w:b w:val="0"/>
                <w:color w:val="auto"/>
                <w:lang w:val="en-PH" w:eastAsia="en-US"/>
              </w:rPr>
            </w:pPr>
            <w:r w:rsidRPr="00E9321E">
              <w:rPr>
                <w:b w:val="0"/>
                <w:color w:val="auto"/>
                <w:lang w:val="en-PH" w:eastAsia="en-US"/>
              </w:rPr>
              <w:t>Complete the public consultation process for the Pricing Framework for Australian Residential Aged Care Services 2027–28.</w:t>
            </w:r>
          </w:p>
        </w:tc>
        <w:tc>
          <w:tcPr>
            <w:tcW w:w="1274" w:type="pct"/>
            <w:tcBorders>
              <w:top w:val="nil"/>
              <w:bottom w:val="single" w:sz="4" w:space="0" w:color="auto"/>
            </w:tcBorders>
          </w:tcPr>
          <w:p w14:paraId="3A929359" w14:textId="493F32F5" w:rsidR="00213BA3" w:rsidRPr="00A62288" w:rsidRDefault="00213BA3" w:rsidP="0084434E">
            <w:pPr>
              <w:pStyle w:val="TableHeading"/>
              <w:keepNext/>
              <w:keepLines/>
              <w:spacing w:before="40" w:after="40"/>
              <w:rPr>
                <w:b w:val="0"/>
                <w:color w:val="auto"/>
                <w:lang w:val="en-PH" w:eastAsia="en-US"/>
              </w:rPr>
            </w:pPr>
            <w:r w:rsidRPr="00E9321E">
              <w:rPr>
                <w:b w:val="0"/>
                <w:color w:val="auto"/>
                <w:lang w:val="en-PH" w:eastAsia="en-US"/>
              </w:rPr>
              <w:t>September 2026</w:t>
            </w:r>
          </w:p>
        </w:tc>
      </w:tr>
      <w:tr w:rsidR="00213BA3" w:rsidRPr="00AC04B2" w14:paraId="3920D6C3" w14:textId="77777777" w:rsidTr="00204BDB">
        <w:tblPrEx>
          <w:tblBorders>
            <w:top w:val="single" w:sz="4" w:space="0" w:color="auto"/>
            <w:left w:val="single" w:sz="4" w:space="0" w:color="auto"/>
            <w:bottom w:val="single" w:sz="4" w:space="0" w:color="auto"/>
            <w:right w:val="single" w:sz="4" w:space="0" w:color="auto"/>
            <w:insideV w:val="single" w:sz="4" w:space="0" w:color="auto"/>
          </w:tblBorders>
          <w:tblCellMar>
            <w:top w:w="0" w:type="dxa"/>
            <w:bottom w:w="0" w:type="dxa"/>
            <w:right w:w="108" w:type="dxa"/>
          </w:tblCellMar>
        </w:tblPrEx>
        <w:trPr>
          <w:trHeight w:val="236"/>
        </w:trPr>
        <w:tc>
          <w:tcPr>
            <w:tcW w:w="3726" w:type="pct"/>
            <w:tcBorders>
              <w:top w:val="single" w:sz="4" w:space="0" w:color="auto"/>
              <w:left w:val="nil"/>
              <w:right w:val="nil"/>
            </w:tcBorders>
          </w:tcPr>
          <w:p w14:paraId="37BAC000" w14:textId="3F003912" w:rsidR="00213BA3" w:rsidRPr="00A62288" w:rsidRDefault="00213BA3" w:rsidP="00C83FB6">
            <w:pPr>
              <w:pStyle w:val="TableBodySmall"/>
              <w:keepNext/>
              <w:keepLines/>
              <w:rPr>
                <w:lang w:val="en-PH"/>
              </w:rPr>
            </w:pPr>
            <w:r>
              <w:rPr>
                <w:lang w:val="en-PH"/>
              </w:rPr>
              <w:t>Provide the Pricing Framework for Australian Residential Aged Care Services 2027–28 to the Australian Government Minister for Health and Ageing.</w:t>
            </w:r>
          </w:p>
        </w:tc>
        <w:tc>
          <w:tcPr>
            <w:tcW w:w="1274" w:type="pct"/>
            <w:tcBorders>
              <w:top w:val="single" w:sz="4" w:space="0" w:color="auto"/>
              <w:left w:val="nil"/>
              <w:right w:val="nil"/>
            </w:tcBorders>
          </w:tcPr>
          <w:p w14:paraId="12649E7D" w14:textId="4EA526EC" w:rsidR="00213BA3" w:rsidRPr="00A62288" w:rsidRDefault="00213BA3" w:rsidP="00C83FB6">
            <w:pPr>
              <w:pStyle w:val="TableBodySmall"/>
              <w:keepNext/>
              <w:keepLines/>
              <w:rPr>
                <w:lang w:val="en-PH"/>
              </w:rPr>
            </w:pPr>
            <w:r>
              <w:rPr>
                <w:lang w:val="en-PH"/>
              </w:rPr>
              <w:t>March 2027</w:t>
            </w:r>
          </w:p>
        </w:tc>
      </w:tr>
      <w:tr w:rsidR="00213BA3" w:rsidRPr="00AC04B2" w14:paraId="07AF911B" w14:textId="77777777" w:rsidTr="00204BDB">
        <w:trPr>
          <w:trHeight w:val="236"/>
        </w:trPr>
        <w:tc>
          <w:tcPr>
            <w:tcW w:w="3726" w:type="pct"/>
            <w:tcBorders>
              <w:left w:val="nil"/>
              <w:bottom w:val="single" w:sz="4" w:space="0" w:color="auto"/>
              <w:right w:val="nil"/>
            </w:tcBorders>
          </w:tcPr>
          <w:p w14:paraId="3BDBB6E7" w14:textId="4F566ED7" w:rsidR="00213BA3" w:rsidRPr="00AC04B2" w:rsidRDefault="00213BA3" w:rsidP="00C83FB6">
            <w:pPr>
              <w:pStyle w:val="TableBodySmall"/>
              <w:keepNext/>
              <w:keepLines/>
            </w:pPr>
            <w:r>
              <w:rPr>
                <w:lang w:val="en-PH"/>
              </w:rPr>
              <w:t>Provide the draft Residential Aged Care Pricing Advice 2027–28 to the Australian Government Minister for Health and Ageing.</w:t>
            </w:r>
          </w:p>
        </w:tc>
        <w:tc>
          <w:tcPr>
            <w:tcW w:w="1274" w:type="pct"/>
            <w:tcBorders>
              <w:left w:val="nil"/>
              <w:bottom w:val="single" w:sz="4" w:space="0" w:color="auto"/>
              <w:right w:val="nil"/>
            </w:tcBorders>
          </w:tcPr>
          <w:p w14:paraId="7704A15E" w14:textId="52B77765" w:rsidR="00213BA3" w:rsidRPr="00AC04B2" w:rsidRDefault="00213BA3" w:rsidP="00C83FB6">
            <w:pPr>
              <w:pStyle w:val="TableBodySmall"/>
              <w:keepNext/>
              <w:keepLines/>
            </w:pPr>
            <w:r>
              <w:rPr>
                <w:lang w:val="en-PH"/>
              </w:rPr>
              <w:t>December 2026 and March 2027</w:t>
            </w:r>
          </w:p>
        </w:tc>
      </w:tr>
      <w:tr w:rsidR="00213BA3" w:rsidRPr="00AC04B2" w14:paraId="5E3C702A" w14:textId="77777777" w:rsidTr="00204BDB">
        <w:trPr>
          <w:trHeight w:val="236"/>
        </w:trPr>
        <w:tc>
          <w:tcPr>
            <w:tcW w:w="3726" w:type="pct"/>
            <w:tcBorders>
              <w:top w:val="single" w:sz="4" w:space="0" w:color="auto"/>
              <w:left w:val="nil"/>
              <w:bottom w:val="single" w:sz="4" w:space="0" w:color="auto"/>
              <w:right w:val="nil"/>
            </w:tcBorders>
          </w:tcPr>
          <w:p w14:paraId="755E7952" w14:textId="14C2D96D" w:rsidR="00213BA3" w:rsidRPr="00AC04B2" w:rsidRDefault="00213BA3" w:rsidP="00C83FB6">
            <w:pPr>
              <w:pStyle w:val="TableBodySmall"/>
            </w:pPr>
            <w:r>
              <w:rPr>
                <w:lang w:val="en-PH"/>
              </w:rPr>
              <w:t>Provide the final Residential Aged Care Pricing Advice 2027–28 to the Australian Government Minister for Health and Ageing to inform decisions on residential aged care and residential respite care funding.</w:t>
            </w:r>
          </w:p>
        </w:tc>
        <w:tc>
          <w:tcPr>
            <w:tcW w:w="1274" w:type="pct"/>
            <w:tcBorders>
              <w:top w:val="single" w:sz="4" w:space="0" w:color="auto"/>
              <w:left w:val="nil"/>
              <w:bottom w:val="single" w:sz="4" w:space="0" w:color="auto"/>
              <w:right w:val="nil"/>
            </w:tcBorders>
          </w:tcPr>
          <w:p w14:paraId="446127B0" w14:textId="67F8D390" w:rsidR="00213BA3" w:rsidRDefault="00213BA3" w:rsidP="00C83FB6">
            <w:pPr>
              <w:pStyle w:val="TableBodySmall"/>
            </w:pPr>
            <w:r>
              <w:rPr>
                <w:lang w:val="en-PH"/>
              </w:rPr>
              <w:t>August 2027</w:t>
            </w:r>
          </w:p>
        </w:tc>
      </w:tr>
    </w:tbl>
    <w:p w14:paraId="4FA7E44F" w14:textId="77777777" w:rsidR="00BD5F19" w:rsidRDefault="00BD5F19" w:rsidP="00BD5F19">
      <w:pPr>
        <w:pStyle w:val="Body"/>
      </w:pPr>
    </w:p>
    <w:p w14:paraId="76EE777F" w14:textId="77777777" w:rsidR="00BD5F19" w:rsidRPr="00FF78C7" w:rsidRDefault="00BD5F19" w:rsidP="00BD5F19">
      <w:pPr>
        <w:pStyle w:val="Body"/>
        <w:keepNext/>
        <w:rPr>
          <w:b/>
          <w:bCs/>
        </w:rPr>
      </w:pPr>
      <w:bookmarkStart w:id="132" w:name="_Hlk197420856"/>
      <w:r w:rsidRPr="00FF78C7">
        <w:rPr>
          <w:b/>
          <w:bCs/>
        </w:rPr>
        <w:t xml:space="preserve">Pricing Framework for Australian </w:t>
      </w:r>
      <w:r>
        <w:rPr>
          <w:b/>
          <w:bCs/>
        </w:rPr>
        <w:t>Residential</w:t>
      </w:r>
      <w:r w:rsidRPr="00FF78C7">
        <w:rPr>
          <w:b/>
          <w:bCs/>
        </w:rPr>
        <w:t xml:space="preserve"> Aged Care Services</w:t>
      </w:r>
      <w:r>
        <w:rPr>
          <w:b/>
          <w:bCs/>
        </w:rPr>
        <w:t xml:space="preserve"> and Residential Aged Care Pricing Advice</w:t>
      </w:r>
    </w:p>
    <w:p w14:paraId="700E863F" w14:textId="6E2C52F1" w:rsidR="00BD5F19" w:rsidRDefault="00BD5F19" w:rsidP="00213BA3">
      <w:pPr>
        <w:pStyle w:val="Body"/>
      </w:pPr>
      <w:r w:rsidRPr="00866ECC">
        <w:t xml:space="preserve">The Pricing Framework for Australian Residential Aged Care Services is the key policy </w:t>
      </w:r>
      <w:r>
        <w:t>document for IHACPA related to residential aged care and residential respite care</w:t>
      </w:r>
      <w:r w:rsidR="00213BA3">
        <w:t xml:space="preserve"> and</w:t>
      </w:r>
      <w:r>
        <w:t xml:space="preserve"> underpins IHACPA’s approach to developing residential aged care pricing and costing advice to the government.</w:t>
      </w:r>
    </w:p>
    <w:p w14:paraId="78411F03" w14:textId="7E6D9624" w:rsidR="00BD5F19" w:rsidRDefault="00BD5F19" w:rsidP="00BD5F19">
      <w:pPr>
        <w:pStyle w:val="Body"/>
      </w:pPr>
      <w:r w:rsidRPr="00AC04B2">
        <w:t xml:space="preserve">Development of the Pricing Framework for Australian Residential Aged Care Services includes </w:t>
      </w:r>
      <w:r>
        <w:t>3</w:t>
      </w:r>
      <w:r w:rsidRPr="00AC04B2">
        <w:t xml:space="preserve"> major phases: a public consultation period, </w:t>
      </w:r>
      <w:r w:rsidR="00213BA3">
        <w:t>provision of the</w:t>
      </w:r>
      <w:r w:rsidRPr="00AC04B2">
        <w:t xml:space="preserve"> Pricing Framework for Australian Residential Aged Care Services </w:t>
      </w:r>
      <w:r w:rsidR="00213BA3">
        <w:t>to</w:t>
      </w:r>
      <w:r w:rsidR="00213BA3" w:rsidRPr="00AC04B2">
        <w:t xml:space="preserve"> </w:t>
      </w:r>
      <w:r w:rsidRPr="00AC04B2">
        <w:t xml:space="preserve">the </w:t>
      </w:r>
      <w:r>
        <w:t>Australian Government</w:t>
      </w:r>
      <w:r w:rsidRPr="00AC04B2">
        <w:t xml:space="preserve"> </w:t>
      </w:r>
      <w:r>
        <w:t>Minister for Health and Ageing</w:t>
      </w:r>
      <w:r w:rsidRPr="0058664F">
        <w:t>,</w:t>
      </w:r>
      <w:r w:rsidRPr="00AC04B2">
        <w:t xml:space="preserve"> and publication of the Pricing Framework for Australian Residential Aged Care Services</w:t>
      </w:r>
      <w:r w:rsidR="00213BA3">
        <w:t>, following agreement from the Minister.</w:t>
      </w:r>
    </w:p>
    <w:p w14:paraId="5A67B634" w14:textId="77777777" w:rsidR="00213BA3" w:rsidRPr="00213BA3" w:rsidRDefault="00213BA3" w:rsidP="00213BA3">
      <w:pPr>
        <w:pStyle w:val="Body"/>
      </w:pPr>
      <w:r w:rsidRPr="00213BA3">
        <w:t>IHACPA’s pricing advice considers a variety of data sources to provide a better understanding of the costs associated with providing aged care services. This advice also considers feedback from aged care stakeholders as part of the public consultation process. </w:t>
      </w:r>
    </w:p>
    <w:p w14:paraId="79E10520" w14:textId="6EEC425E" w:rsidR="00213BA3" w:rsidRDefault="00213BA3" w:rsidP="00BD5F19">
      <w:pPr>
        <w:pStyle w:val="Body"/>
      </w:pPr>
      <w:r w:rsidRPr="00213BA3">
        <w:t>IHACPA will provide 2 drafts of the pricing advice to the Australian Government Minister for Health and Ageing in December 2026 and March 2027 which include the Australian National Aged Care Classification (AN-ACC) price and price weights. The final pricing advice will be delivered by August 2027 and includes the final AN-ACC price, based on final outcomes from the Fair Work Commission annual wage review and work value case decisions and determinations</w:t>
      </w:r>
      <w:r>
        <w:t xml:space="preserve">. </w:t>
      </w:r>
    </w:p>
    <w:bookmarkEnd w:id="132"/>
    <w:p w14:paraId="754FA74E" w14:textId="6D11C888" w:rsidR="00BD5F19" w:rsidRPr="00AC04B2" w:rsidRDefault="00BD5F19" w:rsidP="00944806">
      <w:pPr>
        <w:pStyle w:val="H4"/>
        <w:keepNext/>
        <w:ind w:left="357" w:hanging="357"/>
      </w:pPr>
      <w:r>
        <w:lastRenderedPageBreak/>
        <w:t xml:space="preserve">Development of </w:t>
      </w:r>
      <w:r w:rsidR="00213BA3">
        <w:t xml:space="preserve">other </w:t>
      </w:r>
      <w:r>
        <w:t>advice and recommendations to the Australian Government on funding for residential aged care</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BD5F19" w:rsidRPr="00AC04B2" w14:paraId="05A20447" w14:textId="77777777" w:rsidTr="00CC450E">
        <w:tc>
          <w:tcPr>
            <w:tcW w:w="3726" w:type="pct"/>
            <w:tcBorders>
              <w:top w:val="nil"/>
              <w:bottom w:val="nil"/>
            </w:tcBorders>
            <w:shd w:val="clear" w:color="auto" w:fill="104F99" w:themeFill="accent2"/>
            <w:vAlign w:val="center"/>
          </w:tcPr>
          <w:p w14:paraId="0BD246DD" w14:textId="77777777" w:rsidR="00BD5F19" w:rsidRPr="00AC04B2" w:rsidRDefault="00BD5F19" w:rsidP="009C78D3">
            <w:pPr>
              <w:pStyle w:val="TableHeading"/>
              <w:keepNext/>
            </w:pPr>
            <w:r w:rsidRPr="00AC04B2">
              <w:t>Deliverable</w:t>
            </w:r>
          </w:p>
        </w:tc>
        <w:tc>
          <w:tcPr>
            <w:tcW w:w="1274" w:type="pct"/>
            <w:tcBorders>
              <w:top w:val="nil"/>
              <w:bottom w:val="nil"/>
            </w:tcBorders>
            <w:shd w:val="clear" w:color="auto" w:fill="104F99" w:themeFill="accent2"/>
            <w:vAlign w:val="center"/>
          </w:tcPr>
          <w:p w14:paraId="1CF53293" w14:textId="77777777" w:rsidR="00BD5F19" w:rsidRPr="00AC04B2" w:rsidRDefault="00BD5F19" w:rsidP="009C78D3">
            <w:pPr>
              <w:pStyle w:val="TableHeading"/>
              <w:keepNext/>
            </w:pPr>
            <w:r w:rsidRPr="00AC04B2">
              <w:t>Timeframe</w:t>
            </w:r>
          </w:p>
        </w:tc>
      </w:tr>
      <w:tr w:rsidR="00213BA3" w:rsidRPr="00AC04B2" w14:paraId="0480C0F5" w14:textId="77777777" w:rsidTr="00204BDB">
        <w:trPr>
          <w:trHeight w:val="256"/>
        </w:trPr>
        <w:tc>
          <w:tcPr>
            <w:tcW w:w="3726" w:type="pct"/>
            <w:tcBorders>
              <w:top w:val="nil"/>
              <w:bottom w:val="single" w:sz="4" w:space="0" w:color="auto"/>
            </w:tcBorders>
          </w:tcPr>
          <w:p w14:paraId="338AC739" w14:textId="252082A9" w:rsidR="00213BA3" w:rsidRDefault="00213BA3" w:rsidP="009C78D3">
            <w:pPr>
              <w:pStyle w:val="TableBodySmall"/>
              <w:keepNext/>
            </w:pPr>
            <w:r>
              <w:t>Undertake a feasibility study and provide advice to inform Australian Government decisions on funding for required everyday living services.</w:t>
            </w:r>
          </w:p>
        </w:tc>
        <w:tc>
          <w:tcPr>
            <w:tcW w:w="1274" w:type="pct"/>
            <w:tcBorders>
              <w:top w:val="nil"/>
              <w:bottom w:val="single" w:sz="4" w:space="0" w:color="auto"/>
            </w:tcBorders>
          </w:tcPr>
          <w:p w14:paraId="6E09AEB8" w14:textId="0A6C445B" w:rsidR="00213BA3" w:rsidRDefault="00213BA3" w:rsidP="009C78D3">
            <w:pPr>
              <w:pStyle w:val="TableBodySmall"/>
              <w:keepNext/>
            </w:pPr>
            <w:r>
              <w:rPr>
                <w:lang w:val="en-PH"/>
              </w:rPr>
              <w:t>December 2027</w:t>
            </w:r>
          </w:p>
        </w:tc>
      </w:tr>
      <w:tr w:rsidR="00213BA3" w:rsidRPr="00AC04B2" w:rsidDel="00754FF8" w14:paraId="58BB1CD3" w14:textId="77777777" w:rsidTr="00C562A3">
        <w:trPr>
          <w:trHeight w:val="256"/>
        </w:trPr>
        <w:tc>
          <w:tcPr>
            <w:tcW w:w="3726" w:type="pct"/>
            <w:tcBorders>
              <w:top w:val="nil"/>
              <w:bottom w:val="single" w:sz="4" w:space="0" w:color="auto"/>
            </w:tcBorders>
          </w:tcPr>
          <w:p w14:paraId="5A773112" w14:textId="6F0BB91C" w:rsidR="00213BA3" w:rsidDel="00754FF8" w:rsidRDefault="00213BA3" w:rsidP="009C78D3">
            <w:pPr>
              <w:pStyle w:val="TableBodySmall"/>
              <w:keepNext/>
            </w:pPr>
            <w:r>
              <w:t xml:space="preserve">Undertake an assessment and provide advice to inform Australian Government decisions on the funding model for the </w:t>
            </w:r>
            <w:r w:rsidRPr="005846C4">
              <w:t>Multi-Purpose Service</w:t>
            </w:r>
            <w:r>
              <w:t xml:space="preserve"> Program.</w:t>
            </w:r>
          </w:p>
        </w:tc>
        <w:tc>
          <w:tcPr>
            <w:tcW w:w="1274" w:type="pct"/>
            <w:tcBorders>
              <w:top w:val="nil"/>
              <w:bottom w:val="single" w:sz="4" w:space="0" w:color="auto"/>
            </w:tcBorders>
          </w:tcPr>
          <w:p w14:paraId="29A276FA" w14:textId="78BDE6C6" w:rsidR="00213BA3" w:rsidDel="00754FF8" w:rsidRDefault="00213BA3" w:rsidP="009C78D3">
            <w:pPr>
              <w:pStyle w:val="TableBodySmall"/>
              <w:keepNext/>
            </w:pPr>
            <w:r>
              <w:rPr>
                <w:lang w:val="en-PH"/>
              </w:rPr>
              <w:t>July 2026</w:t>
            </w:r>
          </w:p>
        </w:tc>
      </w:tr>
      <w:tr w:rsidR="00213BA3" w:rsidRPr="00AC04B2" w14:paraId="1EA19CA5" w14:textId="77777777" w:rsidTr="00C562A3">
        <w:trPr>
          <w:trHeight w:val="256"/>
        </w:trPr>
        <w:tc>
          <w:tcPr>
            <w:tcW w:w="3726" w:type="pct"/>
            <w:tcBorders>
              <w:top w:val="single" w:sz="4" w:space="0" w:color="auto"/>
              <w:bottom w:val="single" w:sz="2" w:space="0" w:color="auto"/>
            </w:tcBorders>
          </w:tcPr>
          <w:p w14:paraId="1D4DB9D9" w14:textId="77777777" w:rsidR="00213BA3" w:rsidRPr="00AC04B2" w:rsidRDefault="00213BA3" w:rsidP="009C78D3">
            <w:pPr>
              <w:pStyle w:val="TableBodySmall"/>
              <w:keepNext/>
            </w:pPr>
            <w:r>
              <w:t xml:space="preserve">Undertake an assessment and provide advice to inform Australian Government decisions on the funding model for </w:t>
            </w:r>
            <w:r w:rsidRPr="00722EFA">
              <w:t>the National Aboriginal and Torres Strait Islander Flexible Aged Care</w:t>
            </w:r>
            <w:r>
              <w:t xml:space="preserve"> Program.</w:t>
            </w:r>
          </w:p>
        </w:tc>
        <w:tc>
          <w:tcPr>
            <w:tcW w:w="1274" w:type="pct"/>
            <w:tcBorders>
              <w:top w:val="single" w:sz="4" w:space="0" w:color="auto"/>
              <w:bottom w:val="single" w:sz="2" w:space="0" w:color="auto"/>
            </w:tcBorders>
          </w:tcPr>
          <w:p w14:paraId="49DF8296" w14:textId="00995124" w:rsidR="00213BA3" w:rsidRPr="00AC04B2" w:rsidRDefault="00213BA3" w:rsidP="009C78D3">
            <w:pPr>
              <w:pStyle w:val="TableBodySmall"/>
              <w:keepNext/>
            </w:pPr>
            <w:r>
              <w:rPr>
                <w:lang w:val="en-PH"/>
              </w:rPr>
              <w:t>July 2026</w:t>
            </w:r>
          </w:p>
        </w:tc>
      </w:tr>
    </w:tbl>
    <w:p w14:paraId="39032BDA" w14:textId="77777777" w:rsidR="00BD5F19" w:rsidRDefault="00BD5F19" w:rsidP="009C78D3">
      <w:pPr>
        <w:pStyle w:val="Body"/>
        <w:keepNext/>
      </w:pPr>
    </w:p>
    <w:p w14:paraId="49B60FBA" w14:textId="77777777" w:rsidR="00BD5F19" w:rsidRPr="005405FF" w:rsidRDefault="00BD5F19" w:rsidP="00BD5F19">
      <w:pPr>
        <w:pStyle w:val="Body"/>
        <w:rPr>
          <w:b/>
          <w:bCs/>
        </w:rPr>
      </w:pPr>
      <w:r w:rsidRPr="005405FF">
        <w:rPr>
          <w:b/>
          <w:bCs/>
        </w:rPr>
        <w:t xml:space="preserve">The Australian Government has requested advice and recommendations from IHACPA on </w:t>
      </w:r>
      <w:proofErr w:type="gramStart"/>
      <w:r w:rsidRPr="005405FF">
        <w:rPr>
          <w:b/>
          <w:bCs/>
        </w:rPr>
        <w:t>a number of</w:t>
      </w:r>
      <w:proofErr w:type="gramEnd"/>
      <w:r w:rsidRPr="005405FF">
        <w:rPr>
          <w:b/>
          <w:bCs/>
        </w:rPr>
        <w:t xml:space="preserve"> residential aged care pricing and costing matters.</w:t>
      </w:r>
    </w:p>
    <w:p w14:paraId="1BBBDF4A" w14:textId="4F5CF5AF" w:rsidR="00213BA3" w:rsidRPr="005405FF" w:rsidRDefault="00213BA3" w:rsidP="00213BA3">
      <w:pPr>
        <w:pStyle w:val="Body"/>
      </w:pPr>
      <w:r w:rsidRPr="005405FF">
        <w:t>Registered providers of residential aged care receive a hotelling supplement to help meet the costs of providing everyday living services. The Australian Government is seeking IHACPA’s advice on the cost differentials to provide everyday living services and how the cost can be impacted by factors such as geographic location and the classification of resident care needs. Informed by IHACPA’s analysis and advice</w:t>
      </w:r>
      <w:r w:rsidR="00894880" w:rsidRPr="005405FF">
        <w:t xml:space="preserve"> through a multi-year program of work</w:t>
      </w:r>
      <w:r w:rsidRPr="005405FF">
        <w:t>, the Australian Government will consider tiering of the hotelling supplement.</w:t>
      </w:r>
    </w:p>
    <w:p w14:paraId="1171E544" w14:textId="4984EAC4" w:rsidR="00213BA3" w:rsidRPr="005405FF" w:rsidRDefault="00213BA3" w:rsidP="00213BA3">
      <w:pPr>
        <w:pStyle w:val="Body"/>
      </w:pPr>
      <w:r w:rsidRPr="005405FF">
        <w:t xml:space="preserve">The Multi-Purpose Service Program (MPSP) provides integrated health and aged care services for </w:t>
      </w:r>
      <w:r w:rsidR="00DD306E" w:rsidRPr="005405FF">
        <w:t xml:space="preserve">older people living in </w:t>
      </w:r>
      <w:r w:rsidRPr="005405FF">
        <w:t xml:space="preserve">rural and remote </w:t>
      </w:r>
      <w:r w:rsidR="00DD306E" w:rsidRPr="005405FF">
        <w:t>Australia</w:t>
      </w:r>
      <w:r w:rsidRPr="005405FF">
        <w:t xml:space="preserve">, in areas that cannot support </w:t>
      </w:r>
      <w:r w:rsidR="00DD306E" w:rsidRPr="005405FF">
        <w:t xml:space="preserve">both a hospital and a separate </w:t>
      </w:r>
      <w:r w:rsidRPr="005405FF">
        <w:t xml:space="preserve">aged care </w:t>
      </w:r>
      <w:r w:rsidR="00DD306E" w:rsidRPr="005405FF">
        <w:t>home</w:t>
      </w:r>
      <w:r w:rsidRPr="005405FF">
        <w:t>.</w:t>
      </w:r>
    </w:p>
    <w:p w14:paraId="59750AD6" w14:textId="2B13A3F8" w:rsidR="00213BA3" w:rsidRPr="005405FF" w:rsidRDefault="00213BA3" w:rsidP="00213BA3">
      <w:pPr>
        <w:pStyle w:val="Body"/>
      </w:pPr>
      <w:r w:rsidRPr="005405FF">
        <w:t xml:space="preserve">The National Aboriginal and Torres Strait Islander Flexible Aged Care Program (NATSIFACP) provides </w:t>
      </w:r>
      <w:r w:rsidR="00243DC0" w:rsidRPr="005405FF">
        <w:t xml:space="preserve">flexible, culturally safe </w:t>
      </w:r>
      <w:r w:rsidRPr="005405FF">
        <w:t xml:space="preserve">aged care services to older Aboriginal and Torres Strait Islander peoples. These aged care services are mainly delivered in rural and remote areas nationally. </w:t>
      </w:r>
    </w:p>
    <w:p w14:paraId="7A2DA93A" w14:textId="7401AD59" w:rsidR="00213BA3" w:rsidRPr="005405FF" w:rsidRDefault="00213BA3" w:rsidP="00213BA3">
      <w:pPr>
        <w:pStyle w:val="Body"/>
      </w:pPr>
      <w:r w:rsidRPr="005405FF">
        <w:t xml:space="preserve">The Australian Government has requested IHACPA undertake a funding model assessment for the MPSP and NATSIFACP through a multi-year program of work. This will be undertaken in collaboration with the Department of Health, Disability and Ageing and include consultation with MPSP and NATSIFACP providers, a scoping study and pricing review to facilitate the provision of advice and recommendations to the Australian Government on </w:t>
      </w:r>
      <w:r w:rsidR="00894880" w:rsidRPr="005405FF">
        <w:t xml:space="preserve">any future </w:t>
      </w:r>
      <w:r w:rsidRPr="005405FF">
        <w:t>funding models for each program.</w:t>
      </w:r>
    </w:p>
    <w:p w14:paraId="004F2532" w14:textId="77777777" w:rsidR="00BD5F19" w:rsidRPr="00023C86" w:rsidRDefault="00BD5F19" w:rsidP="00BD5F19">
      <w:pPr>
        <w:pStyle w:val="H4"/>
        <w:keepNext/>
        <w:keepLines/>
        <w:ind w:left="357" w:hanging="357"/>
      </w:pPr>
      <w:r w:rsidRPr="00AC04B2">
        <w:t xml:space="preserve">Development of </w:t>
      </w:r>
      <w:r>
        <w:t xml:space="preserve">the </w:t>
      </w:r>
      <w:r w:rsidRPr="00FF78C7">
        <w:t>Pricing Framework for Australian</w:t>
      </w:r>
      <w:r>
        <w:t xml:space="preserve"> Support at Home </w:t>
      </w:r>
      <w:r w:rsidRPr="00FF78C7">
        <w:t>Aged Care Services</w:t>
      </w:r>
      <w:r>
        <w:t xml:space="preserve"> and the Support at Home Pricing Advice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BD5F19" w:rsidRPr="00AC04B2" w14:paraId="2B748739" w14:textId="77777777" w:rsidTr="00C048CB">
        <w:trPr>
          <w:trHeight w:val="351"/>
        </w:trPr>
        <w:tc>
          <w:tcPr>
            <w:tcW w:w="3726" w:type="pct"/>
            <w:tcBorders>
              <w:top w:val="nil"/>
              <w:bottom w:val="nil"/>
            </w:tcBorders>
            <w:shd w:val="clear" w:color="auto" w:fill="104F99" w:themeFill="accent2"/>
            <w:vAlign w:val="center"/>
          </w:tcPr>
          <w:p w14:paraId="7752AF86" w14:textId="77777777" w:rsidR="00BD5F19" w:rsidRPr="00AC04B2" w:rsidRDefault="00BD5F19" w:rsidP="00204BDB">
            <w:pPr>
              <w:pStyle w:val="TableHeading"/>
              <w:keepNext/>
              <w:keepLines/>
            </w:pPr>
            <w:r w:rsidRPr="00AC04B2">
              <w:t>Deliverable</w:t>
            </w:r>
          </w:p>
        </w:tc>
        <w:tc>
          <w:tcPr>
            <w:tcW w:w="1274" w:type="pct"/>
            <w:tcBorders>
              <w:top w:val="nil"/>
              <w:bottom w:val="nil"/>
            </w:tcBorders>
            <w:shd w:val="clear" w:color="auto" w:fill="104F99" w:themeFill="accent2"/>
            <w:vAlign w:val="center"/>
          </w:tcPr>
          <w:p w14:paraId="3A24A902" w14:textId="77777777" w:rsidR="00BD5F19" w:rsidRPr="00AC04B2" w:rsidRDefault="00BD5F19" w:rsidP="00204BDB">
            <w:pPr>
              <w:pStyle w:val="TableHeading"/>
              <w:keepNext/>
              <w:keepLines/>
            </w:pPr>
            <w:r w:rsidRPr="00AC04B2">
              <w:t>Timeframe</w:t>
            </w:r>
          </w:p>
        </w:tc>
      </w:tr>
      <w:tr w:rsidR="00213BA3" w:rsidRPr="00AC04B2" w14:paraId="51B611AC" w14:textId="77777777" w:rsidTr="00C048CB">
        <w:trPr>
          <w:trHeight w:val="236"/>
        </w:trPr>
        <w:tc>
          <w:tcPr>
            <w:tcW w:w="3726" w:type="pct"/>
            <w:tcBorders>
              <w:top w:val="nil"/>
              <w:left w:val="nil"/>
              <w:bottom w:val="single" w:sz="4" w:space="0" w:color="auto"/>
              <w:right w:val="nil"/>
            </w:tcBorders>
          </w:tcPr>
          <w:p w14:paraId="307452DA" w14:textId="0652F770" w:rsidR="00213BA3" w:rsidRPr="00AC04B2" w:rsidRDefault="00213BA3" w:rsidP="00213BA3">
            <w:pPr>
              <w:pStyle w:val="TableBodySmall"/>
              <w:keepNext/>
              <w:keepLines/>
            </w:pPr>
            <w:r>
              <w:rPr>
                <w:lang w:val="en-PH"/>
              </w:rPr>
              <w:t xml:space="preserve">Complete the public consultation process for the </w:t>
            </w:r>
            <w:r w:rsidR="00552BE5" w:rsidRPr="00552BE5">
              <w:rPr>
                <w:lang w:val="en-PH"/>
              </w:rPr>
              <w:t>Pricing Framework</w:t>
            </w:r>
            <w:r>
              <w:rPr>
                <w:lang w:val="en-PH"/>
              </w:rPr>
              <w:t xml:space="preserve"> for </w:t>
            </w:r>
            <w:r w:rsidR="00552BE5">
              <w:rPr>
                <w:lang w:val="en-PH"/>
              </w:rPr>
              <w:t xml:space="preserve">Australian </w:t>
            </w:r>
            <w:r>
              <w:rPr>
                <w:lang w:val="en-PH"/>
              </w:rPr>
              <w:t xml:space="preserve">Support at Home </w:t>
            </w:r>
            <w:r w:rsidR="00552BE5">
              <w:rPr>
                <w:lang w:val="en-PH"/>
              </w:rPr>
              <w:t>Aged Care Services</w:t>
            </w:r>
            <w:r>
              <w:rPr>
                <w:lang w:val="en-PH"/>
              </w:rPr>
              <w:t xml:space="preserve"> 2027–28.</w:t>
            </w:r>
          </w:p>
        </w:tc>
        <w:tc>
          <w:tcPr>
            <w:tcW w:w="1274" w:type="pct"/>
            <w:tcBorders>
              <w:top w:val="nil"/>
              <w:left w:val="nil"/>
              <w:bottom w:val="single" w:sz="4" w:space="0" w:color="auto"/>
              <w:right w:val="nil"/>
            </w:tcBorders>
          </w:tcPr>
          <w:p w14:paraId="799B310F" w14:textId="650124D7" w:rsidR="00213BA3" w:rsidRDefault="00213BA3" w:rsidP="00213BA3">
            <w:pPr>
              <w:pStyle w:val="TableBodySmall"/>
              <w:keepNext/>
              <w:keepLines/>
            </w:pPr>
            <w:r>
              <w:rPr>
                <w:lang w:val="en-PH"/>
              </w:rPr>
              <w:t>April 2026</w:t>
            </w:r>
          </w:p>
        </w:tc>
      </w:tr>
      <w:tr w:rsidR="00213BA3" w:rsidRPr="00AC04B2" w14:paraId="23C8C43B" w14:textId="77777777" w:rsidTr="00C048CB">
        <w:trPr>
          <w:trHeight w:val="236"/>
        </w:trPr>
        <w:tc>
          <w:tcPr>
            <w:tcW w:w="3726" w:type="pct"/>
            <w:tcBorders>
              <w:top w:val="single" w:sz="4" w:space="0" w:color="auto"/>
              <w:left w:val="nil"/>
              <w:right w:val="nil"/>
            </w:tcBorders>
          </w:tcPr>
          <w:p w14:paraId="50D0CBD3" w14:textId="35B846A5" w:rsidR="00213BA3" w:rsidRPr="00AC04B2" w:rsidRDefault="00213BA3" w:rsidP="00213BA3">
            <w:pPr>
              <w:pStyle w:val="TableBodySmall"/>
              <w:keepNext/>
              <w:keepLines/>
            </w:pPr>
            <w:r>
              <w:rPr>
                <w:lang w:val="en-PH"/>
              </w:rPr>
              <w:t>Provide the Pricing Framework for Australian Support at Home Aged Care Services 2027–28 to the Australian Government Minister for Health and Ageing.</w:t>
            </w:r>
          </w:p>
        </w:tc>
        <w:tc>
          <w:tcPr>
            <w:tcW w:w="1274" w:type="pct"/>
            <w:tcBorders>
              <w:top w:val="single" w:sz="4" w:space="0" w:color="auto"/>
              <w:left w:val="nil"/>
              <w:right w:val="nil"/>
            </w:tcBorders>
          </w:tcPr>
          <w:p w14:paraId="75283D68" w14:textId="4B8CDF83" w:rsidR="00213BA3" w:rsidRDefault="0028791D" w:rsidP="00213BA3">
            <w:pPr>
              <w:pStyle w:val="TableBodySmall"/>
              <w:keepNext/>
              <w:keepLines/>
            </w:pPr>
            <w:r>
              <w:rPr>
                <w:lang w:val="en-PH"/>
              </w:rPr>
              <w:t xml:space="preserve">September </w:t>
            </w:r>
            <w:r w:rsidR="00AE2CA7">
              <w:rPr>
                <w:lang w:val="en-PH"/>
              </w:rPr>
              <w:t>2026</w:t>
            </w:r>
          </w:p>
        </w:tc>
      </w:tr>
      <w:tr w:rsidR="00213BA3" w:rsidRPr="00AC04B2" w14:paraId="6D262E9B" w14:textId="77777777" w:rsidTr="00E9321E">
        <w:trPr>
          <w:trHeight w:val="236"/>
        </w:trPr>
        <w:tc>
          <w:tcPr>
            <w:tcW w:w="3726" w:type="pct"/>
            <w:tcBorders>
              <w:left w:val="nil"/>
              <w:right w:val="nil"/>
            </w:tcBorders>
          </w:tcPr>
          <w:p w14:paraId="681CD23D" w14:textId="37220660" w:rsidR="00213BA3" w:rsidRPr="00AC04B2" w:rsidRDefault="00213BA3" w:rsidP="00213BA3">
            <w:pPr>
              <w:pStyle w:val="TableBodySmall"/>
            </w:pPr>
            <w:r>
              <w:rPr>
                <w:lang w:val="en-PH"/>
              </w:rPr>
              <w:t>Provide the draft Support at Home Pricing Advice 2027–28 to the Australian Government Minister for Health and Ageing.</w:t>
            </w:r>
          </w:p>
        </w:tc>
        <w:tc>
          <w:tcPr>
            <w:tcW w:w="1274" w:type="pct"/>
            <w:tcBorders>
              <w:left w:val="nil"/>
              <w:right w:val="nil"/>
            </w:tcBorders>
          </w:tcPr>
          <w:p w14:paraId="34BA60F4" w14:textId="68FC2AAD" w:rsidR="00213BA3" w:rsidRDefault="00213BA3" w:rsidP="00213BA3">
            <w:pPr>
              <w:pStyle w:val="TableBodySmall"/>
            </w:pPr>
            <w:r>
              <w:rPr>
                <w:lang w:val="en-PH"/>
              </w:rPr>
              <w:t xml:space="preserve">August </w:t>
            </w:r>
            <w:r w:rsidR="00AE2CA7">
              <w:rPr>
                <w:lang w:val="en-PH"/>
              </w:rPr>
              <w:t>2026</w:t>
            </w:r>
          </w:p>
        </w:tc>
      </w:tr>
      <w:tr w:rsidR="00213BA3" w:rsidRPr="00AC04B2" w14:paraId="701619DC" w14:textId="77777777" w:rsidTr="00204BDB">
        <w:trPr>
          <w:trHeight w:val="236"/>
        </w:trPr>
        <w:tc>
          <w:tcPr>
            <w:tcW w:w="3726" w:type="pct"/>
            <w:tcBorders>
              <w:left w:val="nil"/>
              <w:bottom w:val="single" w:sz="4" w:space="0" w:color="auto"/>
              <w:right w:val="nil"/>
            </w:tcBorders>
          </w:tcPr>
          <w:p w14:paraId="105FD931" w14:textId="67F3AADC" w:rsidR="00213BA3" w:rsidRDefault="00213BA3" w:rsidP="00213BA3">
            <w:pPr>
              <w:pStyle w:val="TableBodySmall"/>
            </w:pPr>
            <w:r>
              <w:rPr>
                <w:lang w:val="en-PH"/>
              </w:rPr>
              <w:t>Provide the final Support at Home Pricing Advice 2027–28 to the Australian Government Minister for Health and Ageing to inform decisions on</w:t>
            </w:r>
            <w:r w:rsidR="00552BE5">
              <w:rPr>
                <w:lang w:val="en-PH"/>
              </w:rPr>
              <w:t xml:space="preserve"> in-home aged care funding</w:t>
            </w:r>
            <w:r>
              <w:rPr>
                <w:lang w:val="en-PH"/>
              </w:rPr>
              <w:t>.</w:t>
            </w:r>
          </w:p>
        </w:tc>
        <w:tc>
          <w:tcPr>
            <w:tcW w:w="1274" w:type="pct"/>
            <w:tcBorders>
              <w:left w:val="nil"/>
              <w:bottom w:val="single" w:sz="4" w:space="0" w:color="auto"/>
              <w:right w:val="nil"/>
            </w:tcBorders>
          </w:tcPr>
          <w:p w14:paraId="481BDDBB" w14:textId="64A5F068" w:rsidR="00213BA3" w:rsidRDefault="00AE2CA7" w:rsidP="00213BA3">
            <w:pPr>
              <w:pStyle w:val="TableBodySmall"/>
            </w:pPr>
            <w:r>
              <w:rPr>
                <w:lang w:val="en-PH"/>
              </w:rPr>
              <w:t>December 2026</w:t>
            </w:r>
          </w:p>
        </w:tc>
      </w:tr>
    </w:tbl>
    <w:p w14:paraId="6CD6D276" w14:textId="77777777" w:rsidR="00BD5F19" w:rsidRDefault="00BD5F19" w:rsidP="00BD5F19">
      <w:pPr>
        <w:pStyle w:val="Body"/>
      </w:pPr>
    </w:p>
    <w:p w14:paraId="0854F746" w14:textId="48B7B71D" w:rsidR="00BD5F19" w:rsidRPr="00FF78C7" w:rsidRDefault="00BD5F19" w:rsidP="00BD5F19">
      <w:pPr>
        <w:pStyle w:val="Body"/>
        <w:keepNext/>
        <w:rPr>
          <w:b/>
          <w:bCs/>
        </w:rPr>
      </w:pPr>
      <w:r w:rsidRPr="00FF78C7">
        <w:rPr>
          <w:b/>
          <w:bCs/>
        </w:rPr>
        <w:lastRenderedPageBreak/>
        <w:t xml:space="preserve">Pricing Framework for Australian </w:t>
      </w:r>
      <w:r>
        <w:rPr>
          <w:b/>
          <w:bCs/>
        </w:rPr>
        <w:t>Support at Home</w:t>
      </w:r>
      <w:r w:rsidRPr="00FF78C7">
        <w:rPr>
          <w:b/>
          <w:bCs/>
        </w:rPr>
        <w:t xml:space="preserve"> Aged Care Services</w:t>
      </w:r>
      <w:r>
        <w:rPr>
          <w:b/>
          <w:bCs/>
        </w:rPr>
        <w:t xml:space="preserve"> and</w:t>
      </w:r>
      <w:r w:rsidR="00213BA3">
        <w:rPr>
          <w:b/>
          <w:bCs/>
        </w:rPr>
        <w:t xml:space="preserve"> the</w:t>
      </w:r>
      <w:r>
        <w:rPr>
          <w:b/>
          <w:bCs/>
        </w:rPr>
        <w:t xml:space="preserve"> Support at Home Pricing Advice</w:t>
      </w:r>
    </w:p>
    <w:p w14:paraId="4FE1884A" w14:textId="77777777" w:rsidR="00944806" w:rsidRDefault="0090756F" w:rsidP="00213BA3">
      <w:pPr>
        <w:pStyle w:val="Body"/>
      </w:pPr>
      <w:r w:rsidRPr="0090756F">
        <w:t>The Support at Home program consolidate</w:t>
      </w:r>
      <w:r>
        <w:t>s</w:t>
      </w:r>
      <w:r w:rsidRPr="0090756F">
        <w:t xml:space="preserve"> the existing in-home aged care programs, including the Home Care Packages (HCP) Program, the Short-Term Restorative Care (STRC) Programme and the Commonwealth Home Support Programme (CHSP). IHACPA will provide pricing advice to inform Australian Government policy and funding decisions on the Support at Home program. The Support at Home program was implemented on 1</w:t>
      </w:r>
      <w:r>
        <w:t> </w:t>
      </w:r>
      <w:r w:rsidRPr="0090756F">
        <w:t>November</w:t>
      </w:r>
      <w:r>
        <w:t> </w:t>
      </w:r>
      <w:r w:rsidRPr="0090756F">
        <w:t>2025 with the transition of the HCP and STRC programs to Support at Home. The CHSP will transition to the Support at Home program no earlier than 1 July 2027.</w:t>
      </w:r>
    </w:p>
    <w:p w14:paraId="28C93EDF" w14:textId="1D5B792F" w:rsidR="00213BA3" w:rsidRPr="00213BA3" w:rsidRDefault="00213BA3" w:rsidP="00213BA3">
      <w:pPr>
        <w:pStyle w:val="Body"/>
      </w:pPr>
      <w:r w:rsidRPr="00213BA3">
        <w:t xml:space="preserve">The Pricing Framework for Australian Support at Home Aged Care Services is the key policy document for IHACPA relating to the development of pricing advice for the </w:t>
      </w:r>
      <w:hyperlink r:id="rId27" w:history="1">
        <w:r w:rsidRPr="00F35FEC">
          <w:rPr>
            <w:rStyle w:val="Hyperlink"/>
            <w:color w:val="008F55" w:themeColor="accent4"/>
          </w:rPr>
          <w:t>Support at Home service list</w:t>
        </w:r>
      </w:hyperlink>
      <w:r w:rsidRPr="00F35FEC">
        <w:rPr>
          <w:color w:val="008F55" w:themeColor="accent4"/>
        </w:rPr>
        <w:t xml:space="preserve"> </w:t>
      </w:r>
      <w:r w:rsidRPr="00213BA3">
        <w:t>and outlines key considerations and methods use</w:t>
      </w:r>
      <w:r w:rsidR="00894880">
        <w:t>d</w:t>
      </w:r>
      <w:r w:rsidRPr="00213BA3">
        <w:t xml:space="preserve"> by IHACPA to develop pricing and costing advice to government. The service list outlines the services that participants can access under the Support at Home program to remain independent at home for longer. </w:t>
      </w:r>
    </w:p>
    <w:p w14:paraId="4B7DCA07" w14:textId="20316409" w:rsidR="00213BA3" w:rsidRPr="00213BA3" w:rsidRDefault="00213BA3" w:rsidP="00213BA3">
      <w:pPr>
        <w:pStyle w:val="Body"/>
      </w:pPr>
      <w:r w:rsidRPr="00213BA3">
        <w:t xml:space="preserve">Development of the Pricing Framework for Australian Support at Home Aged Care Services includes 3 major phases: a public consultation period, provision of the Pricing Framework for Australian Support at Home Aged Care Services </w:t>
      </w:r>
      <w:r w:rsidR="00E9321E">
        <w:t>to</w:t>
      </w:r>
      <w:r w:rsidRPr="00213BA3">
        <w:t xml:space="preserve"> the Australian Government Minister for Health and Ageing, and publication of the Pricing Framework for Australian Support at Home Aged Care Services, following agreement from the Minister. </w:t>
      </w:r>
    </w:p>
    <w:p w14:paraId="33BC404A" w14:textId="7F06FB93" w:rsidR="00213BA3" w:rsidRPr="00213BA3" w:rsidRDefault="00213BA3" w:rsidP="00213BA3">
      <w:pPr>
        <w:pStyle w:val="Body"/>
      </w:pPr>
      <w:r w:rsidRPr="00213BA3">
        <w:t xml:space="preserve">IHACPA will provide the draft pricing advice to the Australian Government Minister for Health and Ageing </w:t>
      </w:r>
      <w:r w:rsidR="00894880">
        <w:t>in</w:t>
      </w:r>
      <w:r w:rsidR="00894880" w:rsidRPr="00213BA3">
        <w:t xml:space="preserve"> </w:t>
      </w:r>
      <w:r w:rsidRPr="00213BA3">
        <w:t xml:space="preserve">August </w:t>
      </w:r>
      <w:r w:rsidR="00BC398B">
        <w:t>2026</w:t>
      </w:r>
      <w:r w:rsidR="00BC398B" w:rsidRPr="00213BA3">
        <w:t xml:space="preserve"> </w:t>
      </w:r>
      <w:r w:rsidRPr="00213BA3">
        <w:t xml:space="preserve">to inform decisions on the unit-based services on the </w:t>
      </w:r>
      <w:r w:rsidR="00894880" w:rsidRPr="0084434E">
        <w:t>Support at Home service list</w:t>
      </w:r>
      <w:r w:rsidRPr="00213BA3">
        <w:t xml:space="preserve">. The final pricing advice will be provided </w:t>
      </w:r>
      <w:r w:rsidR="00894880">
        <w:t>in</w:t>
      </w:r>
      <w:r w:rsidR="00894880" w:rsidRPr="00213BA3">
        <w:t xml:space="preserve"> </w:t>
      </w:r>
      <w:r w:rsidR="00BC398B">
        <w:t>December 2026</w:t>
      </w:r>
      <w:r w:rsidRPr="00213BA3">
        <w:t>. IHACPA’s pricing advice considers a variety of data sources to provide a better understanding of the costs associated with providing aged care services. This advice also considers feedback from aged care stakeholders as part of the public consultation process. </w:t>
      </w:r>
    </w:p>
    <w:p w14:paraId="3C727794" w14:textId="51EC5892" w:rsidR="006A6787" w:rsidRPr="005359FD" w:rsidRDefault="00D850D7" w:rsidP="006A6787">
      <w:pPr>
        <w:pStyle w:val="H4"/>
        <w:keepNext/>
      </w:pPr>
      <w:r>
        <w:t xml:space="preserve"> </w:t>
      </w:r>
      <w:r w:rsidR="006A6787" w:rsidRPr="007D0351">
        <w:t xml:space="preserve">Aged care functions under the </w:t>
      </w:r>
      <w:r w:rsidR="006A6787" w:rsidRPr="00931A29">
        <w:rPr>
          <w:i/>
          <w:iCs/>
        </w:rPr>
        <w:t xml:space="preserve">Aged Care Act </w:t>
      </w:r>
      <w:r w:rsidR="00507BBC">
        <w:rPr>
          <w:i/>
          <w:iCs/>
        </w:rPr>
        <w:t>2024</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6A6787" w:rsidRPr="00AC04B2" w14:paraId="611D9C8D" w14:textId="77777777" w:rsidTr="00C048CB">
        <w:tc>
          <w:tcPr>
            <w:tcW w:w="3726" w:type="pct"/>
            <w:tcBorders>
              <w:top w:val="nil"/>
              <w:bottom w:val="nil"/>
            </w:tcBorders>
            <w:shd w:val="clear" w:color="auto" w:fill="104F99" w:themeFill="accent2"/>
            <w:vAlign w:val="center"/>
          </w:tcPr>
          <w:p w14:paraId="0E623858" w14:textId="77777777" w:rsidR="006A6787" w:rsidRPr="00AC04B2" w:rsidRDefault="006A6787" w:rsidP="00204BDB">
            <w:pPr>
              <w:pStyle w:val="TableHeading"/>
            </w:pPr>
            <w:r w:rsidRPr="00AC04B2">
              <w:t>Deliverable</w:t>
            </w:r>
          </w:p>
        </w:tc>
        <w:tc>
          <w:tcPr>
            <w:tcW w:w="1274" w:type="pct"/>
            <w:tcBorders>
              <w:top w:val="nil"/>
              <w:bottom w:val="nil"/>
            </w:tcBorders>
            <w:shd w:val="clear" w:color="auto" w:fill="104F99" w:themeFill="accent2"/>
            <w:vAlign w:val="center"/>
          </w:tcPr>
          <w:p w14:paraId="691837B2" w14:textId="77777777" w:rsidR="006A6787" w:rsidRPr="00AC04B2" w:rsidRDefault="006A6787" w:rsidP="00204BDB">
            <w:pPr>
              <w:pStyle w:val="TableHeading"/>
            </w:pPr>
            <w:r w:rsidRPr="00AC04B2">
              <w:t>Timeframe</w:t>
            </w:r>
          </w:p>
        </w:tc>
      </w:tr>
      <w:tr w:rsidR="006A6787" w:rsidRPr="00AC04B2" w14:paraId="38DDA452" w14:textId="77777777" w:rsidTr="00C048CB">
        <w:trPr>
          <w:trHeight w:val="256"/>
        </w:trPr>
        <w:tc>
          <w:tcPr>
            <w:tcW w:w="3726" w:type="pct"/>
            <w:tcBorders>
              <w:top w:val="nil"/>
              <w:bottom w:val="single" w:sz="4" w:space="0" w:color="auto"/>
            </w:tcBorders>
          </w:tcPr>
          <w:p w14:paraId="480BB4D9" w14:textId="086C484D" w:rsidR="006A6787" w:rsidRPr="008A7B29" w:rsidRDefault="006A6787" w:rsidP="0084434E">
            <w:pPr>
              <w:spacing w:before="40" w:after="40"/>
            </w:pPr>
            <w:r w:rsidRPr="008A7B29">
              <w:rPr>
                <w:rFonts w:ascii="Arial" w:hAnsi="Arial" w:cs="Arial"/>
                <w:sz w:val="20"/>
                <w:szCs w:val="20"/>
              </w:rPr>
              <w:t>Assess applications for accommodation payment amounts</w:t>
            </w:r>
            <w:r w:rsidR="009464C9">
              <w:rPr>
                <w:rFonts w:ascii="Arial" w:hAnsi="Arial" w:cs="Arial"/>
                <w:sz w:val="20"/>
                <w:szCs w:val="20"/>
              </w:rPr>
              <w:t xml:space="preserve"> above the maximum,</w:t>
            </w:r>
            <w:r w:rsidR="009464C9" w:rsidRPr="00DC7A38">
              <w:rPr>
                <w:rFonts w:ascii="Arial" w:hAnsi="Arial" w:cs="Arial"/>
                <w:sz w:val="20"/>
                <w:szCs w:val="20"/>
              </w:rPr>
              <w:t xml:space="preserve"> as prescribed by the Aged Care Rules 2025</w:t>
            </w:r>
            <w:r w:rsidRPr="008A7B29">
              <w:rPr>
                <w:rFonts w:ascii="Arial" w:hAnsi="Arial" w:cs="Arial"/>
                <w:sz w:val="20"/>
                <w:szCs w:val="20"/>
              </w:rPr>
              <w:t>.</w:t>
            </w:r>
          </w:p>
        </w:tc>
        <w:tc>
          <w:tcPr>
            <w:tcW w:w="1274" w:type="pct"/>
            <w:tcBorders>
              <w:top w:val="nil"/>
              <w:bottom w:val="single" w:sz="4" w:space="0" w:color="auto"/>
            </w:tcBorders>
          </w:tcPr>
          <w:p w14:paraId="0425CAB1" w14:textId="77777777" w:rsidR="006A6787" w:rsidRPr="00AC04B2" w:rsidRDefault="006A6787" w:rsidP="00C83FB6">
            <w:pPr>
              <w:pStyle w:val="TableBodySmall"/>
            </w:pPr>
            <w:r>
              <w:t>Ongoing</w:t>
            </w:r>
          </w:p>
        </w:tc>
      </w:tr>
    </w:tbl>
    <w:p w14:paraId="29F5A439" w14:textId="77777777" w:rsidR="006A6787" w:rsidRDefault="006A6787" w:rsidP="006A6787">
      <w:pPr>
        <w:pStyle w:val="Body"/>
      </w:pPr>
    </w:p>
    <w:p w14:paraId="4FA9EEA8" w14:textId="77777777" w:rsidR="006A6787" w:rsidRPr="000362C5" w:rsidRDefault="006A6787" w:rsidP="006A6787">
      <w:pPr>
        <w:pStyle w:val="Body"/>
        <w:rPr>
          <w:b/>
          <w:bCs/>
        </w:rPr>
      </w:pPr>
      <w:r>
        <w:rPr>
          <w:b/>
          <w:bCs/>
        </w:rPr>
        <w:t>Aged care accommodation</w:t>
      </w:r>
    </w:p>
    <w:p w14:paraId="4535759A" w14:textId="3B06FC5D" w:rsidR="006A6787" w:rsidRDefault="006A6787" w:rsidP="006A6787">
      <w:pPr>
        <w:pStyle w:val="Body"/>
      </w:pPr>
      <w:r w:rsidRPr="003C70E0">
        <w:t xml:space="preserve">IHACPA has </w:t>
      </w:r>
      <w:r w:rsidR="00894880">
        <w:t xml:space="preserve">the </w:t>
      </w:r>
      <w:r w:rsidRPr="003C70E0">
        <w:t xml:space="preserve">responsibility </w:t>
      </w:r>
      <w:r w:rsidR="00894880">
        <w:t xml:space="preserve">to consider applications and </w:t>
      </w:r>
      <w:proofErr w:type="gramStart"/>
      <w:r w:rsidR="00894880">
        <w:t>make a decision</w:t>
      </w:r>
      <w:proofErr w:type="gramEnd"/>
      <w:r w:rsidR="00894880">
        <w:t xml:space="preserve"> to approve or not approve </w:t>
      </w:r>
      <w:r w:rsidRPr="00713673">
        <w:t xml:space="preserve">accommodation payment </w:t>
      </w:r>
      <w:r w:rsidRPr="003C70E0">
        <w:t>amounts</w:t>
      </w:r>
      <w:r w:rsidRPr="003C70E0" w:rsidDel="00481D9E">
        <w:t xml:space="preserve"> </w:t>
      </w:r>
      <w:r w:rsidRPr="003C70E0">
        <w:t xml:space="preserve">that are higher than the maximum </w:t>
      </w:r>
      <w:r>
        <w:t xml:space="preserve">accommodation payment </w:t>
      </w:r>
      <w:r w:rsidR="009464C9" w:rsidRPr="003E5936">
        <w:rPr>
          <w:color w:val="14272E"/>
        </w:rPr>
        <w:t>amount</w:t>
      </w:r>
      <w:r w:rsidR="009464C9">
        <w:rPr>
          <w:color w:val="14272E"/>
        </w:rPr>
        <w:t>, as prescribed by the Aged Care Rules</w:t>
      </w:r>
      <w:r w:rsidR="00894880">
        <w:rPr>
          <w:color w:val="14272E"/>
        </w:rPr>
        <w:t xml:space="preserve"> 2025</w:t>
      </w:r>
      <w:r>
        <w:t>.</w:t>
      </w:r>
    </w:p>
    <w:p w14:paraId="01D8CE21" w14:textId="77777777" w:rsidR="00BB5DC5" w:rsidRDefault="00BB5DC5">
      <w:pPr>
        <w:rPr>
          <w:rFonts w:asciiTheme="majorHAnsi" w:hAnsiTheme="majorHAnsi" w:cs="Arial"/>
          <w:color w:val="104F99" w:themeColor="accent2"/>
          <w:sz w:val="36"/>
          <w:szCs w:val="36"/>
        </w:rPr>
      </w:pPr>
      <w:bookmarkStart w:id="133" w:name="_Toc55054030"/>
      <w:r>
        <w:br w:type="page"/>
      </w:r>
    </w:p>
    <w:p w14:paraId="0D3E2C7E" w14:textId="1A030B64" w:rsidR="001F3404" w:rsidRPr="00AC04B2" w:rsidRDefault="001A060A" w:rsidP="00D05BDE">
      <w:pPr>
        <w:pStyle w:val="H2"/>
      </w:pPr>
      <w:bookmarkStart w:id="134" w:name="_Toc223594824"/>
      <w:r w:rsidRPr="00AC04B2">
        <w:lastRenderedPageBreak/>
        <w:t>3</w:t>
      </w:r>
      <w:r w:rsidR="007F392E" w:rsidRPr="00AC04B2">
        <w:t>.</w:t>
      </w:r>
      <w:r w:rsidR="008550D6" w:rsidRPr="00AC04B2">
        <w:t>2</w:t>
      </w:r>
      <w:r w:rsidR="007F392E" w:rsidRPr="00AC04B2">
        <w:tab/>
      </w:r>
      <w:bookmarkEnd w:id="133"/>
      <w:r w:rsidR="006A6787">
        <w:t>Data and information</w:t>
      </w:r>
      <w:r w:rsidR="008378D2">
        <w:t xml:space="preserve"> requirements</w:t>
      </w:r>
      <w:bookmarkEnd w:id="134"/>
    </w:p>
    <w:p w14:paraId="06659272" w14:textId="371DE3D0" w:rsidR="00B9470E" w:rsidRPr="000000C3" w:rsidRDefault="00B9470E" w:rsidP="00803D65">
      <w:pPr>
        <w:pStyle w:val="H4-List"/>
        <w:numPr>
          <w:ilvl w:val="0"/>
          <w:numId w:val="34"/>
        </w:numPr>
        <w:rPr>
          <w:rFonts w:ascii="Arial" w:hAnsi="Arial"/>
          <w:szCs w:val="22"/>
        </w:rPr>
      </w:pPr>
      <w:bookmarkStart w:id="135" w:name="_Toc55054031"/>
      <w:r w:rsidRPr="000000C3">
        <w:rPr>
          <w:rFonts w:ascii="Arial" w:hAnsi="Arial"/>
          <w:szCs w:val="22"/>
        </w:rPr>
        <w:t xml:space="preserve">Australian </w:t>
      </w:r>
      <w:r w:rsidR="00803D65" w:rsidRPr="000000C3">
        <w:rPr>
          <w:rFonts w:ascii="Arial" w:hAnsi="Arial"/>
          <w:szCs w:val="22"/>
        </w:rPr>
        <w:t xml:space="preserve">Residential </w:t>
      </w:r>
      <w:r w:rsidRPr="000000C3">
        <w:rPr>
          <w:rFonts w:ascii="Arial" w:hAnsi="Arial"/>
          <w:szCs w:val="22"/>
        </w:rPr>
        <w:t>Aged Care Cost Data Collection</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B9470E" w:rsidRPr="00AC04B2" w14:paraId="266D6A4B" w14:textId="77777777" w:rsidTr="00C048CB">
        <w:tc>
          <w:tcPr>
            <w:tcW w:w="3726" w:type="pct"/>
            <w:tcBorders>
              <w:top w:val="nil"/>
              <w:bottom w:val="nil"/>
            </w:tcBorders>
            <w:shd w:val="clear" w:color="auto" w:fill="104F99" w:themeFill="accent2"/>
            <w:vAlign w:val="center"/>
          </w:tcPr>
          <w:p w14:paraId="01AFC7A8" w14:textId="77777777" w:rsidR="00B9470E" w:rsidRPr="00AC04B2" w:rsidRDefault="00B9470E" w:rsidP="00204BDB">
            <w:pPr>
              <w:pStyle w:val="TableHeading"/>
            </w:pPr>
            <w:r w:rsidRPr="00AC04B2">
              <w:t>Deliverable</w:t>
            </w:r>
          </w:p>
        </w:tc>
        <w:tc>
          <w:tcPr>
            <w:tcW w:w="1274" w:type="pct"/>
            <w:tcBorders>
              <w:top w:val="nil"/>
              <w:bottom w:val="nil"/>
            </w:tcBorders>
            <w:shd w:val="clear" w:color="auto" w:fill="104F99" w:themeFill="accent2"/>
            <w:vAlign w:val="center"/>
          </w:tcPr>
          <w:p w14:paraId="4F8B19E6" w14:textId="77777777" w:rsidR="00B9470E" w:rsidRPr="00AC04B2" w:rsidRDefault="00B9470E" w:rsidP="00204BDB">
            <w:pPr>
              <w:pStyle w:val="TableHeading"/>
            </w:pPr>
            <w:r w:rsidRPr="00AC04B2">
              <w:t>Timeframe</w:t>
            </w:r>
          </w:p>
        </w:tc>
      </w:tr>
      <w:tr w:rsidR="00B9470E" w:rsidRPr="00AC04B2" w:rsidDel="0001490F" w14:paraId="197F6A8E" w14:textId="77777777" w:rsidTr="00C048CB">
        <w:tblPrEx>
          <w:tblBorders>
            <w:top w:val="single" w:sz="4" w:space="0" w:color="auto"/>
            <w:left w:val="single" w:sz="4" w:space="0" w:color="auto"/>
            <w:bottom w:val="single" w:sz="4" w:space="0" w:color="auto"/>
            <w:right w:val="single" w:sz="4" w:space="0" w:color="auto"/>
            <w:insideV w:val="single" w:sz="4" w:space="0" w:color="auto"/>
          </w:tblBorders>
          <w:tblCellMar>
            <w:right w:w="108" w:type="dxa"/>
          </w:tblCellMar>
        </w:tblPrEx>
        <w:trPr>
          <w:trHeight w:val="236"/>
        </w:trPr>
        <w:tc>
          <w:tcPr>
            <w:tcW w:w="3726" w:type="pct"/>
            <w:tcBorders>
              <w:top w:val="nil"/>
              <w:left w:val="nil"/>
              <w:right w:val="nil"/>
            </w:tcBorders>
          </w:tcPr>
          <w:p w14:paraId="4E9392A4" w14:textId="67564329" w:rsidR="00B9470E" w:rsidRPr="00AC04B2" w:rsidDel="0001490F" w:rsidRDefault="00B9470E" w:rsidP="00204BDB">
            <w:pPr>
              <w:pStyle w:val="TableBodySmall"/>
            </w:pPr>
            <w:r>
              <w:t>Collect Residential Aged Care Cost Collection 202</w:t>
            </w:r>
            <w:r w:rsidR="00706AF4">
              <w:t>6</w:t>
            </w:r>
            <w:r>
              <w:t xml:space="preserve"> data.</w:t>
            </w:r>
          </w:p>
        </w:tc>
        <w:tc>
          <w:tcPr>
            <w:tcW w:w="1274" w:type="pct"/>
            <w:tcBorders>
              <w:top w:val="nil"/>
              <w:left w:val="nil"/>
              <w:right w:val="nil"/>
            </w:tcBorders>
          </w:tcPr>
          <w:p w14:paraId="0E6D7DCA" w14:textId="2B127F0E" w:rsidR="00B9470E" w:rsidRPr="00AC04B2" w:rsidDel="0001490F" w:rsidRDefault="00B9470E" w:rsidP="00204BDB">
            <w:pPr>
              <w:pStyle w:val="TableBodySmall"/>
            </w:pPr>
            <w:r>
              <w:t>December 202</w:t>
            </w:r>
            <w:r w:rsidR="00706AF4">
              <w:t>6</w:t>
            </w:r>
          </w:p>
        </w:tc>
      </w:tr>
      <w:tr w:rsidR="00B9470E" w:rsidRPr="00AC04B2" w:rsidDel="0001490F" w14:paraId="157968CD" w14:textId="77777777" w:rsidTr="00204BDB">
        <w:tblPrEx>
          <w:tblBorders>
            <w:top w:val="single" w:sz="4" w:space="0" w:color="auto"/>
            <w:left w:val="single" w:sz="4" w:space="0" w:color="auto"/>
            <w:bottom w:val="single" w:sz="4" w:space="0" w:color="auto"/>
            <w:right w:val="single" w:sz="4" w:space="0" w:color="auto"/>
            <w:insideV w:val="single" w:sz="4" w:space="0" w:color="auto"/>
          </w:tblBorders>
          <w:tblCellMar>
            <w:right w:w="108" w:type="dxa"/>
          </w:tblCellMar>
        </w:tblPrEx>
        <w:trPr>
          <w:trHeight w:val="236"/>
        </w:trPr>
        <w:tc>
          <w:tcPr>
            <w:tcW w:w="3726" w:type="pct"/>
            <w:tcBorders>
              <w:left w:val="nil"/>
              <w:right w:val="nil"/>
            </w:tcBorders>
          </w:tcPr>
          <w:p w14:paraId="7C144E1B" w14:textId="53DF5982" w:rsidR="00B9470E" w:rsidRDefault="00C562A3" w:rsidP="00204BDB">
            <w:pPr>
              <w:pStyle w:val="TableBodySmall"/>
            </w:pPr>
            <w:r w:rsidRPr="00E0109F">
              <w:t xml:space="preserve">Provide </w:t>
            </w:r>
            <w:r w:rsidR="00B9470E" w:rsidRPr="00E0109F">
              <w:t>the Residential Aged Care Cost Collection 202</w:t>
            </w:r>
            <w:r w:rsidR="00706AF4" w:rsidRPr="00E0109F">
              <w:t>6</w:t>
            </w:r>
            <w:r w:rsidR="00B9470E" w:rsidRPr="00E0109F">
              <w:t xml:space="preserve"> Report</w:t>
            </w:r>
            <w:r w:rsidRPr="00E0109F">
              <w:t xml:space="preserve"> to the Australian Government Minister for Health and Ageing</w:t>
            </w:r>
            <w:r w:rsidR="00B9470E" w:rsidRPr="00E0109F">
              <w:t>.</w:t>
            </w:r>
          </w:p>
        </w:tc>
        <w:tc>
          <w:tcPr>
            <w:tcW w:w="1274" w:type="pct"/>
            <w:tcBorders>
              <w:left w:val="nil"/>
              <w:right w:val="nil"/>
            </w:tcBorders>
          </w:tcPr>
          <w:p w14:paraId="32056ED3" w14:textId="607EAADC" w:rsidR="00B9470E" w:rsidRDefault="00B9470E" w:rsidP="00204BDB">
            <w:pPr>
              <w:pStyle w:val="TableBodySmall"/>
            </w:pPr>
            <w:r>
              <w:t>April 202</w:t>
            </w:r>
            <w:r w:rsidR="00706AF4">
              <w:t>7</w:t>
            </w:r>
          </w:p>
        </w:tc>
      </w:tr>
    </w:tbl>
    <w:p w14:paraId="272A7202" w14:textId="77777777" w:rsidR="00B9470E" w:rsidRDefault="00B9470E" w:rsidP="00B9470E">
      <w:pPr>
        <w:pStyle w:val="Body"/>
      </w:pPr>
    </w:p>
    <w:p w14:paraId="22648780" w14:textId="77777777" w:rsidR="00B9470E" w:rsidRPr="00BD0ECF" w:rsidRDefault="00B9470E" w:rsidP="00B9470E">
      <w:pPr>
        <w:pStyle w:val="Body"/>
        <w:rPr>
          <w:b/>
          <w:bCs/>
        </w:rPr>
      </w:pPr>
      <w:r w:rsidRPr="00BD0ECF">
        <w:rPr>
          <w:b/>
          <w:bCs/>
        </w:rPr>
        <w:t>Residential Aged Care Cost</w:t>
      </w:r>
      <w:r>
        <w:rPr>
          <w:b/>
          <w:bCs/>
        </w:rPr>
        <w:t xml:space="preserve"> Collection</w:t>
      </w:r>
    </w:p>
    <w:p w14:paraId="05AF0C00" w14:textId="52105489" w:rsidR="00B9470E" w:rsidRDefault="00B9470E" w:rsidP="00B9470E">
      <w:pPr>
        <w:pStyle w:val="Body"/>
      </w:pPr>
      <w:r w:rsidRPr="00AC04B2">
        <w:t>To inform the development and refinement of the AN-ACC funding model, IHACPA</w:t>
      </w:r>
      <w:r>
        <w:t xml:space="preserve"> will conduct annual cost collection</w:t>
      </w:r>
      <w:r w:rsidRPr="00AC04B2">
        <w:t xml:space="preserve"> in the residential aged care setting. The purpose of the </w:t>
      </w:r>
      <w:r>
        <w:t>collection is</w:t>
      </w:r>
      <w:r w:rsidRPr="00AC04B2">
        <w:t xml:space="preserve"> to collect a representative sample of cost data reflecting the care activities that residents of aged care facilities receive, across a variety of residential aged care facilities. The results and findings from the cost</w:t>
      </w:r>
      <w:r>
        <w:t xml:space="preserve"> collection</w:t>
      </w:r>
      <w:r w:rsidRPr="00AC04B2">
        <w:t xml:space="preserve"> will inform the development of a costing framework</w:t>
      </w:r>
      <w:r>
        <w:t>,</w:t>
      </w:r>
      <w:r w:rsidRPr="00AC04B2">
        <w:t xml:space="preserve"> costing methodology, data sets and related materials and processes, which will support IHACPA’s pricing advice on residential aged care.</w:t>
      </w:r>
      <w:r w:rsidRPr="000F798D">
        <w:t xml:space="preserve"> </w:t>
      </w:r>
    </w:p>
    <w:p w14:paraId="276C0EF4" w14:textId="77777777" w:rsidR="00B9470E" w:rsidRDefault="00B9470E" w:rsidP="00B9470E">
      <w:pPr>
        <w:pStyle w:val="Body"/>
      </w:pPr>
      <w:r>
        <w:t>IHACPA will engage with relevant stakeholders to determine priorities for consideration, such as residential respite, in future costing studies to inform the refinement of the AN-ACC funding model.</w:t>
      </w:r>
    </w:p>
    <w:p w14:paraId="019F5515" w14:textId="17457C60" w:rsidR="0067638C" w:rsidRPr="0084434E" w:rsidRDefault="00803D65" w:rsidP="0067638C">
      <w:pPr>
        <w:pStyle w:val="H4-List"/>
        <w:rPr>
          <w:rFonts w:ascii="Arial" w:hAnsi="Arial"/>
        </w:rPr>
      </w:pPr>
      <w:r w:rsidRPr="0084434E">
        <w:rPr>
          <w:rFonts w:ascii="Arial" w:hAnsi="Arial"/>
        </w:rPr>
        <w:t xml:space="preserve">Support at Home </w:t>
      </w:r>
      <w:r w:rsidR="0067638C" w:rsidRPr="0084434E">
        <w:rPr>
          <w:rFonts w:ascii="Arial" w:hAnsi="Arial"/>
        </w:rPr>
        <w:t>Cost Collection</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67638C" w:rsidRPr="00AC04B2" w14:paraId="0BEEF6E4" w14:textId="77777777" w:rsidTr="00C048CB">
        <w:tc>
          <w:tcPr>
            <w:tcW w:w="3726" w:type="pct"/>
            <w:tcBorders>
              <w:top w:val="nil"/>
              <w:bottom w:val="nil"/>
            </w:tcBorders>
            <w:shd w:val="clear" w:color="auto" w:fill="104F99" w:themeFill="accent2"/>
            <w:vAlign w:val="center"/>
          </w:tcPr>
          <w:p w14:paraId="588FA80C" w14:textId="77777777" w:rsidR="0067638C" w:rsidRPr="00AC04B2" w:rsidRDefault="0067638C" w:rsidP="00204BDB">
            <w:pPr>
              <w:pStyle w:val="TableHeading"/>
            </w:pPr>
            <w:r w:rsidRPr="00AC04B2">
              <w:t>Deliverable</w:t>
            </w:r>
          </w:p>
        </w:tc>
        <w:tc>
          <w:tcPr>
            <w:tcW w:w="1274" w:type="pct"/>
            <w:tcBorders>
              <w:top w:val="nil"/>
              <w:bottom w:val="nil"/>
            </w:tcBorders>
            <w:shd w:val="clear" w:color="auto" w:fill="104F99" w:themeFill="accent2"/>
            <w:vAlign w:val="center"/>
          </w:tcPr>
          <w:p w14:paraId="1A2EAEA7" w14:textId="77777777" w:rsidR="0067638C" w:rsidRPr="00AC04B2" w:rsidRDefault="0067638C" w:rsidP="00204BDB">
            <w:pPr>
              <w:pStyle w:val="TableHeading"/>
            </w:pPr>
            <w:r w:rsidRPr="00AC04B2">
              <w:t>Timeframe</w:t>
            </w:r>
          </w:p>
        </w:tc>
      </w:tr>
      <w:tr w:rsidR="0067638C" w:rsidRPr="00AC04B2" w14:paraId="7DCB19C2" w14:textId="77777777" w:rsidTr="00C048CB">
        <w:tblPrEx>
          <w:tblBorders>
            <w:top w:val="single" w:sz="4" w:space="0" w:color="auto"/>
            <w:left w:val="single" w:sz="4" w:space="0" w:color="auto"/>
            <w:bottom w:val="single" w:sz="4" w:space="0" w:color="auto"/>
            <w:right w:val="single" w:sz="4" w:space="0" w:color="auto"/>
            <w:insideV w:val="single" w:sz="4" w:space="0" w:color="auto"/>
          </w:tblBorders>
          <w:tblCellMar>
            <w:right w:w="108" w:type="dxa"/>
          </w:tblCellMar>
        </w:tblPrEx>
        <w:trPr>
          <w:trHeight w:val="236"/>
        </w:trPr>
        <w:tc>
          <w:tcPr>
            <w:tcW w:w="3726" w:type="pct"/>
            <w:tcBorders>
              <w:top w:val="nil"/>
              <w:left w:val="nil"/>
              <w:right w:val="nil"/>
            </w:tcBorders>
          </w:tcPr>
          <w:p w14:paraId="64B0F71D" w14:textId="385F0325" w:rsidR="0067638C" w:rsidRDefault="0067638C" w:rsidP="00204BDB">
            <w:pPr>
              <w:pStyle w:val="TableBodySmall"/>
            </w:pPr>
            <w:r>
              <w:t>Collect Support at Home Cost Collection 202</w:t>
            </w:r>
            <w:r w:rsidR="00E102DE">
              <w:t>6</w:t>
            </w:r>
            <w:r>
              <w:t xml:space="preserve"> data.</w:t>
            </w:r>
          </w:p>
        </w:tc>
        <w:tc>
          <w:tcPr>
            <w:tcW w:w="1274" w:type="pct"/>
            <w:tcBorders>
              <w:top w:val="nil"/>
              <w:left w:val="nil"/>
              <w:right w:val="nil"/>
            </w:tcBorders>
          </w:tcPr>
          <w:p w14:paraId="7404F8D6" w14:textId="677C7A02" w:rsidR="0067638C" w:rsidRDefault="0067638C" w:rsidP="00204BDB">
            <w:pPr>
              <w:pStyle w:val="TableBodySmall"/>
            </w:pPr>
            <w:r>
              <w:t>December 202</w:t>
            </w:r>
            <w:r w:rsidR="00E102DE">
              <w:t>6</w:t>
            </w:r>
          </w:p>
        </w:tc>
      </w:tr>
      <w:tr w:rsidR="0067638C" w:rsidRPr="00AC04B2" w14:paraId="224A09FF" w14:textId="77777777" w:rsidTr="00204BDB">
        <w:tblPrEx>
          <w:tblBorders>
            <w:top w:val="single" w:sz="4" w:space="0" w:color="auto"/>
            <w:left w:val="single" w:sz="4" w:space="0" w:color="auto"/>
            <w:bottom w:val="single" w:sz="4" w:space="0" w:color="auto"/>
            <w:right w:val="single" w:sz="4" w:space="0" w:color="auto"/>
            <w:insideV w:val="single" w:sz="4" w:space="0" w:color="auto"/>
          </w:tblBorders>
          <w:tblCellMar>
            <w:right w:w="108" w:type="dxa"/>
          </w:tblCellMar>
        </w:tblPrEx>
        <w:trPr>
          <w:trHeight w:val="236"/>
        </w:trPr>
        <w:tc>
          <w:tcPr>
            <w:tcW w:w="3726" w:type="pct"/>
            <w:tcBorders>
              <w:left w:val="nil"/>
              <w:right w:val="nil"/>
            </w:tcBorders>
          </w:tcPr>
          <w:p w14:paraId="5231CD87" w14:textId="3A79B6E1" w:rsidR="0067638C" w:rsidRDefault="00C562A3" w:rsidP="00204BDB">
            <w:pPr>
              <w:pStyle w:val="TableBodySmall"/>
            </w:pPr>
            <w:r w:rsidRPr="00E0109F">
              <w:t xml:space="preserve">Provide </w:t>
            </w:r>
            <w:r w:rsidR="0067638C" w:rsidRPr="00E0109F">
              <w:t>the Support at Home Cost Collection 202</w:t>
            </w:r>
            <w:r w:rsidR="00E102DE" w:rsidRPr="00E0109F">
              <w:t>6</w:t>
            </w:r>
            <w:r w:rsidR="0067638C" w:rsidRPr="00E0109F">
              <w:t xml:space="preserve"> Report</w:t>
            </w:r>
            <w:r w:rsidRPr="00E0109F">
              <w:t xml:space="preserve"> to the Australian Government Minister for Health and Ageing</w:t>
            </w:r>
            <w:r w:rsidR="0067638C" w:rsidRPr="00E0109F">
              <w:t>.</w:t>
            </w:r>
          </w:p>
        </w:tc>
        <w:tc>
          <w:tcPr>
            <w:tcW w:w="1274" w:type="pct"/>
            <w:tcBorders>
              <w:left w:val="nil"/>
              <w:right w:val="nil"/>
            </w:tcBorders>
          </w:tcPr>
          <w:p w14:paraId="5BA69FB7" w14:textId="47828793" w:rsidR="0067638C" w:rsidRDefault="0067638C" w:rsidP="00204BDB">
            <w:pPr>
              <w:pStyle w:val="TableBodySmall"/>
            </w:pPr>
            <w:r>
              <w:t>April 202</w:t>
            </w:r>
            <w:r w:rsidR="00E102DE">
              <w:t>7</w:t>
            </w:r>
          </w:p>
        </w:tc>
      </w:tr>
    </w:tbl>
    <w:p w14:paraId="71705370" w14:textId="77777777" w:rsidR="0067638C" w:rsidRDefault="0067638C" w:rsidP="0067638C">
      <w:pPr>
        <w:pStyle w:val="Body"/>
      </w:pPr>
    </w:p>
    <w:p w14:paraId="3D1B1DEE" w14:textId="77777777" w:rsidR="0067638C" w:rsidRDefault="0067638C" w:rsidP="0067638C">
      <w:pPr>
        <w:pStyle w:val="Body"/>
        <w:keepNext/>
        <w:rPr>
          <w:b/>
          <w:bCs/>
        </w:rPr>
      </w:pPr>
      <w:r>
        <w:rPr>
          <w:b/>
          <w:bCs/>
        </w:rPr>
        <w:t>Support at Home Cost Collection</w:t>
      </w:r>
    </w:p>
    <w:p w14:paraId="712E3F76" w14:textId="576901EC" w:rsidR="00BB5DC5" w:rsidRDefault="0067638C" w:rsidP="00A45363">
      <w:pPr>
        <w:pStyle w:val="Body"/>
        <w:keepLines/>
      </w:pPr>
      <w:r>
        <w:t xml:space="preserve">To inform the development of pricing advice for the service list for the Support at Home program, IHACPA </w:t>
      </w:r>
      <w:r w:rsidR="00A039BA">
        <w:t xml:space="preserve">undertook </w:t>
      </w:r>
      <w:r>
        <w:t>Support at Home Cost Collection</w:t>
      </w:r>
      <w:r w:rsidR="00A133F0">
        <w:t>s</w:t>
      </w:r>
      <w:r w:rsidR="00A039BA">
        <w:t xml:space="preserve"> in 2024</w:t>
      </w:r>
      <w:r w:rsidR="00A133F0">
        <w:t xml:space="preserve"> and 20</w:t>
      </w:r>
      <w:r w:rsidR="00A039BA">
        <w:t>25</w:t>
      </w:r>
      <w:r>
        <w:t>. The results and findings from th</w:t>
      </w:r>
      <w:r w:rsidR="00A039BA">
        <w:t>e</w:t>
      </w:r>
      <w:r>
        <w:t xml:space="preserve"> cost collection </w:t>
      </w:r>
      <w:r w:rsidR="00A37C8E">
        <w:t>inform</w:t>
      </w:r>
      <w:r w:rsidR="00A039BA">
        <w:t>ed</w:t>
      </w:r>
      <w:r>
        <w:t xml:space="preserve"> the development of </w:t>
      </w:r>
      <w:r w:rsidR="00A039BA">
        <w:t>the</w:t>
      </w:r>
      <w:r>
        <w:t xml:space="preserve"> costing framework, costing methodology and data sets</w:t>
      </w:r>
      <w:r w:rsidR="00A039BA">
        <w:t xml:space="preserve"> that underpin</w:t>
      </w:r>
      <w:r>
        <w:t xml:space="preserve"> IHACPA</w:t>
      </w:r>
      <w:r w:rsidR="00A039BA">
        <w:t>’s</w:t>
      </w:r>
      <w:r>
        <w:t xml:space="preserve"> Support at Home</w:t>
      </w:r>
      <w:r w:rsidDel="00082923">
        <w:t xml:space="preserve"> </w:t>
      </w:r>
      <w:r>
        <w:t xml:space="preserve">Program </w:t>
      </w:r>
      <w:r w:rsidR="00A039BA">
        <w:t xml:space="preserve">pricing advice </w:t>
      </w:r>
      <w:r>
        <w:t xml:space="preserve">and provide a foundation to </w:t>
      </w:r>
      <w:r w:rsidR="00A039BA">
        <w:t xml:space="preserve">support </w:t>
      </w:r>
      <w:r>
        <w:t xml:space="preserve">future costing studies. </w:t>
      </w:r>
    </w:p>
    <w:p w14:paraId="5E9A101D" w14:textId="0C3F0CC9" w:rsidR="00A039BA" w:rsidRPr="000C1026" w:rsidRDefault="00BB5DC5" w:rsidP="00F52C1C">
      <w:r>
        <w:br w:type="page"/>
      </w:r>
    </w:p>
    <w:p w14:paraId="15EBA7BF" w14:textId="075EE0A8" w:rsidR="00340990" w:rsidRPr="0084434E" w:rsidRDefault="000E0E3D" w:rsidP="00CC450E">
      <w:pPr>
        <w:pStyle w:val="H4-List"/>
        <w:keepNext/>
        <w:ind w:left="357" w:hanging="357"/>
        <w:rPr>
          <w:rFonts w:ascii="Arial" w:hAnsi="Arial"/>
        </w:rPr>
      </w:pPr>
      <w:r w:rsidRPr="0084434E">
        <w:rPr>
          <w:rFonts w:ascii="Arial" w:hAnsi="Arial"/>
        </w:rPr>
        <w:lastRenderedPageBreak/>
        <w:t>Data quality and improvement</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40990" w:rsidRPr="00AC04B2" w14:paraId="3F627B99" w14:textId="77777777" w:rsidTr="00C048CB">
        <w:tc>
          <w:tcPr>
            <w:tcW w:w="3726" w:type="pct"/>
            <w:tcBorders>
              <w:top w:val="nil"/>
              <w:bottom w:val="nil"/>
            </w:tcBorders>
            <w:shd w:val="clear" w:color="auto" w:fill="104F99" w:themeFill="accent2"/>
            <w:vAlign w:val="center"/>
          </w:tcPr>
          <w:p w14:paraId="0C8EFD0B" w14:textId="77777777" w:rsidR="00340990" w:rsidRPr="00AC04B2" w:rsidRDefault="00340990" w:rsidP="00204BDB">
            <w:pPr>
              <w:pStyle w:val="TableHeading"/>
            </w:pPr>
            <w:r w:rsidRPr="00AC04B2">
              <w:t>Deliverable</w:t>
            </w:r>
          </w:p>
        </w:tc>
        <w:tc>
          <w:tcPr>
            <w:tcW w:w="1274" w:type="pct"/>
            <w:tcBorders>
              <w:top w:val="nil"/>
              <w:bottom w:val="nil"/>
            </w:tcBorders>
            <w:shd w:val="clear" w:color="auto" w:fill="104F99" w:themeFill="accent2"/>
            <w:vAlign w:val="center"/>
          </w:tcPr>
          <w:p w14:paraId="648E3A61" w14:textId="77777777" w:rsidR="00340990" w:rsidRPr="00AC04B2" w:rsidRDefault="00340990" w:rsidP="00204BDB">
            <w:pPr>
              <w:pStyle w:val="TableHeading"/>
            </w:pPr>
            <w:r w:rsidRPr="00AC04B2">
              <w:t>Timeframe</w:t>
            </w:r>
          </w:p>
        </w:tc>
      </w:tr>
      <w:tr w:rsidR="00004AD4" w:rsidRPr="00AC04B2" w14:paraId="0CFC66A3" w14:textId="77777777" w:rsidTr="00C048CB">
        <w:tblPrEx>
          <w:tblBorders>
            <w:top w:val="single" w:sz="4" w:space="0" w:color="auto"/>
            <w:left w:val="single" w:sz="4" w:space="0" w:color="auto"/>
            <w:bottom w:val="single" w:sz="4" w:space="0" w:color="auto"/>
            <w:right w:val="single" w:sz="4" w:space="0" w:color="auto"/>
            <w:insideV w:val="single" w:sz="4" w:space="0" w:color="auto"/>
          </w:tblBorders>
          <w:tblCellMar>
            <w:right w:w="108" w:type="dxa"/>
          </w:tblCellMar>
        </w:tblPrEx>
        <w:trPr>
          <w:trHeight w:val="236"/>
        </w:trPr>
        <w:tc>
          <w:tcPr>
            <w:tcW w:w="3726" w:type="pct"/>
            <w:tcBorders>
              <w:top w:val="nil"/>
              <w:left w:val="nil"/>
              <w:right w:val="nil"/>
            </w:tcBorders>
          </w:tcPr>
          <w:p w14:paraId="402C66B0" w14:textId="1F6B76B6" w:rsidR="00004AD4" w:rsidRDefault="00004AD4" w:rsidP="00004AD4">
            <w:pPr>
              <w:pStyle w:val="TableBodySmall"/>
            </w:pPr>
            <w:r>
              <w:t>Continue the development of</w:t>
            </w:r>
            <w:r w:rsidRPr="00AC04B2">
              <w:t xml:space="preserve"> the Australian Aged Care Costing Standards.</w:t>
            </w:r>
          </w:p>
        </w:tc>
        <w:tc>
          <w:tcPr>
            <w:tcW w:w="1274" w:type="pct"/>
            <w:tcBorders>
              <w:top w:val="nil"/>
              <w:left w:val="nil"/>
              <w:right w:val="nil"/>
            </w:tcBorders>
          </w:tcPr>
          <w:p w14:paraId="026C3A12" w14:textId="5FC11F47" w:rsidR="00004AD4" w:rsidRDefault="00004AD4" w:rsidP="00004AD4">
            <w:pPr>
              <w:pStyle w:val="TableBodySmall"/>
            </w:pPr>
            <w:r w:rsidRPr="00AC04B2">
              <w:t>June 202</w:t>
            </w:r>
            <w:r w:rsidR="00C543A8">
              <w:t>7</w:t>
            </w:r>
          </w:p>
        </w:tc>
      </w:tr>
      <w:tr w:rsidR="00004AD4" w:rsidRPr="00E0109F" w14:paraId="767420EB" w14:textId="77777777" w:rsidTr="00204BDB">
        <w:tblPrEx>
          <w:tblBorders>
            <w:top w:val="single" w:sz="4" w:space="0" w:color="auto"/>
            <w:left w:val="single" w:sz="4" w:space="0" w:color="auto"/>
            <w:bottom w:val="single" w:sz="4" w:space="0" w:color="auto"/>
            <w:right w:val="single" w:sz="4" w:space="0" w:color="auto"/>
            <w:insideV w:val="single" w:sz="4" w:space="0" w:color="auto"/>
          </w:tblBorders>
          <w:tblCellMar>
            <w:right w:w="108" w:type="dxa"/>
          </w:tblCellMar>
        </w:tblPrEx>
        <w:trPr>
          <w:trHeight w:val="236"/>
        </w:trPr>
        <w:tc>
          <w:tcPr>
            <w:tcW w:w="3726" w:type="pct"/>
            <w:tcBorders>
              <w:left w:val="nil"/>
              <w:right w:val="nil"/>
            </w:tcBorders>
          </w:tcPr>
          <w:p w14:paraId="49FA2121" w14:textId="6CEF49D2" w:rsidR="00004AD4" w:rsidRPr="00E0109F" w:rsidRDefault="008378D2" w:rsidP="00004AD4">
            <w:pPr>
              <w:pStyle w:val="TableBodySmall"/>
            </w:pPr>
            <w:r w:rsidRPr="00E0109F">
              <w:t xml:space="preserve">Work collaboratively with the </w:t>
            </w:r>
            <w:r w:rsidR="00C562A3" w:rsidRPr="00E0109F">
              <w:t xml:space="preserve">Australian Government </w:t>
            </w:r>
            <w:r w:rsidRPr="00E0109F">
              <w:t xml:space="preserve">Department of Health, Disability and Ageing on refinements to </w:t>
            </w:r>
            <w:r w:rsidR="00004AD4" w:rsidRPr="00E0109F">
              <w:t>the Aged Care Financial Report and the Quarterly Financial Report.</w:t>
            </w:r>
          </w:p>
        </w:tc>
        <w:tc>
          <w:tcPr>
            <w:tcW w:w="1274" w:type="pct"/>
            <w:tcBorders>
              <w:left w:val="nil"/>
              <w:right w:val="nil"/>
            </w:tcBorders>
          </w:tcPr>
          <w:p w14:paraId="1BD5DC60" w14:textId="18BE5F0C" w:rsidR="00004AD4" w:rsidRPr="00E0109F" w:rsidRDefault="008378D2" w:rsidP="00004AD4">
            <w:pPr>
              <w:pStyle w:val="TableBodySmall"/>
            </w:pPr>
            <w:r w:rsidRPr="00E0109F">
              <w:t>Ongoing</w:t>
            </w:r>
          </w:p>
        </w:tc>
      </w:tr>
      <w:tr w:rsidR="00435241" w:rsidRPr="00E0109F" w14:paraId="6A8511F2" w14:textId="77777777" w:rsidTr="00204BDB">
        <w:tblPrEx>
          <w:tblBorders>
            <w:top w:val="single" w:sz="4" w:space="0" w:color="auto"/>
            <w:left w:val="single" w:sz="4" w:space="0" w:color="auto"/>
            <w:bottom w:val="single" w:sz="4" w:space="0" w:color="auto"/>
            <w:right w:val="single" w:sz="4" w:space="0" w:color="auto"/>
            <w:insideV w:val="single" w:sz="4" w:space="0" w:color="auto"/>
          </w:tblBorders>
          <w:tblCellMar>
            <w:right w:w="108" w:type="dxa"/>
          </w:tblCellMar>
        </w:tblPrEx>
        <w:trPr>
          <w:trHeight w:val="236"/>
        </w:trPr>
        <w:tc>
          <w:tcPr>
            <w:tcW w:w="3726" w:type="pct"/>
            <w:tcBorders>
              <w:left w:val="nil"/>
              <w:right w:val="nil"/>
            </w:tcBorders>
          </w:tcPr>
          <w:p w14:paraId="4451C27E" w14:textId="4C07BCB4" w:rsidR="00435241" w:rsidRPr="00E0109F" w:rsidRDefault="00435241" w:rsidP="00204BDB">
            <w:pPr>
              <w:pStyle w:val="TableBodySmall"/>
            </w:pPr>
            <w:r w:rsidRPr="00E0109F">
              <w:t xml:space="preserve">Undertake focused </w:t>
            </w:r>
            <w:r w:rsidR="008378D2" w:rsidRPr="00E0109F">
              <w:t xml:space="preserve">costing </w:t>
            </w:r>
            <w:r w:rsidRPr="00E0109F">
              <w:t>studies on priority areas identified through consultation processes</w:t>
            </w:r>
            <w:r w:rsidR="008378D2" w:rsidRPr="00E0109F">
              <w:t xml:space="preserve"> or as requested by the Australian Government</w:t>
            </w:r>
            <w:r w:rsidRPr="00E0109F">
              <w:t>.</w:t>
            </w:r>
          </w:p>
        </w:tc>
        <w:tc>
          <w:tcPr>
            <w:tcW w:w="1274" w:type="pct"/>
            <w:tcBorders>
              <w:left w:val="nil"/>
              <w:right w:val="nil"/>
            </w:tcBorders>
          </w:tcPr>
          <w:p w14:paraId="0F9F3A1D" w14:textId="0BE68152" w:rsidR="00435241" w:rsidRPr="00E0109F" w:rsidRDefault="008378D2" w:rsidP="00204BDB">
            <w:pPr>
              <w:pStyle w:val="TableBodySmall"/>
            </w:pPr>
            <w:r w:rsidRPr="00E0109F">
              <w:t>Ongoing</w:t>
            </w:r>
          </w:p>
        </w:tc>
      </w:tr>
    </w:tbl>
    <w:p w14:paraId="601FD39A" w14:textId="77777777" w:rsidR="00340990" w:rsidRPr="00E0109F" w:rsidRDefault="00340990" w:rsidP="00340990">
      <w:pPr>
        <w:pStyle w:val="Body"/>
      </w:pPr>
    </w:p>
    <w:p w14:paraId="5131A33A" w14:textId="77777777" w:rsidR="00004AD4" w:rsidRPr="00E0109F" w:rsidRDefault="00004AD4" w:rsidP="0084434E">
      <w:pPr>
        <w:pStyle w:val="Body"/>
        <w:rPr>
          <w:b/>
          <w:bCs/>
        </w:rPr>
      </w:pPr>
      <w:r w:rsidRPr="00E0109F">
        <w:rPr>
          <w:b/>
          <w:bCs/>
        </w:rPr>
        <w:t>Development of the Australian Aged Care Costing Standards</w:t>
      </w:r>
    </w:p>
    <w:p w14:paraId="784FCBDF" w14:textId="7A55984B" w:rsidR="00004AD4" w:rsidRPr="00E0109F" w:rsidRDefault="00004AD4" w:rsidP="0084434E">
      <w:pPr>
        <w:pStyle w:val="Body"/>
      </w:pPr>
      <w:r w:rsidRPr="00E0109F">
        <w:t>In 202</w:t>
      </w:r>
      <w:r w:rsidR="00E102DE" w:rsidRPr="00E0109F">
        <w:t>6</w:t>
      </w:r>
      <w:r w:rsidRPr="00E0109F">
        <w:t>–2</w:t>
      </w:r>
      <w:r w:rsidR="00E102DE" w:rsidRPr="00E0109F">
        <w:t>7</w:t>
      </w:r>
      <w:r w:rsidRPr="00E0109F">
        <w:t>, IHACPA will continue to develop costing standards which describe consistent and best practice allocation of costs to aged care residents and participants. The Australian Aged Care Costing Standards will be incorporated into the residential aged care costing study and used to inform allocation of costs to services provided through the Australian Government’s Support at Home program.</w:t>
      </w:r>
    </w:p>
    <w:p w14:paraId="7C5B677A" w14:textId="0B9487FF" w:rsidR="00EE6535" w:rsidRPr="00E0109F" w:rsidRDefault="00EE6535" w:rsidP="0084434E">
      <w:pPr>
        <w:pStyle w:val="Body"/>
        <w:rPr>
          <w:b/>
          <w:bCs/>
        </w:rPr>
      </w:pPr>
      <w:r w:rsidRPr="00E0109F">
        <w:rPr>
          <w:b/>
          <w:bCs/>
        </w:rPr>
        <w:t>Aged Care Financial Report and Quarterly Financial Report</w:t>
      </w:r>
    </w:p>
    <w:p w14:paraId="0DDC4871" w14:textId="22D5A146" w:rsidR="005405FF" w:rsidRDefault="00EE6535" w:rsidP="0084434E">
      <w:pPr>
        <w:pStyle w:val="Body"/>
      </w:pPr>
      <w:r w:rsidRPr="00E0109F">
        <w:t xml:space="preserve">In 2026–27, IHACPA will continue to provide advice to the </w:t>
      </w:r>
      <w:r w:rsidR="00C562A3" w:rsidRPr="00E0109F">
        <w:t xml:space="preserve">Australian Government </w:t>
      </w:r>
      <w:r w:rsidR="008378D2" w:rsidRPr="00E0109F">
        <w:t>Department</w:t>
      </w:r>
      <w:r w:rsidR="008378D2" w:rsidRPr="008378D2">
        <w:t xml:space="preserve"> of Health, Disability and Ageing </w:t>
      </w:r>
      <w:r>
        <w:t xml:space="preserve">in relation to </w:t>
      </w:r>
      <w:r w:rsidR="00D64EA8" w:rsidRPr="00D64EA8">
        <w:t>recommended refinements to the Aged Care Financial Report and the Quarterly Financial Report to inform IHACPA’s development of annual aged care pricing and costing advice</w:t>
      </w:r>
      <w:r w:rsidR="00D64EA8">
        <w:t xml:space="preserve">. </w:t>
      </w:r>
      <w:r w:rsidR="00DD0FAA">
        <w:t xml:space="preserve"> </w:t>
      </w:r>
    </w:p>
    <w:p w14:paraId="23CB2272" w14:textId="7910A023" w:rsidR="00435241" w:rsidRPr="00BD0ECF" w:rsidRDefault="00435241" w:rsidP="0084434E">
      <w:pPr>
        <w:pStyle w:val="Body"/>
        <w:rPr>
          <w:b/>
          <w:bCs/>
        </w:rPr>
      </w:pPr>
      <w:r>
        <w:rPr>
          <w:b/>
          <w:bCs/>
        </w:rPr>
        <w:t>Aged care costing studies</w:t>
      </w:r>
    </w:p>
    <w:p w14:paraId="051DCB3C" w14:textId="00FD7CDF" w:rsidR="00EC4A56" w:rsidRDefault="00435241" w:rsidP="0084434E">
      <w:pPr>
        <w:pStyle w:val="Body"/>
      </w:pPr>
      <w:r w:rsidRPr="00A52717">
        <w:t>In 202</w:t>
      </w:r>
      <w:r>
        <w:t>6</w:t>
      </w:r>
      <w:r w:rsidRPr="00A52717">
        <w:t>–2</w:t>
      </w:r>
      <w:r>
        <w:t>7</w:t>
      </w:r>
      <w:r w:rsidRPr="00A52717">
        <w:t xml:space="preserve">, IHACPA will </w:t>
      </w:r>
      <w:r>
        <w:t xml:space="preserve">work with </w:t>
      </w:r>
      <w:r w:rsidR="006F35DE">
        <w:t xml:space="preserve">the Aged Care Advisory Committee, the Aged Care Network and key stakeholders to </w:t>
      </w:r>
      <w:r w:rsidR="00304DF9">
        <w:t>identify</w:t>
      </w:r>
      <w:r w:rsidR="00E210C5">
        <w:t xml:space="preserve"> </w:t>
      </w:r>
      <w:r w:rsidR="0077728C">
        <w:t xml:space="preserve">priority </w:t>
      </w:r>
      <w:r w:rsidR="00E210C5">
        <w:t>areas</w:t>
      </w:r>
      <w:r w:rsidR="00D64EA8">
        <w:t xml:space="preserve"> </w:t>
      </w:r>
      <w:r w:rsidR="00D64EA8" w:rsidRPr="00D64EA8">
        <w:t>that could be informed by undertaking focused costing studies, for future pricing advice and funding model refinement.</w:t>
      </w:r>
    </w:p>
    <w:p w14:paraId="2368A7E3" w14:textId="40B303AC" w:rsidR="00D64EA8" w:rsidRPr="00EC4A56" w:rsidRDefault="00EC4A56" w:rsidP="00F52C1C">
      <w:r>
        <w:br w:type="page"/>
      </w:r>
    </w:p>
    <w:p w14:paraId="6EBF7407" w14:textId="69CA558A" w:rsidR="00540090" w:rsidRPr="00AC04B2" w:rsidRDefault="00540090" w:rsidP="00D05BDE">
      <w:pPr>
        <w:pStyle w:val="H2"/>
      </w:pPr>
      <w:bookmarkStart w:id="136" w:name="_Toc223594825"/>
      <w:bookmarkEnd w:id="135"/>
      <w:r w:rsidRPr="00AC04B2">
        <w:lastRenderedPageBreak/>
        <w:t>3.</w:t>
      </w:r>
      <w:r>
        <w:t>3</w:t>
      </w:r>
      <w:r w:rsidR="00D64EA8">
        <w:tab/>
      </w:r>
      <w:r w:rsidR="00040F2B">
        <w:t>Decision making and engagement</w:t>
      </w:r>
      <w:bookmarkEnd w:id="136"/>
    </w:p>
    <w:p w14:paraId="5A015DF9" w14:textId="52CB126B" w:rsidR="00D64EA8" w:rsidRPr="0084434E" w:rsidRDefault="00D64EA8" w:rsidP="0084434E">
      <w:pPr>
        <w:pStyle w:val="H4-List"/>
        <w:keepNext/>
        <w:numPr>
          <w:ilvl w:val="0"/>
          <w:numId w:val="37"/>
        </w:numPr>
        <w:rPr>
          <w:rFonts w:ascii="Arial" w:hAnsi="Arial"/>
        </w:rPr>
      </w:pPr>
      <w:r w:rsidRPr="0084434E">
        <w:rPr>
          <w:rFonts w:ascii="Arial" w:hAnsi="Arial"/>
        </w:rPr>
        <w:t>Consideration of classification refinement</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497312" w:rsidRPr="00AC04B2" w14:paraId="2AB24D45" w14:textId="77777777" w:rsidTr="00A45363">
        <w:tc>
          <w:tcPr>
            <w:tcW w:w="3726" w:type="pct"/>
            <w:tcBorders>
              <w:top w:val="nil"/>
              <w:bottom w:val="nil"/>
            </w:tcBorders>
            <w:shd w:val="clear" w:color="auto" w:fill="104F99" w:themeFill="accent2"/>
            <w:vAlign w:val="center"/>
          </w:tcPr>
          <w:p w14:paraId="248B2551" w14:textId="77777777" w:rsidR="00497312" w:rsidRPr="00AC04B2" w:rsidRDefault="00497312" w:rsidP="0084434E">
            <w:pPr>
              <w:pStyle w:val="TableHeading"/>
              <w:keepNext/>
            </w:pPr>
            <w:r w:rsidRPr="00AC04B2">
              <w:t>Deliverable</w:t>
            </w:r>
          </w:p>
        </w:tc>
        <w:tc>
          <w:tcPr>
            <w:tcW w:w="1274" w:type="pct"/>
            <w:tcBorders>
              <w:top w:val="nil"/>
              <w:bottom w:val="nil"/>
            </w:tcBorders>
            <w:shd w:val="clear" w:color="auto" w:fill="104F99" w:themeFill="accent2"/>
            <w:vAlign w:val="center"/>
          </w:tcPr>
          <w:p w14:paraId="09234F9F" w14:textId="77777777" w:rsidR="00497312" w:rsidRPr="00AC04B2" w:rsidRDefault="00497312" w:rsidP="0084434E">
            <w:pPr>
              <w:pStyle w:val="TableHeading"/>
              <w:keepNext/>
            </w:pPr>
            <w:r w:rsidRPr="00AC04B2">
              <w:t>Timeframe</w:t>
            </w:r>
          </w:p>
        </w:tc>
      </w:tr>
      <w:tr w:rsidR="00497312" w:rsidRPr="00AC04B2" w14:paraId="0B269A4C" w14:textId="77777777" w:rsidTr="0084434E">
        <w:trPr>
          <w:trHeight w:val="23"/>
        </w:trPr>
        <w:tc>
          <w:tcPr>
            <w:tcW w:w="3726" w:type="pct"/>
            <w:tcBorders>
              <w:top w:val="nil"/>
              <w:bottom w:val="single" w:sz="4" w:space="0" w:color="auto"/>
            </w:tcBorders>
          </w:tcPr>
          <w:p w14:paraId="154B26FC" w14:textId="7210C693" w:rsidR="00497312" w:rsidRPr="00AC04B2" w:rsidRDefault="00D64EA8" w:rsidP="0084434E">
            <w:pPr>
              <w:pStyle w:val="TableBodySmall"/>
              <w:spacing w:line="259" w:lineRule="auto"/>
            </w:pPr>
            <w:r>
              <w:rPr>
                <w:lang w:val="en-PH"/>
              </w:rPr>
              <w:t>Provide advice on potential areas of refinement to the Australian National Aged Care Classification.</w:t>
            </w:r>
          </w:p>
        </w:tc>
        <w:tc>
          <w:tcPr>
            <w:tcW w:w="1274" w:type="pct"/>
            <w:tcBorders>
              <w:top w:val="nil"/>
              <w:bottom w:val="single" w:sz="4" w:space="0" w:color="auto"/>
            </w:tcBorders>
          </w:tcPr>
          <w:p w14:paraId="7F235FFE" w14:textId="77777777" w:rsidR="00497312" w:rsidRPr="00AC04B2" w:rsidRDefault="00497312" w:rsidP="00C83FB6">
            <w:pPr>
              <w:pStyle w:val="TableBodySmall"/>
            </w:pPr>
            <w:r w:rsidRPr="00AC04B2">
              <w:t>Ongoing</w:t>
            </w:r>
          </w:p>
        </w:tc>
      </w:tr>
    </w:tbl>
    <w:p w14:paraId="62FA155F" w14:textId="77777777" w:rsidR="00497312" w:rsidRPr="00AC04B2" w:rsidRDefault="00497312" w:rsidP="00497312">
      <w:pPr>
        <w:pStyle w:val="Body"/>
      </w:pPr>
    </w:p>
    <w:p w14:paraId="2F12CD75" w14:textId="089ED949" w:rsidR="00497312" w:rsidRDefault="00497312" w:rsidP="00497312">
      <w:pPr>
        <w:pStyle w:val="Body"/>
        <w:rPr>
          <w:b/>
          <w:bCs/>
        </w:rPr>
      </w:pPr>
      <w:r w:rsidRPr="000362C5">
        <w:rPr>
          <w:b/>
          <w:bCs/>
        </w:rPr>
        <w:t xml:space="preserve">The AN-ACC funding model provides </w:t>
      </w:r>
      <w:r>
        <w:rPr>
          <w:b/>
          <w:bCs/>
        </w:rPr>
        <w:t>funding</w:t>
      </w:r>
      <w:r w:rsidRPr="000362C5">
        <w:rPr>
          <w:b/>
          <w:bCs/>
        </w:rPr>
        <w:t xml:space="preserve"> to </w:t>
      </w:r>
      <w:r w:rsidR="00D64EA8">
        <w:rPr>
          <w:b/>
          <w:bCs/>
        </w:rPr>
        <w:t>registered</w:t>
      </w:r>
      <w:r w:rsidRPr="000362C5">
        <w:rPr>
          <w:b/>
          <w:bCs/>
        </w:rPr>
        <w:t xml:space="preserve"> providers </w:t>
      </w:r>
      <w:r w:rsidRPr="00CE571E">
        <w:rPr>
          <w:b/>
          <w:bCs/>
        </w:rPr>
        <w:t xml:space="preserve">reflective of service location and specialisation </w:t>
      </w:r>
      <w:r w:rsidRPr="000362C5">
        <w:rPr>
          <w:b/>
          <w:bCs/>
        </w:rPr>
        <w:t>and each residents</w:t>
      </w:r>
      <w:r w:rsidRPr="000362C5">
        <w:rPr>
          <w:rFonts w:hint="cs"/>
          <w:b/>
          <w:bCs/>
        </w:rPr>
        <w:t>’</w:t>
      </w:r>
      <w:r w:rsidRPr="000362C5">
        <w:rPr>
          <w:b/>
          <w:bCs/>
        </w:rPr>
        <w:t xml:space="preserve"> care needs through the application of national weighted activity units to the AN</w:t>
      </w:r>
      <w:r w:rsidRPr="000362C5">
        <w:rPr>
          <w:b/>
          <w:bCs/>
        </w:rPr>
        <w:noBreakHyphen/>
        <w:t>ACC price.</w:t>
      </w:r>
    </w:p>
    <w:p w14:paraId="7F60C336" w14:textId="7EDF3662" w:rsidR="00497312" w:rsidRDefault="00497312" w:rsidP="00497312">
      <w:pPr>
        <w:pStyle w:val="Body"/>
      </w:pPr>
      <w:r w:rsidRPr="00783F98">
        <w:t xml:space="preserve">Based on stakeholder feedback and the analysis of </w:t>
      </w:r>
      <w:r>
        <w:t>available data</w:t>
      </w:r>
      <w:r w:rsidRPr="00783F98">
        <w:t xml:space="preserve">, IHACPA will continue to </w:t>
      </w:r>
      <w:r>
        <w:t>provide advice to the Australian Government on</w:t>
      </w:r>
      <w:r w:rsidRPr="00783F98">
        <w:t xml:space="preserve"> </w:t>
      </w:r>
      <w:r w:rsidR="00D64EA8">
        <w:t>potential areas of</w:t>
      </w:r>
      <w:r w:rsidR="00D64EA8" w:rsidRPr="00783F98">
        <w:t xml:space="preserve"> </w:t>
      </w:r>
      <w:r w:rsidRPr="00783F98">
        <w:t xml:space="preserve">refinement to the </w:t>
      </w:r>
      <w:r w:rsidR="00D64EA8">
        <w:t>AN-ACC</w:t>
      </w:r>
      <w:r w:rsidRPr="00783F98">
        <w:t>, in consultation with its advisory committees and working groups.</w:t>
      </w:r>
    </w:p>
    <w:p w14:paraId="22CAB385" w14:textId="382ED331" w:rsidR="0064778A" w:rsidRPr="0084434E" w:rsidRDefault="00EB0182" w:rsidP="0061718D">
      <w:pPr>
        <w:pStyle w:val="H4-List"/>
        <w:keepNext/>
        <w:numPr>
          <w:ilvl w:val="0"/>
          <w:numId w:val="37"/>
        </w:numPr>
        <w:rPr>
          <w:rFonts w:ascii="Arial" w:hAnsi="Arial"/>
        </w:rPr>
      </w:pPr>
      <w:r w:rsidRPr="0084434E">
        <w:rPr>
          <w:rFonts w:ascii="Arial" w:hAnsi="Arial"/>
        </w:rPr>
        <w:t>Engagement</w:t>
      </w:r>
      <w:r w:rsidR="0064778A" w:rsidRPr="0084434E">
        <w:rPr>
          <w:rFonts w:ascii="Arial" w:hAnsi="Arial"/>
        </w:rPr>
        <w:t xml:space="preserve"> with </w:t>
      </w:r>
      <w:r w:rsidR="00A53E31">
        <w:rPr>
          <w:rFonts w:ascii="Arial" w:hAnsi="Arial"/>
        </w:rPr>
        <w:t xml:space="preserve">the </w:t>
      </w:r>
      <w:r w:rsidR="0064778A" w:rsidRPr="0084434E">
        <w:rPr>
          <w:rFonts w:ascii="Arial" w:hAnsi="Arial"/>
        </w:rPr>
        <w:t>aged care sector</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64778A" w:rsidRPr="00AC04B2" w14:paraId="57678F87" w14:textId="77777777" w:rsidTr="00A45363">
        <w:tc>
          <w:tcPr>
            <w:tcW w:w="3726" w:type="pct"/>
            <w:tcBorders>
              <w:top w:val="nil"/>
              <w:bottom w:val="nil"/>
            </w:tcBorders>
            <w:shd w:val="clear" w:color="auto" w:fill="104F99" w:themeFill="accent2"/>
            <w:vAlign w:val="center"/>
          </w:tcPr>
          <w:p w14:paraId="5555C857" w14:textId="77777777" w:rsidR="0064778A" w:rsidRPr="00AC04B2" w:rsidRDefault="0064778A" w:rsidP="0061718D">
            <w:pPr>
              <w:pStyle w:val="TableHeading"/>
              <w:keepNext/>
            </w:pPr>
            <w:r w:rsidRPr="00AC04B2">
              <w:t>Deliverable</w:t>
            </w:r>
          </w:p>
        </w:tc>
        <w:tc>
          <w:tcPr>
            <w:tcW w:w="1274" w:type="pct"/>
            <w:tcBorders>
              <w:top w:val="nil"/>
              <w:bottom w:val="nil"/>
            </w:tcBorders>
            <w:shd w:val="clear" w:color="auto" w:fill="104F99" w:themeFill="accent2"/>
            <w:vAlign w:val="center"/>
          </w:tcPr>
          <w:p w14:paraId="56F385F9" w14:textId="77777777" w:rsidR="0064778A" w:rsidRPr="00AC04B2" w:rsidRDefault="0064778A" w:rsidP="0061718D">
            <w:pPr>
              <w:pStyle w:val="TableHeading"/>
              <w:keepNext/>
            </w:pPr>
            <w:r w:rsidRPr="00AC04B2">
              <w:t>Timeframe</w:t>
            </w:r>
          </w:p>
        </w:tc>
      </w:tr>
      <w:tr w:rsidR="0064778A" w:rsidRPr="00AC04B2" w14:paraId="0DA69AD6" w14:textId="77777777" w:rsidTr="00CF32CD">
        <w:trPr>
          <w:trHeight w:val="290"/>
        </w:trPr>
        <w:tc>
          <w:tcPr>
            <w:tcW w:w="3726" w:type="pct"/>
            <w:tcBorders>
              <w:top w:val="nil"/>
              <w:bottom w:val="single" w:sz="4" w:space="0" w:color="auto"/>
            </w:tcBorders>
          </w:tcPr>
          <w:p w14:paraId="3AFA015D" w14:textId="3381BB0E" w:rsidR="0064778A" w:rsidRPr="00AC04B2" w:rsidRDefault="000741F2" w:rsidP="0061718D">
            <w:pPr>
              <w:pStyle w:val="TableBodySmall"/>
              <w:keepNext/>
            </w:pPr>
            <w:r w:rsidRPr="000741F2">
              <w:t xml:space="preserve">Work with </w:t>
            </w:r>
            <w:r w:rsidR="001B7D11">
              <w:t xml:space="preserve">the </w:t>
            </w:r>
            <w:r w:rsidRPr="000741F2">
              <w:t xml:space="preserve">Aged Care Network to </w:t>
            </w:r>
            <w:r w:rsidR="00D64EA8" w:rsidRPr="00D64EA8">
              <w:t xml:space="preserve">enhance engagement with the aged care sector and expand </w:t>
            </w:r>
            <w:r w:rsidR="001B7D11">
              <w:t xml:space="preserve">the </w:t>
            </w:r>
            <w:r w:rsidR="00D64EA8" w:rsidRPr="00D64EA8">
              <w:t>representation of special interest groups in IHACPA’s</w:t>
            </w:r>
            <w:r w:rsidR="001B7D11">
              <w:t xml:space="preserve"> aged care</w:t>
            </w:r>
            <w:r w:rsidR="00D64EA8" w:rsidRPr="00D64EA8">
              <w:t xml:space="preserve"> work program</w:t>
            </w:r>
            <w:r w:rsidR="0064778A" w:rsidRPr="00AC04B2">
              <w:t>.</w:t>
            </w:r>
          </w:p>
        </w:tc>
        <w:tc>
          <w:tcPr>
            <w:tcW w:w="1274" w:type="pct"/>
            <w:tcBorders>
              <w:top w:val="nil"/>
              <w:bottom w:val="single" w:sz="4" w:space="0" w:color="auto"/>
            </w:tcBorders>
          </w:tcPr>
          <w:p w14:paraId="24132607" w14:textId="77777777" w:rsidR="0064778A" w:rsidRPr="00AC04B2" w:rsidRDefault="0064778A" w:rsidP="0061718D">
            <w:pPr>
              <w:pStyle w:val="TableBodySmall"/>
              <w:keepNext/>
            </w:pPr>
            <w:r w:rsidRPr="00AC04B2">
              <w:t>Ongoing</w:t>
            </w:r>
          </w:p>
        </w:tc>
      </w:tr>
      <w:tr w:rsidR="00CF32CD" w:rsidRPr="00AC04B2" w14:paraId="700F7946" w14:textId="77777777" w:rsidTr="00CF32CD">
        <w:trPr>
          <w:trHeight w:val="290"/>
        </w:trPr>
        <w:tc>
          <w:tcPr>
            <w:tcW w:w="3726" w:type="pct"/>
            <w:tcBorders>
              <w:top w:val="single" w:sz="4" w:space="0" w:color="auto"/>
              <w:bottom w:val="single" w:sz="4" w:space="0" w:color="auto"/>
            </w:tcBorders>
          </w:tcPr>
          <w:p w14:paraId="504D4D2E" w14:textId="6831377A" w:rsidR="00CF32CD" w:rsidRPr="000741F2" w:rsidRDefault="00D64EA8" w:rsidP="0061718D">
            <w:pPr>
              <w:pStyle w:val="TableBodySmall"/>
              <w:keepNext/>
            </w:pPr>
            <w:r>
              <w:t xml:space="preserve">Engage with the </w:t>
            </w:r>
            <w:r w:rsidR="007A1959">
              <w:t>aged care sector</w:t>
            </w:r>
            <w:r>
              <w:t xml:space="preserve"> through</w:t>
            </w:r>
            <w:r w:rsidR="007A1959">
              <w:t xml:space="preserve"> </w:t>
            </w:r>
            <w:r>
              <w:t xml:space="preserve">aged care </w:t>
            </w:r>
            <w:r w:rsidR="007A1959">
              <w:t>forums and conferences.</w:t>
            </w:r>
          </w:p>
        </w:tc>
        <w:tc>
          <w:tcPr>
            <w:tcW w:w="1274" w:type="pct"/>
            <w:tcBorders>
              <w:top w:val="single" w:sz="4" w:space="0" w:color="auto"/>
              <w:bottom w:val="single" w:sz="4" w:space="0" w:color="auto"/>
            </w:tcBorders>
          </w:tcPr>
          <w:p w14:paraId="4096B0F5" w14:textId="2466931F" w:rsidR="00CF32CD" w:rsidRPr="00AC04B2" w:rsidRDefault="007A1959" w:rsidP="0061718D">
            <w:pPr>
              <w:pStyle w:val="TableBodySmall"/>
              <w:keepNext/>
            </w:pPr>
            <w:r>
              <w:t>Ongoing</w:t>
            </w:r>
          </w:p>
        </w:tc>
      </w:tr>
    </w:tbl>
    <w:p w14:paraId="4B8EB160" w14:textId="77777777" w:rsidR="0064778A" w:rsidRPr="00AC04B2" w:rsidRDefault="0064778A" w:rsidP="0061718D">
      <w:pPr>
        <w:pStyle w:val="Body"/>
        <w:keepNext/>
      </w:pPr>
    </w:p>
    <w:p w14:paraId="3C377B1B" w14:textId="3E598E79" w:rsidR="0064778A" w:rsidRDefault="009C3E9B" w:rsidP="0064778A">
      <w:pPr>
        <w:pStyle w:val="Body"/>
        <w:rPr>
          <w:b/>
          <w:bCs/>
        </w:rPr>
      </w:pPr>
      <w:r>
        <w:rPr>
          <w:b/>
          <w:bCs/>
        </w:rPr>
        <w:t xml:space="preserve">Aged Care </w:t>
      </w:r>
      <w:r w:rsidR="00D76A31">
        <w:rPr>
          <w:b/>
          <w:bCs/>
        </w:rPr>
        <w:t>Network</w:t>
      </w:r>
    </w:p>
    <w:p w14:paraId="7066AFE2" w14:textId="19CDC5B0" w:rsidR="00497312" w:rsidRDefault="009C3E9B" w:rsidP="00716832">
      <w:pPr>
        <w:pStyle w:val="Body"/>
      </w:pPr>
      <w:r>
        <w:t xml:space="preserve">The Aged Care Network was established in </w:t>
      </w:r>
      <w:r w:rsidR="00716832">
        <w:t xml:space="preserve">August 2025 and </w:t>
      </w:r>
      <w:r w:rsidR="00716832" w:rsidRPr="00716832">
        <w:t>represent</w:t>
      </w:r>
      <w:r w:rsidR="00716832">
        <w:t>s</w:t>
      </w:r>
      <w:r w:rsidR="00716832" w:rsidRPr="00716832">
        <w:t xml:space="preserve"> a consultative forum for IHACPA to seek targeted expert feedback and input on a broad range of matters arising from IHACPA’s annual aged care work program and supplement existing consultation processes through the annual consultation paper and established groups such as the Aged Care Advisory Committee</w:t>
      </w:r>
      <w:r w:rsidR="00716832">
        <w:t>.</w:t>
      </w:r>
    </w:p>
    <w:p w14:paraId="6374FF72" w14:textId="197423AB" w:rsidR="001D0555" w:rsidRDefault="001D0555" w:rsidP="001D0555">
      <w:pPr>
        <w:pStyle w:val="Body"/>
      </w:pPr>
      <w:r>
        <w:t xml:space="preserve">The Aged Care Network </w:t>
      </w:r>
      <w:r w:rsidRPr="001D0555">
        <w:t xml:space="preserve">will foster collaboration and provide a platform for </w:t>
      </w:r>
      <w:r w:rsidR="00EE06CC">
        <w:t>effective</w:t>
      </w:r>
      <w:r w:rsidR="00EE06CC" w:rsidRPr="001D0555">
        <w:t xml:space="preserve"> </w:t>
      </w:r>
      <w:r w:rsidRPr="001D0555">
        <w:t>bilateral communication with the aged care sector, with a focus on expanding representation of special interest groups in aged care cohorts that are currently underrepresented in IHACPA’s public consultations and cost collections, which will improve the quality and representativeness of IHACPA’s pricing and costing advice</w:t>
      </w:r>
      <w:r>
        <w:t>.</w:t>
      </w:r>
    </w:p>
    <w:p w14:paraId="522BA7D1" w14:textId="0DA596A1" w:rsidR="00D64EA8" w:rsidRPr="00DD0FAA" w:rsidRDefault="00D64EA8" w:rsidP="00D64EA8">
      <w:pPr>
        <w:pStyle w:val="Body"/>
        <w:rPr>
          <w:b/>
          <w:bCs/>
        </w:rPr>
      </w:pPr>
      <w:r w:rsidRPr="00DD0FAA">
        <w:rPr>
          <w:b/>
          <w:bCs/>
        </w:rPr>
        <w:t>Aged care forums and conferences</w:t>
      </w:r>
    </w:p>
    <w:p w14:paraId="6FD1ED47" w14:textId="371FD84F" w:rsidR="00D64EA8" w:rsidRPr="00DD0FAA" w:rsidRDefault="00D64EA8" w:rsidP="00D64EA8">
      <w:pPr>
        <w:pStyle w:val="Body"/>
      </w:pPr>
      <w:r w:rsidRPr="00DD0FAA">
        <w:t xml:space="preserve">In 2025–26, IHACPA attended and presented on its aged care work program at </w:t>
      </w:r>
      <w:proofErr w:type="gramStart"/>
      <w:r w:rsidRPr="00DD0FAA">
        <w:t>a number of</w:t>
      </w:r>
      <w:proofErr w:type="gramEnd"/>
      <w:r w:rsidRPr="00DD0FAA">
        <w:t xml:space="preserve"> forums and conferences, including but not limited to the IHACPA Conference, the Ageing Australia State and National Conferences, the National CHSP Conference, the Australian Community Transport Association National Conference and the Patient Classification Systems International </w:t>
      </w:r>
      <w:r w:rsidR="002D5C4D">
        <w:t>C</w:t>
      </w:r>
      <w:r w:rsidRPr="00DD0FAA">
        <w:t>onference.</w:t>
      </w:r>
    </w:p>
    <w:p w14:paraId="6388B7F9" w14:textId="6C75CFEE" w:rsidR="00D64EA8" w:rsidRPr="00DD0FAA" w:rsidRDefault="00D64EA8" w:rsidP="00D64EA8">
      <w:pPr>
        <w:pStyle w:val="Body"/>
      </w:pPr>
      <w:r w:rsidRPr="00DD0FAA">
        <w:t>In 2026–27, IHACPA will continue to engage with the aged care sector and enhance IHACPA’s understanding of the sector landscape through aged care forums and conferences</w:t>
      </w:r>
      <w:r w:rsidR="002D5C4D">
        <w:t>.</w:t>
      </w:r>
      <w:r w:rsidRPr="00DD0FAA">
        <w:t xml:space="preserve"> </w:t>
      </w:r>
    </w:p>
    <w:p w14:paraId="7BB4B633" w14:textId="77777777" w:rsidR="007A1959" w:rsidRPr="000362C5" w:rsidRDefault="007A1959" w:rsidP="001D0555">
      <w:pPr>
        <w:pStyle w:val="Body"/>
        <w:rPr>
          <w:b/>
          <w:bCs/>
        </w:rPr>
      </w:pPr>
    </w:p>
    <w:p w14:paraId="05995952" w14:textId="43257612" w:rsidR="00D45F33" w:rsidRPr="00AC04B2" w:rsidRDefault="008E4EF5" w:rsidP="00D05BDE">
      <w:pPr>
        <w:pStyle w:val="TOCHeading"/>
      </w:pPr>
      <w:r>
        <w:br w:type="page"/>
      </w:r>
      <w:bookmarkStart w:id="137" w:name="_Toc223594826"/>
      <w:r w:rsidR="002F0DFD">
        <w:lastRenderedPageBreak/>
        <w:t>4</w:t>
      </w:r>
      <w:r w:rsidR="00D45F33" w:rsidRPr="00AC04B2">
        <w:t>.</w:t>
      </w:r>
      <w:r w:rsidR="00D45F33" w:rsidRPr="00AC04B2">
        <w:tab/>
      </w:r>
      <w:r w:rsidR="00785DFA">
        <w:t xml:space="preserve">Key activities – </w:t>
      </w:r>
      <w:r w:rsidR="002F0DFD" w:rsidRPr="002F0DFD">
        <w:t>Other healthcare pricing and costing</w:t>
      </w:r>
      <w:bookmarkEnd w:id="137"/>
    </w:p>
    <w:p w14:paraId="01D2D3AB" w14:textId="458A22A3" w:rsidR="00401842" w:rsidRPr="00AC04B2" w:rsidRDefault="00401842" w:rsidP="00401842">
      <w:pPr>
        <w:pStyle w:val="Body"/>
      </w:pPr>
      <w:r>
        <w:t xml:space="preserve">Under section 131(1A) of the </w:t>
      </w:r>
      <w:bookmarkStart w:id="138" w:name="_Hlk209177565"/>
      <w:r>
        <w:rPr>
          <w:i/>
          <w:iCs/>
        </w:rPr>
        <w:t xml:space="preserve">National Health Reform Act 2011 </w:t>
      </w:r>
      <w:r>
        <w:t>(the NHR Act)</w:t>
      </w:r>
      <w:bookmarkEnd w:id="138"/>
      <w:r>
        <w:t xml:space="preserve">, the Australian Government Minister for Health and Ageing or the Secretary of the Australian Government Department of Health, </w:t>
      </w:r>
      <w:r w:rsidR="00D76A31">
        <w:t>Disability</w:t>
      </w:r>
      <w:r>
        <w:t xml:space="preserve"> and Ageing may request the</w:t>
      </w:r>
      <w:r w:rsidRPr="00AC04B2">
        <w:t xml:space="preserve"> Independent Health and Aged Care Pricing Authority (IHACPA)</w:t>
      </w:r>
      <w:r>
        <w:t xml:space="preserve"> to advise the </w:t>
      </w:r>
      <w:r w:rsidR="00D76A31">
        <w:t>Australian</w:t>
      </w:r>
      <w:r>
        <w:t xml:space="preserve"> Government in relation to other health care pricing or costing matters. Deliverables associated with such requests are listed below</w:t>
      </w:r>
      <w:r w:rsidRPr="00AC04B2">
        <w:t>.</w:t>
      </w:r>
    </w:p>
    <w:p w14:paraId="2C1129A9" w14:textId="2417FFAA" w:rsidR="00D45F33" w:rsidRPr="00221373" w:rsidRDefault="00052D1A" w:rsidP="00D05BDE">
      <w:pPr>
        <w:pStyle w:val="H2"/>
      </w:pPr>
      <w:bookmarkStart w:id="139" w:name="_Toc223594827"/>
      <w:r w:rsidRPr="00221373">
        <w:t>4</w:t>
      </w:r>
      <w:r w:rsidR="00D45F33" w:rsidRPr="00221373">
        <w:t>.1</w:t>
      </w:r>
      <w:r w:rsidR="00D45F33" w:rsidRPr="00221373">
        <w:tab/>
      </w:r>
      <w:r w:rsidRPr="00221373">
        <w:t xml:space="preserve">Deliverables under section 131(1A) of the </w:t>
      </w:r>
      <w:r w:rsidRPr="00221373">
        <w:rPr>
          <w:i/>
          <w:iCs/>
        </w:rPr>
        <w:t>National Health Reform Act 2011</w:t>
      </w:r>
      <w:bookmarkEnd w:id="139"/>
    </w:p>
    <w:p w14:paraId="7EB0D4E2" w14:textId="77777777" w:rsidR="006A38E0" w:rsidRPr="00A133F0" w:rsidRDefault="006A38E0" w:rsidP="006A38E0">
      <w:pPr>
        <w:pStyle w:val="H4-List"/>
        <w:keepNext/>
        <w:numPr>
          <w:ilvl w:val="0"/>
          <w:numId w:val="39"/>
        </w:numPr>
        <w:rPr>
          <w:rFonts w:ascii="Arial" w:hAnsi="Arial"/>
        </w:rPr>
      </w:pPr>
      <w:r w:rsidRPr="00A133F0">
        <w:rPr>
          <w:rFonts w:ascii="Arial" w:hAnsi="Arial"/>
        </w:rPr>
        <w:t>Prescribed List reform</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6A38E0" w:rsidRPr="00AC04B2" w14:paraId="57D5D73C" w14:textId="77777777" w:rsidTr="00F852AC">
        <w:tc>
          <w:tcPr>
            <w:tcW w:w="3726" w:type="pct"/>
            <w:tcBorders>
              <w:top w:val="nil"/>
              <w:bottom w:val="nil"/>
            </w:tcBorders>
            <w:shd w:val="clear" w:color="auto" w:fill="15272F" w:themeFill="text2"/>
            <w:vAlign w:val="center"/>
          </w:tcPr>
          <w:p w14:paraId="60E3DEB5" w14:textId="77777777" w:rsidR="006A38E0" w:rsidRPr="00AC04B2" w:rsidRDefault="006A38E0" w:rsidP="00204BDB">
            <w:pPr>
              <w:pStyle w:val="TableHeading"/>
              <w:keepNext/>
            </w:pPr>
            <w:r w:rsidRPr="00AC04B2">
              <w:t>Deliverable</w:t>
            </w:r>
          </w:p>
        </w:tc>
        <w:tc>
          <w:tcPr>
            <w:tcW w:w="1274" w:type="pct"/>
            <w:tcBorders>
              <w:top w:val="nil"/>
              <w:bottom w:val="nil"/>
            </w:tcBorders>
            <w:shd w:val="clear" w:color="auto" w:fill="15272F" w:themeFill="text2"/>
            <w:vAlign w:val="center"/>
          </w:tcPr>
          <w:p w14:paraId="20E3A24B" w14:textId="77777777" w:rsidR="006A38E0" w:rsidRPr="00AC04B2" w:rsidRDefault="006A38E0" w:rsidP="00204BDB">
            <w:pPr>
              <w:pStyle w:val="TableHeading"/>
              <w:keepNext/>
            </w:pPr>
            <w:r w:rsidRPr="00AC04B2">
              <w:t>Timeframe</w:t>
            </w:r>
          </w:p>
        </w:tc>
      </w:tr>
      <w:tr w:rsidR="006A38E0" w:rsidRPr="00AC04B2" w14:paraId="7CFE0B12" w14:textId="77777777" w:rsidTr="00204BDB">
        <w:trPr>
          <w:trHeight w:val="256"/>
        </w:trPr>
        <w:tc>
          <w:tcPr>
            <w:tcW w:w="3726" w:type="pct"/>
            <w:tcBorders>
              <w:top w:val="nil"/>
              <w:bottom w:val="single" w:sz="4" w:space="0" w:color="auto"/>
            </w:tcBorders>
          </w:tcPr>
          <w:p w14:paraId="41AEF748" w14:textId="77777777" w:rsidR="006A38E0" w:rsidRPr="00AC04B2" w:rsidRDefault="006A38E0" w:rsidP="00204BDB">
            <w:pPr>
              <w:pStyle w:val="TableBodySmall"/>
              <w:keepNext/>
            </w:pPr>
            <w:bookmarkStart w:id="140" w:name="_Hlk126658035"/>
            <w:r w:rsidRPr="00AC04B2">
              <w:t>Provide advice</w:t>
            </w:r>
            <w:r>
              <w:t>,</w:t>
            </w:r>
            <w:r w:rsidRPr="00AC04B2">
              <w:t xml:space="preserve"> as requested</w:t>
            </w:r>
            <w:r>
              <w:t>,</w:t>
            </w:r>
            <w:r w:rsidRPr="00AC04B2">
              <w:t xml:space="preserve"> to the </w:t>
            </w:r>
            <w:r>
              <w:t>Australian Government Department of Health, Disability and Ageing</w:t>
            </w:r>
            <w:r w:rsidRPr="00AC04B2">
              <w:t xml:space="preserve"> to support the </w:t>
            </w:r>
            <w:r>
              <w:t>Prescribed</w:t>
            </w:r>
            <w:r w:rsidRPr="00AC04B2">
              <w:t xml:space="preserve"> List reforms.</w:t>
            </w:r>
          </w:p>
        </w:tc>
        <w:tc>
          <w:tcPr>
            <w:tcW w:w="1274" w:type="pct"/>
            <w:tcBorders>
              <w:top w:val="nil"/>
              <w:bottom w:val="single" w:sz="4" w:space="0" w:color="auto"/>
            </w:tcBorders>
          </w:tcPr>
          <w:p w14:paraId="705160DE" w14:textId="77777777" w:rsidR="006A38E0" w:rsidRPr="00AC04B2" w:rsidRDefault="006A38E0" w:rsidP="00204BDB">
            <w:pPr>
              <w:pStyle w:val="TableBodySmall"/>
              <w:keepNext/>
            </w:pPr>
            <w:r w:rsidRPr="00AC04B2">
              <w:t>Ongoing</w:t>
            </w:r>
          </w:p>
        </w:tc>
      </w:tr>
      <w:bookmarkEnd w:id="140"/>
    </w:tbl>
    <w:p w14:paraId="38FBBD6E" w14:textId="77777777" w:rsidR="006A38E0" w:rsidRDefault="006A38E0" w:rsidP="006A38E0">
      <w:pPr>
        <w:pStyle w:val="Body"/>
      </w:pPr>
    </w:p>
    <w:p w14:paraId="2C9F0399" w14:textId="61C86A41" w:rsidR="006A38E0" w:rsidRPr="000362C5" w:rsidRDefault="006A38E0" w:rsidP="006A38E0">
      <w:pPr>
        <w:pStyle w:val="Body"/>
        <w:rPr>
          <w:b/>
          <w:bCs/>
        </w:rPr>
      </w:pPr>
      <w:r w:rsidRPr="000362C5">
        <w:rPr>
          <w:b/>
          <w:bCs/>
        </w:rPr>
        <w:t xml:space="preserve">The </w:t>
      </w:r>
      <w:r>
        <w:rPr>
          <w:b/>
          <w:bCs/>
        </w:rPr>
        <w:t>Prescribed</w:t>
      </w:r>
      <w:r w:rsidRPr="000362C5">
        <w:rPr>
          <w:b/>
          <w:bCs/>
        </w:rPr>
        <w:t xml:space="preserve"> List is a schedule of medical devices and benefits that defines the minimum amount private health insurers are required to pay hospitals that utilise these devices in the provision of care to privately insured individuals. The </w:t>
      </w:r>
      <w:r>
        <w:rPr>
          <w:b/>
          <w:bCs/>
        </w:rPr>
        <w:t>Prescribed</w:t>
      </w:r>
      <w:r w:rsidRPr="000362C5">
        <w:rPr>
          <w:b/>
          <w:bCs/>
        </w:rPr>
        <w:t xml:space="preserve"> List forms part of the Private Health Insurance (Prostheses) Rules, which is a legislative instrument made under the </w:t>
      </w:r>
      <w:r w:rsidRPr="000362C5">
        <w:rPr>
          <w:b/>
          <w:bCs/>
          <w:i/>
          <w:iCs/>
        </w:rPr>
        <w:t xml:space="preserve">Private Health Insurance Act 2007. </w:t>
      </w:r>
    </w:p>
    <w:p w14:paraId="6B59C7DE" w14:textId="77777777" w:rsidR="006A38E0" w:rsidRPr="00AC04B2" w:rsidRDefault="006A38E0" w:rsidP="006A38E0">
      <w:pPr>
        <w:pStyle w:val="Body"/>
      </w:pPr>
      <w:r w:rsidRPr="00AC04B2">
        <w:t xml:space="preserve">In 2021, the </w:t>
      </w:r>
      <w:r>
        <w:t>Australian Government Department of Health, Disability and Ageing</w:t>
      </w:r>
      <w:r w:rsidRPr="00AC04B2">
        <w:t xml:space="preserve"> commenced four years of reform activity to improve the </w:t>
      </w:r>
      <w:r>
        <w:t>Prescribed</w:t>
      </w:r>
      <w:r w:rsidRPr="00AC04B2">
        <w:t xml:space="preserve"> List and its arrangements. These reforms include changes aimed at improving the alignment of the </w:t>
      </w:r>
      <w:r>
        <w:t>Prescribed</w:t>
      </w:r>
      <w:r w:rsidRPr="00AC04B2">
        <w:t xml:space="preserve"> List scheduled benefits with prices paid in the public hospital system, streamlining the administration of the list, and better defining the purpose and scope of the </w:t>
      </w:r>
      <w:r>
        <w:t>Prescribed</w:t>
      </w:r>
      <w:r w:rsidRPr="00AC04B2">
        <w:t xml:space="preserve"> List. Revisions to the purpose and scope of the </w:t>
      </w:r>
      <w:r>
        <w:t>Prescribed</w:t>
      </w:r>
      <w:r w:rsidRPr="00AC04B2">
        <w:t xml:space="preserve"> List aim to provide greater clarity and certainty about which items are eligible for inclusion on the </w:t>
      </w:r>
      <w:r>
        <w:t>Prescribed</w:t>
      </w:r>
      <w:r w:rsidRPr="00AC04B2">
        <w:t xml:space="preserve"> List.</w:t>
      </w:r>
    </w:p>
    <w:p w14:paraId="6E556DD5" w14:textId="77777777" w:rsidR="006A38E0" w:rsidRPr="00AC04B2" w:rsidRDefault="006A38E0" w:rsidP="006A38E0">
      <w:pPr>
        <w:pStyle w:val="Body"/>
      </w:pPr>
      <w:r w:rsidRPr="00AC04B2">
        <w:t xml:space="preserve">To support the implementation of the </w:t>
      </w:r>
      <w:r>
        <w:t>Prescribed</w:t>
      </w:r>
      <w:r w:rsidRPr="00AC04B2">
        <w:t xml:space="preserve"> List reforms, IHACPA established a </w:t>
      </w:r>
      <w:hyperlink r:id="rId28" w:history="1">
        <w:r w:rsidRPr="00C95AF1">
          <w:rPr>
            <w:color w:val="008F55" w:themeColor="accent4"/>
            <w:u w:val="single"/>
          </w:rPr>
          <w:t>public benchmark price for prostheses in Australian public hospitals</w:t>
        </w:r>
      </w:hyperlink>
      <w:r w:rsidRPr="00AC04B2">
        <w:t xml:space="preserve">. This public benchmark price informed benefit reductions </w:t>
      </w:r>
      <w:r>
        <w:t xml:space="preserve">that have been </w:t>
      </w:r>
      <w:r w:rsidRPr="00AC04B2">
        <w:t xml:space="preserve">implemented in the </w:t>
      </w:r>
      <w:r>
        <w:t>Prescribed</w:t>
      </w:r>
      <w:r w:rsidRPr="00AC04B2">
        <w:t xml:space="preserve"> List.</w:t>
      </w:r>
    </w:p>
    <w:p w14:paraId="5E636AA8" w14:textId="77777777" w:rsidR="006A38E0" w:rsidRPr="00F14C55" w:rsidRDefault="006A38E0" w:rsidP="006A38E0">
      <w:pPr>
        <w:pStyle w:val="Body"/>
      </w:pPr>
      <w:r>
        <w:t>In September 2024, t</w:t>
      </w:r>
      <w:r w:rsidRPr="00F14C55">
        <w:t xml:space="preserve">o further support the </w:t>
      </w:r>
      <w:r>
        <w:t>Prescribed</w:t>
      </w:r>
      <w:r w:rsidRPr="00F14C55">
        <w:t xml:space="preserve"> List reforms, IHACPA provide</w:t>
      </w:r>
      <w:r>
        <w:t>d</w:t>
      </w:r>
      <w:r w:rsidRPr="00F14C55">
        <w:t xml:space="preserve"> advice </w:t>
      </w:r>
      <w:r>
        <w:t xml:space="preserve">to the Australian Government Department of Health, Disability and Ageing </w:t>
      </w:r>
      <w:r w:rsidRPr="00F14C55">
        <w:t xml:space="preserve">on </w:t>
      </w:r>
      <w:r>
        <w:t xml:space="preserve">updated estimates of projected benefits and savings associated with </w:t>
      </w:r>
      <w:r w:rsidRPr="00F14C55">
        <w:t xml:space="preserve">the </w:t>
      </w:r>
      <w:r>
        <w:t>Prescribed</w:t>
      </w:r>
      <w:r w:rsidRPr="00F14C55">
        <w:t xml:space="preserve"> List</w:t>
      </w:r>
      <w:r>
        <w:t xml:space="preserve"> reforms</w:t>
      </w:r>
      <w:r w:rsidRPr="00F14C55">
        <w:t xml:space="preserve">. </w:t>
      </w:r>
    </w:p>
    <w:p w14:paraId="44AAD026" w14:textId="56F823C6" w:rsidR="00F0250A" w:rsidRDefault="006A38E0" w:rsidP="005C61D8">
      <w:pPr>
        <w:pStyle w:val="Body"/>
      </w:pPr>
      <w:r w:rsidRPr="00AC04B2">
        <w:t xml:space="preserve">IHACPA will continue to work with the </w:t>
      </w:r>
      <w:r>
        <w:t>Australian Government Department of Health, Disability and Ageing</w:t>
      </w:r>
      <w:r w:rsidRPr="00AC04B2">
        <w:t xml:space="preserve"> and key stakeholders to support the </w:t>
      </w:r>
      <w:r>
        <w:t>Prescribed</w:t>
      </w:r>
      <w:r w:rsidRPr="00AC04B2">
        <w:t xml:space="preserve"> </w:t>
      </w:r>
      <w:r w:rsidRPr="00E0109F">
        <w:t>List reforms in 202</w:t>
      </w:r>
      <w:r w:rsidR="00C76704" w:rsidRPr="00E0109F">
        <w:t>6</w:t>
      </w:r>
      <w:r w:rsidRPr="00E0109F">
        <w:t>–2</w:t>
      </w:r>
      <w:r w:rsidR="00C76704" w:rsidRPr="00E0109F">
        <w:t>7</w:t>
      </w:r>
      <w:r w:rsidRPr="00E0109F">
        <w:t>.</w:t>
      </w:r>
    </w:p>
    <w:p w14:paraId="7B040499" w14:textId="7A1DA09F" w:rsidR="00ED19FF" w:rsidRPr="00F0250A" w:rsidRDefault="00F0250A" w:rsidP="00F52C1C">
      <w:r>
        <w:br w:type="page"/>
      </w:r>
    </w:p>
    <w:p w14:paraId="52DEE5E5" w14:textId="77777777" w:rsidR="006E29F6" w:rsidRPr="0084434E" w:rsidRDefault="006E29F6" w:rsidP="006E29F6">
      <w:pPr>
        <w:pStyle w:val="H4"/>
      </w:pPr>
      <w:r>
        <w:lastRenderedPageBreak/>
        <w:t xml:space="preserve">Radiation oncology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6E29F6" w:rsidRPr="00AC04B2" w14:paraId="3DCAB3A5" w14:textId="77777777" w:rsidTr="00F852AC">
        <w:tc>
          <w:tcPr>
            <w:tcW w:w="3726" w:type="pct"/>
            <w:tcBorders>
              <w:top w:val="nil"/>
              <w:bottom w:val="nil"/>
            </w:tcBorders>
            <w:shd w:val="clear" w:color="auto" w:fill="15272F"/>
            <w:vAlign w:val="center"/>
          </w:tcPr>
          <w:p w14:paraId="4C26628C" w14:textId="77777777" w:rsidR="006E29F6" w:rsidRPr="00AC04B2" w:rsidRDefault="006E29F6" w:rsidP="0071471C">
            <w:pPr>
              <w:pStyle w:val="TableHeading"/>
            </w:pPr>
            <w:r w:rsidRPr="00AC04B2">
              <w:t>Deliverable</w:t>
            </w:r>
          </w:p>
        </w:tc>
        <w:tc>
          <w:tcPr>
            <w:tcW w:w="1274" w:type="pct"/>
            <w:tcBorders>
              <w:top w:val="nil"/>
              <w:bottom w:val="nil"/>
            </w:tcBorders>
            <w:shd w:val="clear" w:color="auto" w:fill="15272F"/>
            <w:vAlign w:val="center"/>
          </w:tcPr>
          <w:p w14:paraId="779F8553" w14:textId="77777777" w:rsidR="006E29F6" w:rsidRPr="00AC04B2" w:rsidRDefault="006E29F6" w:rsidP="0071471C">
            <w:pPr>
              <w:pStyle w:val="TableHeading"/>
            </w:pPr>
            <w:r w:rsidRPr="00AC04B2">
              <w:t>Timeframe</w:t>
            </w:r>
          </w:p>
        </w:tc>
      </w:tr>
      <w:tr w:rsidR="006E29F6" w:rsidRPr="00AC04B2" w14:paraId="38A5C546" w14:textId="77777777" w:rsidTr="005A182C">
        <w:trPr>
          <w:trHeight w:val="236"/>
        </w:trPr>
        <w:tc>
          <w:tcPr>
            <w:tcW w:w="3726" w:type="pct"/>
            <w:tcBorders>
              <w:top w:val="nil"/>
              <w:bottom w:val="single" w:sz="2" w:space="0" w:color="auto"/>
            </w:tcBorders>
          </w:tcPr>
          <w:p w14:paraId="245A8966" w14:textId="43CE6BF6" w:rsidR="006E29F6" w:rsidRPr="00AC04B2" w:rsidRDefault="006E29F6" w:rsidP="0071471C">
            <w:pPr>
              <w:pStyle w:val="TableBodySmall"/>
            </w:pPr>
            <w:r>
              <w:t>Undertake a project to understand the cost of delivery of radiation oncology services</w:t>
            </w:r>
            <w:r w:rsidR="00A840C3">
              <w:t>.</w:t>
            </w:r>
          </w:p>
        </w:tc>
        <w:tc>
          <w:tcPr>
            <w:tcW w:w="1274" w:type="pct"/>
            <w:tcBorders>
              <w:top w:val="nil"/>
              <w:bottom w:val="single" w:sz="2" w:space="0" w:color="auto"/>
            </w:tcBorders>
          </w:tcPr>
          <w:p w14:paraId="4055DA55" w14:textId="77777777" w:rsidR="006E29F6" w:rsidRPr="00AC04B2" w:rsidRDefault="006E29F6" w:rsidP="0071471C">
            <w:pPr>
              <w:pStyle w:val="TableBodySmall"/>
            </w:pPr>
            <w:r>
              <w:t>March 2027</w:t>
            </w:r>
          </w:p>
        </w:tc>
      </w:tr>
    </w:tbl>
    <w:p w14:paraId="4A8DD277" w14:textId="77777777" w:rsidR="006E29F6" w:rsidRDefault="006E29F6" w:rsidP="006E29F6">
      <w:pPr>
        <w:pStyle w:val="IntroBody"/>
      </w:pPr>
    </w:p>
    <w:p w14:paraId="366942D8" w14:textId="525C6573" w:rsidR="003557E8" w:rsidRPr="00AC04B2" w:rsidRDefault="002531E5" w:rsidP="006E29F6">
      <w:pPr>
        <w:pStyle w:val="IntroBody"/>
      </w:pPr>
      <w:r>
        <w:t xml:space="preserve">In June 2025, IHACPA received a request from the Minister for Health and Ageing </w:t>
      </w:r>
      <w:r w:rsidR="003557E8">
        <w:t xml:space="preserve">under section </w:t>
      </w:r>
      <w:r w:rsidR="000309CE">
        <w:t>1</w:t>
      </w:r>
      <w:r w:rsidR="003557E8">
        <w:t xml:space="preserve">31 (1A) of the NHR Act </w:t>
      </w:r>
      <w:r>
        <w:t>to investigate the cost of provision of radiation oncology services</w:t>
      </w:r>
      <w:r w:rsidR="003557E8">
        <w:t>.</w:t>
      </w:r>
    </w:p>
    <w:p w14:paraId="6E2B7DDD" w14:textId="202F38D6" w:rsidR="006E29F6" w:rsidRDefault="006E29F6" w:rsidP="00A840C3">
      <w:pPr>
        <w:pStyle w:val="Body"/>
      </w:pPr>
      <w:r w:rsidRPr="00DC6EC6">
        <w:t xml:space="preserve">The purpose of the project is to investigate a </w:t>
      </w:r>
      <w:r w:rsidR="00044ECE">
        <w:t xml:space="preserve">reported </w:t>
      </w:r>
      <w:r w:rsidRPr="00DC6EC6">
        <w:t xml:space="preserve">disparity in the cost and funding of these services under the </w:t>
      </w:r>
      <w:r w:rsidR="003557E8">
        <w:t>National Health Reform Agreement</w:t>
      </w:r>
      <w:r w:rsidRPr="00DC6EC6">
        <w:t xml:space="preserve">. </w:t>
      </w:r>
    </w:p>
    <w:p w14:paraId="2617B190" w14:textId="50A56411" w:rsidR="003557E8" w:rsidRDefault="003557E8" w:rsidP="006E29F6">
      <w:pPr>
        <w:pStyle w:val="Body"/>
      </w:pPr>
      <w:r>
        <w:t xml:space="preserve">The project aims </w:t>
      </w:r>
      <w:r w:rsidRPr="00E0109F">
        <w:t xml:space="preserve">to </w:t>
      </w:r>
      <w:r w:rsidR="00A840C3" w:rsidRPr="00E0109F">
        <w:t>identify the true and full costs of public radiation oncology services and to consider the results of that cost review in relation t</w:t>
      </w:r>
      <w:r w:rsidR="00190F48" w:rsidRPr="00E0109F">
        <w:t>o radiation oncology</w:t>
      </w:r>
      <w:r w:rsidR="00A840C3" w:rsidRPr="00E0109F">
        <w:t xml:space="preserve"> price</w:t>
      </w:r>
      <w:r w:rsidR="00190F48" w:rsidRPr="00E0109F">
        <w:t xml:space="preserve"> weights determined by the Pricing Authority as part of the National Efficient Price Determination</w:t>
      </w:r>
      <w:r w:rsidR="00A840C3" w:rsidRPr="00E0109F">
        <w:t>.</w:t>
      </w:r>
    </w:p>
    <w:p w14:paraId="559A4638" w14:textId="2259965E" w:rsidR="002531E5" w:rsidRDefault="002531E5" w:rsidP="006E29F6">
      <w:pPr>
        <w:pStyle w:val="Body"/>
      </w:pPr>
      <w:r>
        <w:t>The project commenced in November 2025 and is expected to be completed by March 2027.</w:t>
      </w:r>
    </w:p>
    <w:p w14:paraId="1CC51C0F" w14:textId="77777777" w:rsidR="00ED19FF" w:rsidRDefault="00ED19FF">
      <w:pPr>
        <w:rPr>
          <w:rFonts w:ascii="Arial" w:hAnsi="Arial" w:cs="Arial"/>
          <w:sz w:val="20"/>
          <w:szCs w:val="20"/>
        </w:rPr>
      </w:pPr>
      <w:r>
        <w:br w:type="page"/>
      </w:r>
    </w:p>
    <w:p w14:paraId="625C5431" w14:textId="579551F9" w:rsidR="009E5040" w:rsidRPr="00AC04B2" w:rsidRDefault="009E5040" w:rsidP="00D05BDE">
      <w:pPr>
        <w:pStyle w:val="TOCHeading"/>
      </w:pPr>
      <w:bookmarkStart w:id="141" w:name="_Toc223594828"/>
      <w:r>
        <w:lastRenderedPageBreak/>
        <w:t>5</w:t>
      </w:r>
      <w:r w:rsidRPr="00AC04B2">
        <w:t>.</w:t>
      </w:r>
      <w:r w:rsidRPr="00AC04B2">
        <w:tab/>
      </w:r>
      <w:r w:rsidR="00785DFA">
        <w:t xml:space="preserve">Key activities – </w:t>
      </w:r>
      <w:r>
        <w:t>Agency</w:t>
      </w:r>
      <w:bookmarkEnd w:id="141"/>
    </w:p>
    <w:p w14:paraId="3B441E4A" w14:textId="2C9A24E3" w:rsidR="00424E0A" w:rsidRPr="003A0C54" w:rsidRDefault="00424E0A" w:rsidP="00424E0A">
      <w:pPr>
        <w:rPr>
          <w:rFonts w:ascii="Arial" w:hAnsi="Arial" w:cs="Arial"/>
          <w:sz w:val="20"/>
          <w:szCs w:val="20"/>
        </w:rPr>
      </w:pPr>
      <w:r w:rsidRPr="003A0C54">
        <w:rPr>
          <w:rFonts w:ascii="Arial" w:hAnsi="Arial" w:cs="Arial"/>
          <w:sz w:val="20"/>
          <w:szCs w:val="20"/>
        </w:rPr>
        <w:t xml:space="preserve">The Independent Health and Aged Care Pricing Authority’s (IHACPA) deliverables </w:t>
      </w:r>
      <w:r w:rsidR="00970391" w:rsidRPr="003A0C54">
        <w:rPr>
          <w:rFonts w:ascii="Arial" w:hAnsi="Arial" w:cs="Arial"/>
          <w:sz w:val="20"/>
          <w:szCs w:val="20"/>
        </w:rPr>
        <w:t xml:space="preserve">for 2026–27 </w:t>
      </w:r>
      <w:r w:rsidR="00190F48" w:rsidRPr="007104DB">
        <w:rPr>
          <w:rFonts w:ascii="Arial" w:hAnsi="Arial" w:cs="Arial"/>
          <w:sz w:val="20"/>
          <w:szCs w:val="20"/>
        </w:rPr>
        <w:t>pertaining to</w:t>
      </w:r>
      <w:r w:rsidR="00BC5143" w:rsidRPr="007104DB">
        <w:rPr>
          <w:rFonts w:ascii="Arial" w:hAnsi="Arial" w:cs="Arial"/>
          <w:sz w:val="20"/>
          <w:szCs w:val="20"/>
        </w:rPr>
        <w:t xml:space="preserve"> the agency</w:t>
      </w:r>
      <w:r w:rsidR="00190F48" w:rsidRPr="007104DB">
        <w:rPr>
          <w:rFonts w:ascii="Arial" w:hAnsi="Arial" w:cs="Arial"/>
          <w:sz w:val="20"/>
          <w:szCs w:val="20"/>
        </w:rPr>
        <w:t xml:space="preserve"> as a whole</w:t>
      </w:r>
      <w:r w:rsidR="008C6ACB">
        <w:rPr>
          <w:rFonts w:ascii="Arial" w:hAnsi="Arial" w:cs="Arial"/>
          <w:sz w:val="20"/>
          <w:szCs w:val="20"/>
        </w:rPr>
        <w:t xml:space="preserve">, including those prescribed by the </w:t>
      </w:r>
      <w:r w:rsidR="008C6ACB" w:rsidRPr="008C6ACB">
        <w:rPr>
          <w:rFonts w:ascii="Arial" w:hAnsi="Arial" w:cs="Arial"/>
          <w:i/>
          <w:iCs/>
          <w:sz w:val="20"/>
          <w:szCs w:val="20"/>
        </w:rPr>
        <w:t>National Health Reform Act 2011</w:t>
      </w:r>
      <w:r w:rsidR="008C6ACB" w:rsidRPr="008C6ACB">
        <w:rPr>
          <w:rFonts w:ascii="Arial" w:hAnsi="Arial" w:cs="Arial"/>
          <w:sz w:val="20"/>
          <w:szCs w:val="20"/>
        </w:rPr>
        <w:t xml:space="preserve"> (the NHR Act)</w:t>
      </w:r>
      <w:r w:rsidR="008C6ACB">
        <w:rPr>
          <w:rFonts w:ascii="Arial" w:hAnsi="Arial" w:cs="Arial"/>
          <w:sz w:val="20"/>
          <w:szCs w:val="20"/>
        </w:rPr>
        <w:t xml:space="preserve">, the Addendum to the National Health Reform Agreement 2020–26 (the addendum) and the </w:t>
      </w:r>
      <w:r w:rsidR="008C6ACB" w:rsidRPr="008C6ACB">
        <w:rPr>
          <w:rFonts w:ascii="Arial" w:hAnsi="Arial" w:cs="Arial"/>
          <w:i/>
          <w:iCs/>
          <w:sz w:val="20"/>
          <w:szCs w:val="20"/>
        </w:rPr>
        <w:t>Aged Care Act 2024</w:t>
      </w:r>
      <w:r w:rsidR="008C6ACB">
        <w:rPr>
          <w:rFonts w:ascii="Arial" w:hAnsi="Arial" w:cs="Arial"/>
          <w:sz w:val="20"/>
          <w:szCs w:val="20"/>
        </w:rPr>
        <w:t xml:space="preserve"> (the Aged Care Act),</w:t>
      </w:r>
      <w:r w:rsidRPr="003A0C54">
        <w:rPr>
          <w:rFonts w:ascii="Arial" w:hAnsi="Arial" w:cs="Arial"/>
          <w:sz w:val="20"/>
          <w:szCs w:val="20"/>
        </w:rPr>
        <w:t xml:space="preserve"> are listed below.</w:t>
      </w:r>
    </w:p>
    <w:p w14:paraId="04CC9D84" w14:textId="17BD897C" w:rsidR="009E5040" w:rsidRPr="0031590A" w:rsidRDefault="00A45CC9" w:rsidP="00D05BDE">
      <w:pPr>
        <w:pStyle w:val="H2"/>
      </w:pPr>
      <w:bookmarkStart w:id="142" w:name="_Toc223594829"/>
      <w:r w:rsidRPr="00E0109F">
        <w:t>5</w:t>
      </w:r>
      <w:r w:rsidR="009E5040" w:rsidRPr="00E0109F">
        <w:t>.1</w:t>
      </w:r>
      <w:r w:rsidR="009E5040" w:rsidRPr="00E0109F">
        <w:tab/>
      </w:r>
      <w:r w:rsidR="00377973" w:rsidRPr="00E0109F">
        <w:t xml:space="preserve">Data </w:t>
      </w:r>
      <w:r w:rsidR="00190F48" w:rsidRPr="00E0109F">
        <w:t xml:space="preserve">and information </w:t>
      </w:r>
      <w:r w:rsidR="00377973" w:rsidRPr="00E0109F">
        <w:t>requirements</w:t>
      </w:r>
      <w:bookmarkEnd w:id="142"/>
    </w:p>
    <w:p w14:paraId="1DD791FB" w14:textId="5D502041" w:rsidR="00273D44" w:rsidRPr="00AC04B2" w:rsidRDefault="00273D44" w:rsidP="005C6BC3">
      <w:pPr>
        <w:pStyle w:val="H4"/>
        <w:numPr>
          <w:ilvl w:val="0"/>
          <w:numId w:val="40"/>
        </w:numPr>
        <w:ind w:left="357" w:hanging="357"/>
      </w:pPr>
      <w:r w:rsidRPr="00AC04B2">
        <w:t>Three Year Data Plan</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273D44" w:rsidRPr="00AC04B2" w14:paraId="2469D524" w14:textId="77777777" w:rsidTr="00204BDB">
        <w:tc>
          <w:tcPr>
            <w:tcW w:w="3726" w:type="pct"/>
            <w:tcBorders>
              <w:top w:val="nil"/>
              <w:bottom w:val="nil"/>
            </w:tcBorders>
            <w:shd w:val="clear" w:color="auto" w:fill="0080C4" w:themeFill="accent3"/>
            <w:vAlign w:val="center"/>
          </w:tcPr>
          <w:p w14:paraId="72081C27" w14:textId="77777777" w:rsidR="00273D44" w:rsidRPr="00AC04B2" w:rsidRDefault="00273D44" w:rsidP="00204BDB">
            <w:pPr>
              <w:pStyle w:val="TableHeading"/>
            </w:pPr>
            <w:r w:rsidRPr="00AC04B2">
              <w:t>Deliverable</w:t>
            </w:r>
          </w:p>
        </w:tc>
        <w:tc>
          <w:tcPr>
            <w:tcW w:w="1274" w:type="pct"/>
            <w:tcBorders>
              <w:top w:val="nil"/>
              <w:bottom w:val="nil"/>
            </w:tcBorders>
            <w:shd w:val="clear" w:color="auto" w:fill="0080C4" w:themeFill="accent3"/>
            <w:vAlign w:val="center"/>
          </w:tcPr>
          <w:p w14:paraId="3C2CF96E" w14:textId="77777777" w:rsidR="00273D44" w:rsidRPr="00AC04B2" w:rsidRDefault="00273D44" w:rsidP="00204BDB">
            <w:pPr>
              <w:pStyle w:val="TableHeading"/>
            </w:pPr>
            <w:r w:rsidRPr="00AC04B2">
              <w:t>Timeframe</w:t>
            </w:r>
          </w:p>
        </w:tc>
      </w:tr>
      <w:tr w:rsidR="00273D44" w:rsidRPr="00AC04B2" w14:paraId="3CC89596" w14:textId="77777777" w:rsidTr="00204BDB">
        <w:trPr>
          <w:trHeight w:val="236"/>
        </w:trPr>
        <w:tc>
          <w:tcPr>
            <w:tcW w:w="3726" w:type="pct"/>
            <w:tcBorders>
              <w:top w:val="nil"/>
              <w:bottom w:val="single" w:sz="4" w:space="0" w:color="auto"/>
            </w:tcBorders>
          </w:tcPr>
          <w:p w14:paraId="0B229A4D" w14:textId="6CBCC752" w:rsidR="00273D44" w:rsidRPr="00AC04B2" w:rsidRDefault="00273D44" w:rsidP="00204BDB">
            <w:pPr>
              <w:pStyle w:val="TableBodySmall"/>
            </w:pPr>
            <w:r w:rsidRPr="00AC04B2">
              <w:t xml:space="preserve">Publish the </w:t>
            </w:r>
            <w:proofErr w:type="gramStart"/>
            <w:r w:rsidRPr="00AC04B2">
              <w:t>Three Year</w:t>
            </w:r>
            <w:proofErr w:type="gramEnd"/>
            <w:r w:rsidRPr="00AC04B2">
              <w:t xml:space="preserve"> Data Plan 202</w:t>
            </w:r>
            <w:r w:rsidR="00620DC1">
              <w:t>7</w:t>
            </w:r>
            <w:r w:rsidRPr="00AC04B2">
              <w:t>–2</w:t>
            </w:r>
            <w:r w:rsidR="00620DC1">
              <w:t>8</w:t>
            </w:r>
            <w:r w:rsidRPr="00AC04B2">
              <w:t xml:space="preserve"> to 202</w:t>
            </w:r>
            <w:r w:rsidR="00082608">
              <w:t>9</w:t>
            </w:r>
            <w:r w:rsidRPr="00AC04B2">
              <w:t>–</w:t>
            </w:r>
            <w:r w:rsidR="00082608">
              <w:t>30</w:t>
            </w:r>
            <w:r w:rsidRPr="00AC04B2">
              <w:t>.</w:t>
            </w:r>
          </w:p>
        </w:tc>
        <w:tc>
          <w:tcPr>
            <w:tcW w:w="1274" w:type="pct"/>
            <w:tcBorders>
              <w:top w:val="nil"/>
              <w:bottom w:val="single" w:sz="4" w:space="0" w:color="auto"/>
            </w:tcBorders>
          </w:tcPr>
          <w:p w14:paraId="498635BE" w14:textId="4749F384" w:rsidR="00273D44" w:rsidRPr="00AC04B2" w:rsidRDefault="00273D44" w:rsidP="00204BDB">
            <w:pPr>
              <w:pStyle w:val="TableBodySmall"/>
            </w:pPr>
            <w:r w:rsidRPr="00AC04B2">
              <w:t>June 202</w:t>
            </w:r>
            <w:r w:rsidR="00082608">
              <w:t>7</w:t>
            </w:r>
          </w:p>
        </w:tc>
      </w:tr>
    </w:tbl>
    <w:p w14:paraId="761F73FB" w14:textId="77777777" w:rsidR="00273D44" w:rsidRDefault="00273D44" w:rsidP="00273D44">
      <w:pPr>
        <w:pStyle w:val="IntroBody"/>
      </w:pPr>
    </w:p>
    <w:p w14:paraId="2FB151E1" w14:textId="2B83B565" w:rsidR="00273D44" w:rsidRPr="00AC04B2" w:rsidRDefault="00273D44" w:rsidP="00273D44">
      <w:pPr>
        <w:pStyle w:val="IntroBody"/>
      </w:pPr>
      <w:r w:rsidRPr="00AC04B2">
        <w:t>IHACPA</w:t>
      </w:r>
      <w:r w:rsidR="008C6ACB">
        <w:t>’s</w:t>
      </w:r>
      <w:r w:rsidRPr="00AC04B2">
        <w:t xml:space="preserve"> Three Year Data Plan communicates the data requirements, data standards and timelines that IHACPA will use to collect </w:t>
      </w:r>
      <w:r w:rsidR="00EF091D">
        <w:t xml:space="preserve">public hospital and aged care services </w:t>
      </w:r>
      <w:r w:rsidRPr="00AC04B2">
        <w:t>data over the coming three years.</w:t>
      </w:r>
    </w:p>
    <w:p w14:paraId="409EFB95" w14:textId="77777777" w:rsidR="00273D44" w:rsidRPr="00AC04B2" w:rsidRDefault="00273D44" w:rsidP="00273D44">
      <w:pPr>
        <w:pStyle w:val="Body"/>
      </w:pPr>
      <w:r w:rsidRPr="00AC04B2">
        <w:t xml:space="preserve">IHACPA supports the concept of ‘single provision, multiple use’ of information to maximise data provision efficiency and continues to align its rolling Three Year Data Plan with the National Health Funding Body’s data plan to support this aim. </w:t>
      </w:r>
    </w:p>
    <w:p w14:paraId="2E264A9D" w14:textId="5F427082" w:rsidR="00273D44" w:rsidRDefault="00273D44" w:rsidP="00273D44">
      <w:pPr>
        <w:pStyle w:val="Body"/>
      </w:pPr>
      <w:r w:rsidRPr="00AC04B2">
        <w:t>In 202</w:t>
      </w:r>
      <w:r w:rsidR="00082608">
        <w:t>6</w:t>
      </w:r>
      <w:r w:rsidRPr="00AC04B2">
        <w:t>–2</w:t>
      </w:r>
      <w:r w:rsidR="00082608">
        <w:t>7</w:t>
      </w:r>
      <w:r w:rsidRPr="00AC04B2">
        <w:t xml:space="preserve">, IHACPA will update the </w:t>
      </w:r>
      <w:proofErr w:type="gramStart"/>
      <w:r w:rsidRPr="00AC04B2">
        <w:t>Three Year</w:t>
      </w:r>
      <w:proofErr w:type="gramEnd"/>
      <w:r w:rsidRPr="00AC04B2">
        <w:t xml:space="preserve"> Data Plan, including data collection requirements for both public hospital and aged care services, and provide it to the Health Chief Executives Forum and the Health Ministers’ Meeting for consideration.</w:t>
      </w:r>
    </w:p>
    <w:p w14:paraId="5EF2FC97" w14:textId="21247DFB" w:rsidR="00D934A5" w:rsidRPr="000A2BE0" w:rsidRDefault="00D934A5" w:rsidP="000A2BE0">
      <w:pPr>
        <w:pStyle w:val="H4-List"/>
        <w:numPr>
          <w:ilvl w:val="0"/>
          <w:numId w:val="58"/>
        </w:numPr>
        <w:rPr>
          <w:rFonts w:ascii="Arial" w:hAnsi="Arial"/>
        </w:rPr>
      </w:pPr>
      <w:r w:rsidRPr="000A2BE0">
        <w:rPr>
          <w:rFonts w:ascii="Arial" w:hAnsi="Arial"/>
        </w:rPr>
        <w:t>Implementation of Data Governance policies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D934A5" w:rsidRPr="00C13E2E" w14:paraId="4C5FCC66" w14:textId="77777777" w:rsidTr="000A2BE0">
        <w:tc>
          <w:tcPr>
            <w:tcW w:w="3726" w:type="pct"/>
            <w:tcBorders>
              <w:top w:val="nil"/>
              <w:bottom w:val="nil"/>
            </w:tcBorders>
            <w:shd w:val="clear" w:color="auto" w:fill="0080C4" w:themeFill="accent3"/>
            <w:vAlign w:val="center"/>
          </w:tcPr>
          <w:p w14:paraId="2AD10AF8" w14:textId="77777777" w:rsidR="00D934A5" w:rsidRPr="00C13E2E" w:rsidRDefault="00D934A5" w:rsidP="00E74F43">
            <w:pPr>
              <w:pStyle w:val="TableHeading"/>
            </w:pPr>
            <w:r w:rsidRPr="00C13E2E">
              <w:t>Deliverable</w:t>
            </w:r>
          </w:p>
        </w:tc>
        <w:tc>
          <w:tcPr>
            <w:tcW w:w="1274" w:type="pct"/>
            <w:tcBorders>
              <w:top w:val="nil"/>
              <w:bottom w:val="nil"/>
            </w:tcBorders>
            <w:shd w:val="clear" w:color="auto" w:fill="0080C4" w:themeFill="accent3"/>
            <w:vAlign w:val="center"/>
          </w:tcPr>
          <w:p w14:paraId="309E84F7" w14:textId="77777777" w:rsidR="00D934A5" w:rsidRPr="00C13E2E" w:rsidRDefault="00D934A5" w:rsidP="00E74F43">
            <w:pPr>
              <w:pStyle w:val="TableHeading"/>
            </w:pPr>
            <w:r w:rsidRPr="00C13E2E">
              <w:t>Timeframe</w:t>
            </w:r>
          </w:p>
        </w:tc>
      </w:tr>
      <w:tr w:rsidR="00D934A5" w:rsidRPr="00C13E2E" w14:paraId="5F8AC576" w14:textId="77777777" w:rsidTr="00E74F43">
        <w:trPr>
          <w:trHeight w:val="236"/>
        </w:trPr>
        <w:tc>
          <w:tcPr>
            <w:tcW w:w="3726" w:type="pct"/>
            <w:tcBorders>
              <w:top w:val="nil"/>
              <w:bottom w:val="single" w:sz="4" w:space="0" w:color="auto"/>
            </w:tcBorders>
          </w:tcPr>
          <w:p w14:paraId="123148A3" w14:textId="77777777" w:rsidR="00D934A5" w:rsidRPr="00C13E2E" w:rsidRDefault="00D934A5" w:rsidP="00E74F43">
            <w:pPr>
              <w:pStyle w:val="TableBodySmall"/>
            </w:pPr>
            <w:r w:rsidRPr="00C13E2E">
              <w:t>Maintain the security of the Secure Data Management System.</w:t>
            </w:r>
          </w:p>
        </w:tc>
        <w:tc>
          <w:tcPr>
            <w:tcW w:w="1274" w:type="pct"/>
            <w:tcBorders>
              <w:top w:val="nil"/>
              <w:bottom w:val="single" w:sz="4" w:space="0" w:color="auto"/>
            </w:tcBorders>
          </w:tcPr>
          <w:p w14:paraId="07BC580E" w14:textId="77777777" w:rsidR="00D934A5" w:rsidRPr="00C13E2E" w:rsidRDefault="00D934A5" w:rsidP="00E74F43">
            <w:pPr>
              <w:pStyle w:val="TableBodySmall"/>
            </w:pPr>
            <w:r w:rsidRPr="00C13E2E">
              <w:t>Ongoing</w:t>
            </w:r>
          </w:p>
        </w:tc>
      </w:tr>
      <w:tr w:rsidR="00D934A5" w:rsidRPr="00B1417E" w14:paraId="07B754D9" w14:textId="77777777" w:rsidTr="00E74F43">
        <w:trPr>
          <w:trHeight w:val="236"/>
        </w:trPr>
        <w:tc>
          <w:tcPr>
            <w:tcW w:w="3726" w:type="pct"/>
            <w:tcBorders>
              <w:top w:val="single" w:sz="4" w:space="0" w:color="auto"/>
              <w:bottom w:val="single" w:sz="4" w:space="0" w:color="auto"/>
            </w:tcBorders>
          </w:tcPr>
          <w:p w14:paraId="69C6186E" w14:textId="77777777" w:rsidR="00D934A5" w:rsidRPr="00B1417E" w:rsidDel="00852E6E" w:rsidRDefault="00D934A5" w:rsidP="00E74F43">
            <w:pPr>
              <w:keepNext/>
              <w:rPr>
                <w:rFonts w:ascii="Arial" w:hAnsi="Arial" w:cs="Arial"/>
              </w:rPr>
            </w:pPr>
            <w:r w:rsidRPr="00B1417E">
              <w:rPr>
                <w:rFonts w:ascii="Arial" w:hAnsi="Arial" w:cs="Arial"/>
                <w:sz w:val="20"/>
                <w:szCs w:val="20"/>
              </w:rPr>
              <w:t>Further develop the Secure Data Management System functionality.</w:t>
            </w:r>
          </w:p>
        </w:tc>
        <w:tc>
          <w:tcPr>
            <w:tcW w:w="1274" w:type="pct"/>
            <w:tcBorders>
              <w:top w:val="single" w:sz="4" w:space="0" w:color="auto"/>
              <w:bottom w:val="single" w:sz="4" w:space="0" w:color="auto"/>
            </w:tcBorders>
          </w:tcPr>
          <w:p w14:paraId="6FA4289F" w14:textId="77777777" w:rsidR="00D934A5" w:rsidRPr="00B1417E" w:rsidDel="00852E6E" w:rsidRDefault="00D934A5" w:rsidP="00E74F43">
            <w:pPr>
              <w:pStyle w:val="TableBodySmall"/>
              <w:keepNext/>
            </w:pPr>
            <w:r>
              <w:t>June 2027</w:t>
            </w:r>
          </w:p>
        </w:tc>
      </w:tr>
      <w:tr w:rsidR="00D934A5" w:rsidRPr="00C13E2E" w14:paraId="63DE3C29" w14:textId="77777777" w:rsidTr="00E74F43">
        <w:trPr>
          <w:trHeight w:val="236"/>
        </w:trPr>
        <w:tc>
          <w:tcPr>
            <w:tcW w:w="3726" w:type="pct"/>
            <w:tcBorders>
              <w:top w:val="single" w:sz="4" w:space="0" w:color="auto"/>
              <w:bottom w:val="single" w:sz="4" w:space="0" w:color="auto"/>
            </w:tcBorders>
          </w:tcPr>
          <w:p w14:paraId="1F3ED0B1" w14:textId="77777777" w:rsidR="00D934A5" w:rsidRPr="00C13E2E" w:rsidRDefault="00D934A5" w:rsidP="00E74F43">
            <w:pPr>
              <w:pStyle w:val="TableBodySmall"/>
            </w:pPr>
            <w:r w:rsidRPr="00C13E2E">
              <w:t>Maintain and enhance the data warehouse and reinforce strong data governance and data management practices.</w:t>
            </w:r>
          </w:p>
        </w:tc>
        <w:tc>
          <w:tcPr>
            <w:tcW w:w="1274" w:type="pct"/>
            <w:tcBorders>
              <w:top w:val="single" w:sz="4" w:space="0" w:color="auto"/>
              <w:bottom w:val="single" w:sz="4" w:space="0" w:color="auto"/>
            </w:tcBorders>
          </w:tcPr>
          <w:p w14:paraId="47D8D132" w14:textId="77777777" w:rsidR="00D934A5" w:rsidRPr="00C13E2E" w:rsidRDefault="00D934A5" w:rsidP="00E74F43">
            <w:pPr>
              <w:pStyle w:val="TableBodySmall"/>
            </w:pPr>
            <w:r w:rsidRPr="00C13E2E">
              <w:t>Ongoing</w:t>
            </w:r>
          </w:p>
        </w:tc>
      </w:tr>
      <w:tr w:rsidR="00D934A5" w:rsidRPr="00C13E2E" w14:paraId="561364B1" w14:textId="77777777" w:rsidTr="00E74F43">
        <w:trPr>
          <w:trHeight w:val="236"/>
        </w:trPr>
        <w:tc>
          <w:tcPr>
            <w:tcW w:w="3726" w:type="pct"/>
            <w:tcBorders>
              <w:top w:val="single" w:sz="4" w:space="0" w:color="auto"/>
              <w:bottom w:val="single" w:sz="4" w:space="0" w:color="auto"/>
            </w:tcBorders>
          </w:tcPr>
          <w:p w14:paraId="5FB6D84B" w14:textId="77777777" w:rsidR="00D934A5" w:rsidRPr="00C13E2E" w:rsidRDefault="00D934A5" w:rsidP="00E74F43">
            <w:pPr>
              <w:pStyle w:val="TableBodySmall"/>
            </w:pPr>
            <w:r w:rsidRPr="00C13E2E">
              <w:t>Conduct annual Data Governance policy reviews.</w:t>
            </w:r>
          </w:p>
        </w:tc>
        <w:tc>
          <w:tcPr>
            <w:tcW w:w="1274" w:type="pct"/>
            <w:tcBorders>
              <w:top w:val="single" w:sz="4" w:space="0" w:color="auto"/>
              <w:bottom w:val="single" w:sz="4" w:space="0" w:color="auto"/>
            </w:tcBorders>
          </w:tcPr>
          <w:p w14:paraId="0494A891" w14:textId="77777777" w:rsidR="00D934A5" w:rsidRPr="00C13E2E" w:rsidRDefault="00D934A5" w:rsidP="00E74F43">
            <w:pPr>
              <w:pStyle w:val="TableBodySmall"/>
            </w:pPr>
            <w:r w:rsidRPr="00C13E2E">
              <w:t>June 2027</w:t>
            </w:r>
          </w:p>
        </w:tc>
      </w:tr>
    </w:tbl>
    <w:p w14:paraId="410AC5F9" w14:textId="77777777" w:rsidR="00D934A5" w:rsidRPr="00C13E2E" w:rsidRDefault="00D934A5" w:rsidP="00D934A5">
      <w:pPr>
        <w:pStyle w:val="Body"/>
      </w:pPr>
    </w:p>
    <w:p w14:paraId="5559BBF8" w14:textId="77777777" w:rsidR="00D934A5" w:rsidRPr="00C13E2E" w:rsidRDefault="00D934A5" w:rsidP="00D934A5">
      <w:pPr>
        <w:pStyle w:val="Body"/>
        <w:rPr>
          <w:b/>
          <w:bCs/>
        </w:rPr>
      </w:pPr>
      <w:r w:rsidRPr="00C13E2E">
        <w:rPr>
          <w:b/>
          <w:bCs/>
        </w:rPr>
        <w:t xml:space="preserve">IHACPA’s Secure Data Management System (SDMS) is a system that has introduced greater flexibility of file upload specifications, faster validation and reporting, and enhanced capabilities for jurisdictions to track and manage their submission process. The SDMS is comprised of a data submission portal, data validation process, data storage and data analytics platform. </w:t>
      </w:r>
    </w:p>
    <w:p w14:paraId="5D6E8B57" w14:textId="704DF77A" w:rsidR="007E0EE1" w:rsidRDefault="00D934A5" w:rsidP="00D934A5">
      <w:pPr>
        <w:pStyle w:val="Body"/>
      </w:pPr>
      <w:r w:rsidRPr="00C13E2E">
        <w:t>IHACPA has an ongoing cyber security management program to ensure that the SDMS is maintained in line with relevant security standards and the IHACPA Data Governance policies. In 2026–27, IHACPA will complete the annual review of the Data Governance policies to ensure they remain fit for purpose.</w:t>
      </w:r>
    </w:p>
    <w:p w14:paraId="750F8AD5" w14:textId="5CF9FE83" w:rsidR="007E0EE1" w:rsidRPr="00711921" w:rsidRDefault="007E0EE1" w:rsidP="00F52C1C">
      <w:r>
        <w:br w:type="page"/>
      </w:r>
    </w:p>
    <w:p w14:paraId="1380380D" w14:textId="77777777" w:rsidR="00190F48" w:rsidRPr="0084434E" w:rsidRDefault="00190F48" w:rsidP="00190F48">
      <w:pPr>
        <w:pStyle w:val="H4"/>
        <w:numPr>
          <w:ilvl w:val="0"/>
          <w:numId w:val="59"/>
        </w:numPr>
      </w:pPr>
      <w:bookmarkStart w:id="143" w:name="_Toc220066728"/>
      <w:bookmarkStart w:id="144" w:name="_Toc220067188"/>
      <w:bookmarkStart w:id="145" w:name="_Toc220067286"/>
      <w:bookmarkStart w:id="146" w:name="_Toc220068113"/>
      <w:r w:rsidRPr="0084434E">
        <w:lastRenderedPageBreak/>
        <w:t>Implementation of the Data Quality Framework</w:t>
      </w:r>
      <w:bookmarkEnd w:id="143"/>
      <w:bookmarkEnd w:id="144"/>
      <w:bookmarkEnd w:id="145"/>
      <w:bookmarkEnd w:id="146"/>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90F48" w:rsidRPr="00AC04B2" w14:paraId="1B3DADFC" w14:textId="77777777" w:rsidTr="007B49FA">
        <w:tc>
          <w:tcPr>
            <w:tcW w:w="3726" w:type="pct"/>
            <w:tcBorders>
              <w:top w:val="nil"/>
              <w:bottom w:val="nil"/>
            </w:tcBorders>
            <w:shd w:val="clear" w:color="auto" w:fill="0080C4" w:themeFill="accent3"/>
            <w:vAlign w:val="center"/>
          </w:tcPr>
          <w:p w14:paraId="38F300E6" w14:textId="77777777" w:rsidR="00190F48" w:rsidRPr="00AC04B2" w:rsidRDefault="00190F48" w:rsidP="007B49FA">
            <w:pPr>
              <w:pStyle w:val="TableHeading"/>
              <w:keepNext/>
            </w:pPr>
            <w:r w:rsidRPr="00AC04B2">
              <w:t>Deliverable</w:t>
            </w:r>
          </w:p>
        </w:tc>
        <w:tc>
          <w:tcPr>
            <w:tcW w:w="1274" w:type="pct"/>
            <w:tcBorders>
              <w:top w:val="nil"/>
              <w:bottom w:val="nil"/>
            </w:tcBorders>
            <w:shd w:val="clear" w:color="auto" w:fill="0080C4" w:themeFill="accent3"/>
            <w:vAlign w:val="center"/>
          </w:tcPr>
          <w:p w14:paraId="5D76378B" w14:textId="77777777" w:rsidR="00190F48" w:rsidRPr="00AC04B2" w:rsidRDefault="00190F48" w:rsidP="007B49FA">
            <w:pPr>
              <w:pStyle w:val="TableHeading"/>
              <w:keepNext/>
            </w:pPr>
            <w:r w:rsidRPr="00AC04B2">
              <w:t>Timeframe</w:t>
            </w:r>
          </w:p>
        </w:tc>
      </w:tr>
      <w:tr w:rsidR="00190F48" w:rsidRPr="00AC04B2" w14:paraId="710A26D9" w14:textId="77777777" w:rsidTr="007B49FA">
        <w:trPr>
          <w:trHeight w:val="236"/>
        </w:trPr>
        <w:tc>
          <w:tcPr>
            <w:tcW w:w="3726" w:type="pct"/>
            <w:tcBorders>
              <w:top w:val="nil"/>
              <w:bottom w:val="single" w:sz="4" w:space="0" w:color="auto"/>
            </w:tcBorders>
          </w:tcPr>
          <w:p w14:paraId="284851E6" w14:textId="77777777" w:rsidR="00190F48" w:rsidRPr="00AC04B2" w:rsidRDefault="00190F48" w:rsidP="007B49FA">
            <w:pPr>
              <w:pStyle w:val="TableBodySmall"/>
              <w:keepNext/>
            </w:pPr>
            <w:r>
              <w:t xml:space="preserve">Consider recommendations following development of the Data Quality Framework in relation </w:t>
            </w:r>
            <w:r w:rsidRPr="00313265">
              <w:t>to data submission, loading and validation processes</w:t>
            </w:r>
            <w:r>
              <w:t>.</w:t>
            </w:r>
          </w:p>
        </w:tc>
        <w:tc>
          <w:tcPr>
            <w:tcW w:w="1274" w:type="pct"/>
            <w:tcBorders>
              <w:top w:val="nil"/>
              <w:bottom w:val="single" w:sz="4" w:space="0" w:color="auto"/>
            </w:tcBorders>
          </w:tcPr>
          <w:p w14:paraId="797AA49D" w14:textId="77777777" w:rsidR="00190F48" w:rsidRPr="00AC04B2" w:rsidRDefault="00190F48" w:rsidP="007B49FA">
            <w:pPr>
              <w:pStyle w:val="TableBodySmall"/>
              <w:keepNext/>
            </w:pPr>
            <w:r>
              <w:t>June 2027</w:t>
            </w:r>
          </w:p>
        </w:tc>
      </w:tr>
    </w:tbl>
    <w:p w14:paraId="2D8150F0" w14:textId="77777777" w:rsidR="00190F48" w:rsidRDefault="00190F48" w:rsidP="00190F48">
      <w:pPr>
        <w:pStyle w:val="Body"/>
        <w:keepNext/>
      </w:pPr>
    </w:p>
    <w:p w14:paraId="550AD5A3" w14:textId="77777777" w:rsidR="00190F48" w:rsidRDefault="00190F48" w:rsidP="00190F48">
      <w:pPr>
        <w:pStyle w:val="Body"/>
        <w:rPr>
          <w:b/>
          <w:bCs/>
        </w:rPr>
      </w:pPr>
      <w:r>
        <w:rPr>
          <w:b/>
          <w:bCs/>
        </w:rPr>
        <w:t>T</w:t>
      </w:r>
      <w:r w:rsidRPr="004C7DEC">
        <w:rPr>
          <w:b/>
          <w:bCs/>
        </w:rPr>
        <w:t>he NHCDC Public Sector Review Report 2021</w:t>
      </w:r>
      <w:r>
        <w:rPr>
          <w:b/>
          <w:bCs/>
        </w:rPr>
        <w:t>–</w:t>
      </w:r>
      <w:r w:rsidRPr="004C7DEC">
        <w:rPr>
          <w:b/>
          <w:bCs/>
        </w:rPr>
        <w:t xml:space="preserve">22 </w:t>
      </w:r>
      <w:r>
        <w:rPr>
          <w:b/>
          <w:bCs/>
        </w:rPr>
        <w:t>recommended</w:t>
      </w:r>
      <w:r w:rsidRPr="004C7DEC">
        <w:rPr>
          <w:b/>
          <w:bCs/>
        </w:rPr>
        <w:t xml:space="preserve"> that IHACPA</w:t>
      </w:r>
      <w:r>
        <w:rPr>
          <w:b/>
          <w:bCs/>
        </w:rPr>
        <w:t xml:space="preserve"> </w:t>
      </w:r>
      <w:r w:rsidRPr="004C7DEC">
        <w:rPr>
          <w:b/>
          <w:bCs/>
        </w:rPr>
        <w:t>develop a Data Quality Framework to improve the cost and activity data collections</w:t>
      </w:r>
      <w:r>
        <w:rPr>
          <w:b/>
          <w:bCs/>
        </w:rPr>
        <w:t xml:space="preserve">. </w:t>
      </w:r>
    </w:p>
    <w:p w14:paraId="3F1411EB" w14:textId="43139113" w:rsidR="00190F48" w:rsidRDefault="00190F48" w:rsidP="00190F48">
      <w:pPr>
        <w:pStyle w:val="Body"/>
        <w:keepLines/>
      </w:pPr>
      <w:r w:rsidRPr="004C7DEC">
        <w:t>In 202</w:t>
      </w:r>
      <w:r>
        <w:t>5</w:t>
      </w:r>
      <w:r w:rsidRPr="004C7DEC">
        <w:t>–2</w:t>
      </w:r>
      <w:r>
        <w:t>6</w:t>
      </w:r>
      <w:r w:rsidRPr="004C7DEC">
        <w:t xml:space="preserve">, IHACPA </w:t>
      </w:r>
      <w:r>
        <w:t xml:space="preserve">released the Data Quality Framework that </w:t>
      </w:r>
      <w:r w:rsidRPr="004C7DEC">
        <w:t>enable</w:t>
      </w:r>
      <w:r>
        <w:t>s</w:t>
      </w:r>
      <w:r w:rsidRPr="004C7DEC">
        <w:t xml:space="preserve"> consistent assessment, understanding, communication, and management of data quality throughout the data lifecycle.</w:t>
      </w:r>
      <w:r>
        <w:t xml:space="preserve"> </w:t>
      </w:r>
      <w:r w:rsidRPr="00DB2277">
        <w:t>The recommendations developed from this project will inform future improvements to the collection</w:t>
      </w:r>
      <w:r>
        <w:t>s.</w:t>
      </w:r>
    </w:p>
    <w:p w14:paraId="542D0ED4" w14:textId="77777777" w:rsidR="00190F48" w:rsidRDefault="00190F48" w:rsidP="00190F48">
      <w:pPr>
        <w:pStyle w:val="Body"/>
        <w:keepLines/>
      </w:pPr>
    </w:p>
    <w:p w14:paraId="354D27B0" w14:textId="034B32E9" w:rsidR="000A2BE0" w:rsidRPr="00190F48" w:rsidRDefault="000A2BE0" w:rsidP="00D05BDE">
      <w:pPr>
        <w:pStyle w:val="H2"/>
      </w:pPr>
      <w:bookmarkStart w:id="147" w:name="_Toc223594830"/>
      <w:r w:rsidRPr="00E0109F">
        <w:t>5.2</w:t>
      </w:r>
      <w:r w:rsidRPr="00E0109F">
        <w:tab/>
        <w:t>Stakeholder engagement</w:t>
      </w:r>
      <w:bookmarkEnd w:id="147"/>
    </w:p>
    <w:p w14:paraId="0E092774" w14:textId="226227FF" w:rsidR="00273D44" w:rsidRPr="00AC04B2" w:rsidRDefault="00EF091D" w:rsidP="00190F48">
      <w:pPr>
        <w:pStyle w:val="H4-List"/>
        <w:numPr>
          <w:ilvl w:val="0"/>
          <w:numId w:val="60"/>
        </w:numPr>
      </w:pPr>
      <w:r w:rsidRPr="00190F48">
        <w:rPr>
          <w:rFonts w:ascii="Arial" w:hAnsi="Arial"/>
        </w:rPr>
        <w:t xml:space="preserve">Stakeholder </w:t>
      </w:r>
      <w:r w:rsidR="00A133F0" w:rsidRPr="00190F48">
        <w:rPr>
          <w:rFonts w:ascii="Arial" w:hAnsi="Arial"/>
        </w:rPr>
        <w:t xml:space="preserve">forum and </w:t>
      </w:r>
      <w:r w:rsidRPr="00190F48">
        <w:rPr>
          <w:rFonts w:ascii="Arial" w:hAnsi="Arial"/>
        </w:rPr>
        <w:t>education</w:t>
      </w:r>
      <w:r w:rsidR="00A133F0" w:rsidRPr="00190F48">
        <w:rPr>
          <w:rFonts w:ascii="Arial" w:hAnsi="Arial"/>
        </w:rPr>
        <w:t>al support</w:t>
      </w:r>
      <w:r>
        <w:t xml:space="preserv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273D44" w:rsidRPr="00AC04B2" w14:paraId="401FDFC3" w14:textId="77777777" w:rsidTr="002531E5">
        <w:tc>
          <w:tcPr>
            <w:tcW w:w="3726" w:type="pct"/>
            <w:tcBorders>
              <w:top w:val="nil"/>
              <w:bottom w:val="nil"/>
            </w:tcBorders>
            <w:shd w:val="clear" w:color="auto" w:fill="0080C4" w:themeFill="accent3"/>
            <w:vAlign w:val="center"/>
          </w:tcPr>
          <w:p w14:paraId="103B4C62" w14:textId="77777777" w:rsidR="00273D44" w:rsidRPr="00AC04B2" w:rsidRDefault="00273D44" w:rsidP="00204BDB">
            <w:pPr>
              <w:pStyle w:val="TableHeading"/>
            </w:pPr>
            <w:r w:rsidRPr="00AC04B2">
              <w:t>Deliverable</w:t>
            </w:r>
          </w:p>
        </w:tc>
        <w:tc>
          <w:tcPr>
            <w:tcW w:w="1274" w:type="pct"/>
            <w:tcBorders>
              <w:top w:val="nil"/>
              <w:bottom w:val="nil"/>
            </w:tcBorders>
            <w:shd w:val="clear" w:color="auto" w:fill="0080C4" w:themeFill="accent3"/>
            <w:vAlign w:val="center"/>
          </w:tcPr>
          <w:p w14:paraId="4DEE0AC4" w14:textId="77777777" w:rsidR="00273D44" w:rsidRPr="00AC04B2" w:rsidRDefault="00273D44" w:rsidP="00204BDB">
            <w:pPr>
              <w:pStyle w:val="TableHeading"/>
            </w:pPr>
            <w:r w:rsidRPr="00AC04B2">
              <w:t>Timeframe</w:t>
            </w:r>
          </w:p>
        </w:tc>
      </w:tr>
      <w:tr w:rsidR="005A7945" w:rsidRPr="00AC04B2" w14:paraId="7496CF56" w14:textId="77777777" w:rsidTr="00282C71">
        <w:trPr>
          <w:trHeight w:val="236"/>
        </w:trPr>
        <w:tc>
          <w:tcPr>
            <w:tcW w:w="3726" w:type="pct"/>
            <w:tcBorders>
              <w:top w:val="nil"/>
              <w:bottom w:val="single" w:sz="4" w:space="0" w:color="auto"/>
            </w:tcBorders>
          </w:tcPr>
          <w:p w14:paraId="46F48B4A" w14:textId="1FEC8A74" w:rsidR="005A7945" w:rsidRPr="00AC04B2" w:rsidRDefault="005A7945" w:rsidP="005A7945">
            <w:pPr>
              <w:pStyle w:val="TableBodySmall"/>
            </w:pPr>
            <w:r w:rsidRPr="00273292">
              <w:t xml:space="preserve">Deliver </w:t>
            </w:r>
            <w:r w:rsidR="00181C92">
              <w:t>the IHACPA Summit</w:t>
            </w:r>
            <w:r w:rsidRPr="00273292">
              <w:t xml:space="preserve"> 2026.</w:t>
            </w:r>
          </w:p>
        </w:tc>
        <w:tc>
          <w:tcPr>
            <w:tcW w:w="1274" w:type="pct"/>
            <w:tcBorders>
              <w:top w:val="nil"/>
              <w:bottom w:val="single" w:sz="4" w:space="0" w:color="auto"/>
            </w:tcBorders>
          </w:tcPr>
          <w:p w14:paraId="2E90659C" w14:textId="55714F4F" w:rsidR="005A7945" w:rsidRDefault="005A7945" w:rsidP="005A7945">
            <w:pPr>
              <w:pStyle w:val="TableBodySmall"/>
            </w:pPr>
            <w:r>
              <w:t>July 2026</w:t>
            </w:r>
          </w:p>
        </w:tc>
      </w:tr>
      <w:tr w:rsidR="005A7945" w:rsidRPr="00AC04B2" w14:paraId="27F165E8" w14:textId="77777777" w:rsidTr="00204BDB">
        <w:trPr>
          <w:trHeight w:val="236"/>
        </w:trPr>
        <w:tc>
          <w:tcPr>
            <w:tcW w:w="3726" w:type="pct"/>
            <w:tcBorders>
              <w:top w:val="single" w:sz="4" w:space="0" w:color="auto"/>
              <w:bottom w:val="single" w:sz="4" w:space="0" w:color="auto"/>
            </w:tcBorders>
          </w:tcPr>
          <w:p w14:paraId="35CD68AB" w14:textId="7DE10DB1" w:rsidR="005A7945" w:rsidRPr="00AC04B2" w:rsidRDefault="005A7945" w:rsidP="005A7945">
            <w:pPr>
              <w:pStyle w:val="TableBodySmall"/>
            </w:pPr>
            <w:r w:rsidRPr="00AC04B2">
              <w:t>Develop and promote materials and resources</w:t>
            </w:r>
            <w:r>
              <w:t xml:space="preserve"> </w:t>
            </w:r>
            <w:r w:rsidRPr="004A2115">
              <w:t>to educate, inform and engage stakeholders about IHACPA</w:t>
            </w:r>
            <w:r w:rsidRPr="004A2115">
              <w:rPr>
                <w:rFonts w:hint="cs"/>
              </w:rPr>
              <w:t>’</w:t>
            </w:r>
            <w:r w:rsidRPr="004A2115">
              <w:t>s work program and</w:t>
            </w:r>
            <w:r>
              <w:t xml:space="preserve"> our role in the health and aged care systems</w:t>
            </w:r>
            <w:r w:rsidRPr="00AC04B2">
              <w:t>.</w:t>
            </w:r>
          </w:p>
        </w:tc>
        <w:tc>
          <w:tcPr>
            <w:tcW w:w="1274" w:type="pct"/>
            <w:tcBorders>
              <w:top w:val="single" w:sz="4" w:space="0" w:color="auto"/>
              <w:bottom w:val="single" w:sz="4" w:space="0" w:color="auto"/>
            </w:tcBorders>
          </w:tcPr>
          <w:p w14:paraId="243532FA" w14:textId="77777777" w:rsidR="005A7945" w:rsidRPr="00AC04B2" w:rsidRDefault="005A7945" w:rsidP="005A7945">
            <w:pPr>
              <w:pStyle w:val="TableBodySmall"/>
            </w:pPr>
            <w:r w:rsidRPr="00AC04B2">
              <w:t>Ongoing</w:t>
            </w:r>
          </w:p>
        </w:tc>
      </w:tr>
    </w:tbl>
    <w:p w14:paraId="72DF3AE3" w14:textId="77777777" w:rsidR="00273D44" w:rsidRDefault="00273D44" w:rsidP="00273D44">
      <w:pPr>
        <w:pStyle w:val="Body"/>
      </w:pPr>
    </w:p>
    <w:p w14:paraId="3A6A6889" w14:textId="662F6FC6" w:rsidR="00273D44" w:rsidRPr="00A81D23" w:rsidRDefault="00273D44" w:rsidP="00273D44">
      <w:pPr>
        <w:pStyle w:val="Body"/>
      </w:pPr>
      <w:r>
        <w:t xml:space="preserve">In </w:t>
      </w:r>
      <w:r w:rsidR="005A7945">
        <w:t xml:space="preserve">July </w:t>
      </w:r>
      <w:r>
        <w:t>202</w:t>
      </w:r>
      <w:r w:rsidR="00FA13E1">
        <w:t>6</w:t>
      </w:r>
      <w:r>
        <w:t xml:space="preserve"> IHACPA will host </w:t>
      </w:r>
      <w:r w:rsidR="005A7945">
        <w:t xml:space="preserve">a </w:t>
      </w:r>
      <w:r w:rsidR="005A7945" w:rsidRPr="00273292">
        <w:t>one</w:t>
      </w:r>
      <w:r w:rsidR="005A7945">
        <w:t>-</w:t>
      </w:r>
      <w:r w:rsidR="005A7945" w:rsidRPr="00273292">
        <w:t xml:space="preserve">day summit </w:t>
      </w:r>
      <w:r w:rsidR="005A7945">
        <w:t xml:space="preserve">in New South Wales, </w:t>
      </w:r>
      <w:r>
        <w:t>enabling IHACPA to continue its engagement with a wide range of health and aged care stakeholders.</w:t>
      </w:r>
      <w:r w:rsidR="00181C92">
        <w:t xml:space="preserve"> The summit will provide a forum </w:t>
      </w:r>
      <w:r w:rsidR="00181C92" w:rsidRPr="00181C92">
        <w:t>to discuss common challenges, share lessons and explore a forward-looking agenda for the care economy</w:t>
      </w:r>
      <w:r w:rsidR="00181C92">
        <w:t>.</w:t>
      </w:r>
    </w:p>
    <w:p w14:paraId="6CB0D1DA" w14:textId="0E5DD872" w:rsidR="00273D44" w:rsidRPr="00AC04B2" w:rsidRDefault="00273D44" w:rsidP="00273D44">
      <w:pPr>
        <w:pStyle w:val="Body"/>
      </w:pPr>
      <w:r w:rsidRPr="00AC04B2">
        <w:t xml:space="preserve">IHACPA’s educational offerings are enhanced by the educational resources on the </w:t>
      </w:r>
      <w:hyperlink r:id="rId29" w:history="1">
        <w:r w:rsidRPr="00372AC8">
          <w:rPr>
            <w:rStyle w:val="Hyperlink"/>
            <w:color w:val="008F55" w:themeColor="accent4"/>
          </w:rPr>
          <w:t>IHACPA Learn</w:t>
        </w:r>
      </w:hyperlink>
      <w:r w:rsidRPr="00F95EDE">
        <w:t xml:space="preserve"> platform</w:t>
      </w:r>
      <w:r w:rsidRPr="00AC04B2">
        <w:t xml:space="preserve"> to support the implementation of the International Statistical Classification of Diseases and Related Health Problems, Tenth Revision, Australian Modification, Australian Classification of Health Interventions and Australian Coding Standards </w:t>
      </w:r>
      <w:r>
        <w:t xml:space="preserve">(ICD-10-AM/ACHI/ACS) </w:t>
      </w:r>
      <w:r w:rsidRPr="00AC04B2">
        <w:t>and the Australian Refined Diagnosis Related Groups</w:t>
      </w:r>
      <w:r>
        <w:t xml:space="preserve"> (AR-DRG)</w:t>
      </w:r>
      <w:r w:rsidRPr="00AC04B2">
        <w:t xml:space="preserve">. </w:t>
      </w:r>
      <w:r>
        <w:t xml:space="preserve"> </w:t>
      </w:r>
      <w:r w:rsidR="007C6536">
        <w:t>New modules for ICD-10-AM/ACHI/ACS Thirteenth Edition were released in May 2025 and new modules were released for AR-DRG Version 12.0 in September 2025.</w:t>
      </w:r>
    </w:p>
    <w:p w14:paraId="566F98C5" w14:textId="72DB1116" w:rsidR="00273D44" w:rsidRPr="00AC04B2" w:rsidRDefault="00273D44" w:rsidP="00273D44">
      <w:pPr>
        <w:pStyle w:val="Body"/>
      </w:pPr>
      <w:r>
        <w:t>In 202</w:t>
      </w:r>
      <w:r w:rsidR="00E410D6">
        <w:t>6</w:t>
      </w:r>
      <w:r>
        <w:t>–2</w:t>
      </w:r>
      <w:r w:rsidR="00E410D6">
        <w:t>7</w:t>
      </w:r>
      <w:r>
        <w:t xml:space="preserve">, IHACPA </w:t>
      </w:r>
      <w:r w:rsidRPr="00AC04B2">
        <w:t xml:space="preserve">will continue to develop and promote </w:t>
      </w:r>
      <w:r>
        <w:t xml:space="preserve">other </w:t>
      </w:r>
      <w:r w:rsidRPr="00AC04B2">
        <w:t xml:space="preserve">educational materials and resources for health and aged care stakeholders. </w:t>
      </w:r>
    </w:p>
    <w:p w14:paraId="595A4340" w14:textId="77777777" w:rsidR="008550D6" w:rsidRPr="00AC04B2" w:rsidRDefault="008550D6" w:rsidP="00F00D91">
      <w:pPr>
        <w:pStyle w:val="IntroBody"/>
        <w:sectPr w:rsidR="008550D6" w:rsidRPr="00AC04B2" w:rsidSect="00A6538F">
          <w:headerReference w:type="even" r:id="rId30"/>
          <w:headerReference w:type="default" r:id="rId31"/>
          <w:headerReference w:type="first" r:id="rId32"/>
          <w:pgSz w:w="11906" w:h="16838" w:code="9"/>
          <w:pgMar w:top="907" w:right="907" w:bottom="1021" w:left="907" w:header="709" w:footer="709" w:gutter="0"/>
          <w:cols w:space="708"/>
          <w:titlePg/>
          <w:docGrid w:linePitch="360"/>
        </w:sectPr>
      </w:pPr>
    </w:p>
    <w:p w14:paraId="75FCE572" w14:textId="77777777" w:rsidR="00C22DEB" w:rsidRPr="00AC04B2" w:rsidRDefault="00C22DEB" w:rsidP="00C22DEB">
      <w:pPr>
        <w:spacing w:after="360"/>
      </w:pPr>
      <w:r w:rsidRPr="00AC04B2">
        <w:rPr>
          <w:noProof/>
        </w:rPr>
        <w:lastRenderedPageBreak/>
        <w:drawing>
          <wp:inline distT="0" distB="0" distL="0" distR="0" wp14:anchorId="441FA174" wp14:editId="4C8D9B65">
            <wp:extent cx="1764877" cy="392195"/>
            <wp:effectExtent l="0" t="0" r="635" b="1905"/>
            <wp:docPr id="3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7"/>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1764877" cy="392195"/>
                    </a:xfrm>
                    <a:prstGeom prst="rect">
                      <a:avLst/>
                    </a:prstGeom>
                  </pic:spPr>
                </pic:pic>
              </a:graphicData>
            </a:graphic>
          </wp:inline>
        </w:drawing>
      </w:r>
    </w:p>
    <w:p w14:paraId="7AEEEF91" w14:textId="77777777" w:rsidR="00FA6CD2" w:rsidRPr="00883C3A" w:rsidRDefault="00FA6CD2" w:rsidP="00FA6CD2">
      <w:pPr>
        <w:spacing w:after="360"/>
        <w:rPr>
          <w:rFonts w:ascii="Arial" w:hAnsi="Arial" w:cs="Arial"/>
          <w:b/>
          <w:bCs/>
          <w:color w:val="FFFFFF" w:themeColor="background2"/>
        </w:rPr>
      </w:pPr>
      <w:r w:rsidRPr="00883C3A">
        <w:rPr>
          <w:rFonts w:ascii="Arial" w:hAnsi="Arial" w:cs="Arial"/>
          <w:b/>
          <w:bCs/>
          <w:color w:val="FFFFFF" w:themeColor="background2"/>
        </w:rPr>
        <w:t>Independent Health and Aged Care Pricing Authority</w:t>
      </w:r>
    </w:p>
    <w:p w14:paraId="3B6998BE" w14:textId="12A149C2" w:rsidR="00FA6CD2" w:rsidRPr="00883C3A" w:rsidRDefault="00F204AF" w:rsidP="00FA6CD2">
      <w:pPr>
        <w:spacing w:after="360"/>
        <w:rPr>
          <w:rFonts w:ascii="Arial" w:hAnsi="Arial" w:cs="Arial"/>
          <w:color w:val="FFFFFF" w:themeColor="background2"/>
        </w:rPr>
      </w:pPr>
      <w:r w:rsidRPr="00883C3A">
        <w:rPr>
          <w:rFonts w:ascii="Arial" w:hAnsi="Arial" w:cs="Arial"/>
          <w:color w:val="FFFFFF" w:themeColor="background2"/>
        </w:rPr>
        <w:t xml:space="preserve">Eora Nation, </w:t>
      </w:r>
      <w:r w:rsidR="00FA6CD2" w:rsidRPr="00883C3A">
        <w:rPr>
          <w:rFonts w:ascii="Arial" w:hAnsi="Arial" w:cs="Arial"/>
          <w:color w:val="FFFFFF" w:themeColor="background2"/>
        </w:rPr>
        <w:t>Level 12, 1 Oxford Street</w:t>
      </w:r>
      <w:r w:rsidR="00FA6CD2" w:rsidRPr="00883C3A">
        <w:rPr>
          <w:rFonts w:ascii="Arial" w:hAnsi="Arial" w:cs="Arial"/>
          <w:color w:val="FFFFFF" w:themeColor="background2"/>
        </w:rPr>
        <w:br/>
        <w:t>Sydney NSW 2000</w:t>
      </w:r>
    </w:p>
    <w:p w14:paraId="5D158FA8" w14:textId="51B3FB63" w:rsidR="00FA6CD2" w:rsidRPr="00A2587F" w:rsidRDefault="00FA6CD2" w:rsidP="00FA6CD2">
      <w:pPr>
        <w:spacing w:after="360"/>
        <w:rPr>
          <w:rFonts w:ascii="Arial" w:hAnsi="Arial" w:cs="Arial"/>
          <w:color w:val="54C1AF" w:themeColor="background1"/>
        </w:rPr>
      </w:pPr>
      <w:r w:rsidRPr="00883C3A">
        <w:rPr>
          <w:rFonts w:ascii="Arial" w:hAnsi="Arial" w:cs="Arial"/>
          <w:color w:val="FFFFFF" w:themeColor="background2"/>
        </w:rPr>
        <w:t>Phone</w:t>
      </w:r>
      <w:r w:rsidRPr="00883C3A">
        <w:rPr>
          <w:rFonts w:ascii="Arial" w:hAnsi="Arial" w:cs="Arial"/>
          <w:color w:val="FFFFFF" w:themeColor="background2"/>
        </w:rPr>
        <w:tab/>
        <w:t>02 8215 1100</w:t>
      </w:r>
      <w:r w:rsidRPr="00883C3A">
        <w:rPr>
          <w:rFonts w:ascii="Arial" w:hAnsi="Arial" w:cs="Arial"/>
          <w:color w:val="15272F" w:themeColor="text1"/>
        </w:rPr>
        <w:br/>
      </w:r>
      <w:r w:rsidRPr="00883C3A">
        <w:rPr>
          <w:rFonts w:ascii="Arial" w:hAnsi="Arial" w:cs="Arial"/>
          <w:color w:val="FFFFFF" w:themeColor="background2"/>
        </w:rPr>
        <w:t>Email</w:t>
      </w:r>
      <w:r w:rsidRPr="00883C3A">
        <w:rPr>
          <w:rFonts w:ascii="Arial" w:hAnsi="Arial" w:cs="Arial"/>
          <w:color w:val="15272F" w:themeColor="text1"/>
        </w:rPr>
        <w:tab/>
      </w:r>
      <w:hyperlink r:id="rId35" w:history="1">
        <w:r w:rsidRPr="00883C3A">
          <w:rPr>
            <w:rStyle w:val="Hyperlink"/>
            <w:rFonts w:ascii="Arial" w:hAnsi="Arial" w:cs="Arial"/>
            <w:color w:val="54C1AF"/>
          </w:rPr>
          <w:t>enquiries.ihacpa@ihacpa.gov.au</w:t>
        </w:r>
      </w:hyperlink>
    </w:p>
    <w:p w14:paraId="059F5F2E" w14:textId="77777777" w:rsidR="006B53FF" w:rsidRDefault="00FA6CD2" w:rsidP="00FA6CD2">
      <w:pPr>
        <w:spacing w:after="360"/>
      </w:pPr>
      <w:hyperlink r:id="rId36" w:history="1">
        <w:r w:rsidRPr="00883C3A">
          <w:rPr>
            <w:rStyle w:val="Hyperlink"/>
            <w:rFonts w:ascii="Arial" w:hAnsi="Arial" w:cs="Arial"/>
            <w:color w:val="54C1AF"/>
          </w:rPr>
          <w:t>www.ihacpa.gov.au</w:t>
        </w:r>
      </w:hyperlink>
    </w:p>
    <w:p w14:paraId="4F4AF683" w14:textId="77777777" w:rsidR="00BE77A0" w:rsidRPr="00BE77A0" w:rsidRDefault="00BE77A0" w:rsidP="00BE77A0">
      <w:pPr>
        <w:rPr>
          <w:rFonts w:ascii="Arial" w:hAnsi="Arial" w:cs="Arial"/>
        </w:rPr>
      </w:pPr>
    </w:p>
    <w:p w14:paraId="6A9F8E66" w14:textId="77777777" w:rsidR="00BE77A0" w:rsidRPr="00BE77A0" w:rsidRDefault="00BE77A0" w:rsidP="00BE77A0">
      <w:pPr>
        <w:rPr>
          <w:rFonts w:ascii="Arial" w:hAnsi="Arial" w:cs="Arial"/>
        </w:rPr>
      </w:pPr>
    </w:p>
    <w:p w14:paraId="1AF3E84D" w14:textId="77777777" w:rsidR="00BE77A0" w:rsidRPr="00BE77A0" w:rsidRDefault="00BE77A0" w:rsidP="00BE77A0">
      <w:pPr>
        <w:rPr>
          <w:rFonts w:ascii="Arial" w:hAnsi="Arial" w:cs="Arial"/>
        </w:rPr>
      </w:pPr>
    </w:p>
    <w:p w14:paraId="5FAF3F5A" w14:textId="77777777" w:rsidR="00BE77A0" w:rsidRPr="00BE77A0" w:rsidRDefault="00BE77A0" w:rsidP="00BE77A0">
      <w:pPr>
        <w:rPr>
          <w:rFonts w:ascii="Arial" w:hAnsi="Arial" w:cs="Arial"/>
        </w:rPr>
      </w:pPr>
    </w:p>
    <w:p w14:paraId="63D37D6D" w14:textId="77777777" w:rsidR="00BE77A0" w:rsidRPr="00BE77A0" w:rsidRDefault="00BE77A0" w:rsidP="00BE77A0">
      <w:pPr>
        <w:rPr>
          <w:rFonts w:ascii="Arial" w:hAnsi="Arial" w:cs="Arial"/>
        </w:rPr>
      </w:pPr>
    </w:p>
    <w:p w14:paraId="129D2021" w14:textId="77777777" w:rsidR="00BE77A0" w:rsidRPr="00BE77A0" w:rsidRDefault="00BE77A0" w:rsidP="00BE77A0">
      <w:pPr>
        <w:rPr>
          <w:rFonts w:ascii="Arial" w:hAnsi="Arial" w:cs="Arial"/>
        </w:rPr>
      </w:pPr>
    </w:p>
    <w:p w14:paraId="0C1AE262" w14:textId="77777777" w:rsidR="00BE77A0" w:rsidRPr="00BE77A0" w:rsidRDefault="00BE77A0" w:rsidP="00BE77A0">
      <w:pPr>
        <w:rPr>
          <w:rFonts w:ascii="Arial" w:hAnsi="Arial" w:cs="Arial"/>
        </w:rPr>
      </w:pPr>
    </w:p>
    <w:p w14:paraId="7AE12E7F" w14:textId="77777777" w:rsidR="00BE77A0" w:rsidRDefault="00BE77A0" w:rsidP="00BE77A0"/>
    <w:p w14:paraId="43175CB2" w14:textId="77777777" w:rsidR="00BE77A0" w:rsidRPr="00BE77A0" w:rsidRDefault="00BE77A0" w:rsidP="00BE77A0">
      <w:pPr>
        <w:rPr>
          <w:rFonts w:ascii="Arial" w:hAnsi="Arial" w:cs="Arial"/>
        </w:rPr>
      </w:pPr>
    </w:p>
    <w:sectPr w:rsidR="00BE77A0" w:rsidRPr="00BE77A0" w:rsidSect="00C0225F">
      <w:headerReference w:type="even" r:id="rId37"/>
      <w:headerReference w:type="default" r:id="rId38"/>
      <w:headerReference w:type="first" r:id="rId39"/>
      <w:pgSz w:w="11906" w:h="16838" w:code="9"/>
      <w:pgMar w:top="907" w:right="907" w:bottom="907"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6268A" w14:textId="77777777" w:rsidR="0077177B" w:rsidRDefault="0077177B" w:rsidP="00D53EDC">
      <w:pPr>
        <w:spacing w:after="0" w:line="240" w:lineRule="auto"/>
      </w:pPr>
      <w:r>
        <w:separator/>
      </w:r>
    </w:p>
  </w:endnote>
  <w:endnote w:type="continuationSeparator" w:id="0">
    <w:p w14:paraId="3CCA4787" w14:textId="77777777" w:rsidR="0077177B" w:rsidRDefault="0077177B" w:rsidP="00D53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Fira Sans regular">
    <w:altName w:val="Cambria"/>
    <w:charset w:val="00"/>
    <w:family w:val="swiss"/>
    <w:pitch w:val="variable"/>
    <w:sig w:usb0="600002FF"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Josefin Sans Bold">
    <w:charset w:val="00"/>
    <w:family w:val="auto"/>
    <w:pitch w:val="variable"/>
    <w:sig w:usb0="A00000FF" w:usb1="4000204B" w:usb2="00000000" w:usb3="00000000" w:csb0="00000193" w:csb1="00000000"/>
  </w:font>
  <w:font w:name="Segoe UI">
    <w:panose1 w:val="020B0502040204020203"/>
    <w:charset w:val="00"/>
    <w:family w:val="swiss"/>
    <w:pitch w:val="variable"/>
    <w:sig w:usb0="E4002EFF" w:usb1="C000E47F" w:usb2="00000009" w:usb3="00000000" w:csb0="000001FF" w:csb1="00000000"/>
  </w:font>
  <w:font w:name="Josefin Sans">
    <w:charset w:val="00"/>
    <w:family w:val="auto"/>
    <w:pitch w:val="variable"/>
    <w:sig w:usb0="A00000FF" w:usb1="4000204B" w:usb2="00000000" w:usb3="00000000" w:csb0="00000193" w:csb1="00000000"/>
  </w:font>
  <w:font w:name="Futura PT Medium">
    <w:panose1 w:val="00000000000000000000"/>
    <w:charset w:val="00"/>
    <w:family w:val="swiss"/>
    <w:notTrueType/>
    <w:pitch w:val="variable"/>
    <w:sig w:usb0="A00002FF" w:usb1="5000204B" w:usb2="00000000" w:usb3="00000000" w:csb0="00000097" w:csb1="00000000"/>
  </w:font>
  <w:font w:name="Fira Sans">
    <w:charset w:val="00"/>
    <w:family w:val="swiss"/>
    <w:pitch w:val="variable"/>
    <w:sig w:usb0="600002FF" w:usb1="00000001" w:usb2="00000000" w:usb3="00000000" w:csb0="0000019F" w:csb1="00000000"/>
  </w:font>
  <w:font w:name="Futura PT Book">
    <w:altName w:val="Century Gothic"/>
    <w:panose1 w:val="00000000000000000000"/>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6A0F5" w14:textId="14761682" w:rsidR="0084434E" w:rsidRDefault="0084434E">
    <w:pPr>
      <w:pStyle w:val="Footer"/>
    </w:pPr>
    <w:r>
      <w:rPr>
        <w:noProof/>
      </w:rPr>
      <mc:AlternateContent>
        <mc:Choice Requires="wps">
          <w:drawing>
            <wp:anchor distT="0" distB="0" distL="0" distR="0" simplePos="0" relativeHeight="251658258" behindDoc="0" locked="0" layoutInCell="1" allowOverlap="1" wp14:anchorId="114A2882" wp14:editId="0D6792EF">
              <wp:simplePos x="635" y="635"/>
              <wp:positionH relativeFrom="page">
                <wp:align>center</wp:align>
              </wp:positionH>
              <wp:positionV relativeFrom="page">
                <wp:align>bottom</wp:align>
              </wp:positionV>
              <wp:extent cx="551815" cy="391160"/>
              <wp:effectExtent l="0" t="0" r="635" b="0"/>
              <wp:wrapNone/>
              <wp:docPr id="169199338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F372FC3" w14:textId="73301CFC"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4A2882" id="_x0000_t202" coordsize="21600,21600" o:spt="202" path="m,l,21600r21600,l21600,xe">
              <v:stroke joinstyle="miter"/>
              <v:path gradientshapeok="t" o:connecttype="rect"/>
            </v:shapetype>
            <v:shape id="Text Box 17" o:spid="_x0000_s1029" type="#_x0000_t202" alt="OFFICIAL" style="position:absolute;margin-left:0;margin-top:0;width:43.45pt;height:30.8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2F372FC3" w14:textId="73301CFC"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596E" w14:textId="19F8F6D2" w:rsidR="009D3F88" w:rsidRPr="006F42D5" w:rsidRDefault="0084434E" w:rsidP="009D3F88">
    <w:pPr>
      <w:pStyle w:val="Footer"/>
      <w:tabs>
        <w:tab w:val="clear" w:pos="4680"/>
        <w:tab w:val="clear" w:pos="9360"/>
        <w:tab w:val="right" w:pos="9923"/>
      </w:tabs>
    </w:pPr>
    <w:r>
      <w:rPr>
        <w:b/>
        <w:bCs/>
        <w:noProof/>
      </w:rPr>
      <mc:AlternateContent>
        <mc:Choice Requires="wps">
          <w:drawing>
            <wp:anchor distT="0" distB="0" distL="0" distR="0" simplePos="0" relativeHeight="251658259" behindDoc="0" locked="0" layoutInCell="1" allowOverlap="1" wp14:anchorId="7F2194B3" wp14:editId="10FC1B70">
              <wp:simplePos x="635" y="635"/>
              <wp:positionH relativeFrom="page">
                <wp:align>center</wp:align>
              </wp:positionH>
              <wp:positionV relativeFrom="page">
                <wp:align>bottom</wp:align>
              </wp:positionV>
              <wp:extent cx="551815" cy="391160"/>
              <wp:effectExtent l="0" t="0" r="635" b="0"/>
              <wp:wrapNone/>
              <wp:docPr id="61831257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387CA09" w14:textId="2B5E77BD"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194B3" id="_x0000_t202" coordsize="21600,21600" o:spt="202" path="m,l,21600r21600,l21600,xe">
              <v:stroke joinstyle="miter"/>
              <v:path gradientshapeok="t" o:connecttype="rect"/>
            </v:shapetype>
            <v:shape id="Text Box 18" o:spid="_x0000_s1030" type="#_x0000_t202" alt="OFFICIAL" style="position:absolute;margin-left:0;margin-top:0;width:43.45pt;height:30.8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2387CA09" w14:textId="2B5E77BD"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r w:rsidR="009D3F88" w:rsidRPr="00D20B03">
      <w:rPr>
        <w:b/>
        <w:bCs/>
      </w:rPr>
      <w:t>IHACPA</w:t>
    </w:r>
    <w:r w:rsidR="009D3F88">
      <w:t xml:space="preserve"> Work Program and Corporate Plan 202</w:t>
    </w:r>
    <w:r w:rsidR="00BE373B">
      <w:t>3</w:t>
    </w:r>
    <w:r w:rsidR="009D3F88">
      <w:t>–2</w:t>
    </w:r>
    <w:r w:rsidR="00BE373B">
      <w:t>4</w:t>
    </w:r>
    <w:r w:rsidR="009D3F88">
      <w:tab/>
    </w:r>
    <w:r w:rsidR="009D3F88">
      <w:fldChar w:fldCharType="begin"/>
    </w:r>
    <w:r w:rsidR="009D3F88">
      <w:instrText xml:space="preserve"> PAGE   \* MERGEFORMAT </w:instrText>
    </w:r>
    <w:r w:rsidR="009D3F88">
      <w:fldChar w:fldCharType="separate"/>
    </w:r>
    <w:r w:rsidR="009D3F88">
      <w:t>29</w:t>
    </w:r>
    <w:r w:rsidR="009D3F8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B9ACB" w14:textId="112733BF" w:rsidR="008F0A24" w:rsidRPr="006F42D5" w:rsidRDefault="0084434E" w:rsidP="006F42D5">
    <w:pPr>
      <w:pStyle w:val="Footer"/>
      <w:tabs>
        <w:tab w:val="clear" w:pos="4680"/>
        <w:tab w:val="clear" w:pos="9360"/>
        <w:tab w:val="center" w:pos="9498"/>
        <w:tab w:val="right" w:pos="9746"/>
      </w:tabs>
    </w:pPr>
    <w:r>
      <w:rPr>
        <w:noProof/>
      </w:rPr>
      <mc:AlternateContent>
        <mc:Choice Requires="wps">
          <w:drawing>
            <wp:anchor distT="0" distB="0" distL="0" distR="0" simplePos="0" relativeHeight="251658257" behindDoc="0" locked="0" layoutInCell="1" allowOverlap="1" wp14:anchorId="27F8D418" wp14:editId="15142DD3">
              <wp:simplePos x="581025" y="10077450"/>
              <wp:positionH relativeFrom="page">
                <wp:align>center</wp:align>
              </wp:positionH>
              <wp:positionV relativeFrom="page">
                <wp:align>bottom</wp:align>
              </wp:positionV>
              <wp:extent cx="551815" cy="391160"/>
              <wp:effectExtent l="0" t="0" r="635" b="0"/>
              <wp:wrapNone/>
              <wp:docPr id="111678039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771054D" w14:textId="45E54FB6"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F8D418" id="_x0000_t202" coordsize="21600,21600" o:spt="202" path="m,l,21600r21600,l21600,xe">
              <v:stroke joinstyle="miter"/>
              <v:path gradientshapeok="t" o:connecttype="rect"/>
            </v:shapetype>
            <v:shape id="Text Box 16" o:spid="_x0000_s1032" type="#_x0000_t202" alt="OFFICIAL" style="position:absolute;margin-left:0;margin-top:0;width:43.45pt;height:30.8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7771054D" w14:textId="45E54FB6"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34C8" w14:textId="716D8007" w:rsidR="00F33F85" w:rsidRPr="002F7355" w:rsidRDefault="0084434E" w:rsidP="00F33F85">
    <w:pPr>
      <w:pStyle w:val="Footer"/>
      <w:tabs>
        <w:tab w:val="clear" w:pos="9360"/>
        <w:tab w:val="right" w:pos="10065"/>
      </w:tabs>
      <w:rPr>
        <w:rFonts w:ascii="Arial" w:hAnsi="Arial" w:cs="Arial"/>
        <w:sz w:val="20"/>
        <w:szCs w:val="20"/>
      </w:rPr>
    </w:pPr>
    <w:r>
      <w:rPr>
        <w:rFonts w:ascii="Arial" w:hAnsi="Arial" w:cs="Arial"/>
        <w:noProof/>
        <w:sz w:val="20"/>
        <w:szCs w:val="20"/>
      </w:rPr>
      <mc:AlternateContent>
        <mc:Choice Requires="wps">
          <w:drawing>
            <wp:anchor distT="0" distB="0" distL="0" distR="0" simplePos="0" relativeHeight="251658260" behindDoc="0" locked="0" layoutInCell="1" allowOverlap="1" wp14:anchorId="1478A8FD" wp14:editId="34CFDA5F">
              <wp:simplePos x="581025" y="10096500"/>
              <wp:positionH relativeFrom="page">
                <wp:align>center</wp:align>
              </wp:positionH>
              <wp:positionV relativeFrom="page">
                <wp:align>bottom</wp:align>
              </wp:positionV>
              <wp:extent cx="551815" cy="391160"/>
              <wp:effectExtent l="0" t="0" r="635" b="0"/>
              <wp:wrapNone/>
              <wp:docPr id="713215537"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B273435" w14:textId="1A0A8E5B"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78A8FD" id="_x0000_t202" coordsize="21600,21600" o:spt="202" path="m,l,21600r21600,l21600,xe">
              <v:stroke joinstyle="miter"/>
              <v:path gradientshapeok="t" o:connecttype="rect"/>
            </v:shapetype>
            <v:shape id="Text Box 19" o:spid="_x0000_s1035" type="#_x0000_t202" alt="OFFICIAL" style="position:absolute;margin-left:0;margin-top:0;width:43.45pt;height:30.8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I4DgIAABwEAAAOAAAAZHJzL2Uyb0RvYy54bWysU01v2zAMvQ/YfxB0X2x3SJ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K4jb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BGdI4DgIAABwE&#10;AAAOAAAAAAAAAAAAAAAAAC4CAABkcnMvZTJvRG9jLnhtbFBLAQItABQABgAIAAAAIQDLo44Q2gAA&#10;AAMBAAAPAAAAAAAAAAAAAAAAAGgEAABkcnMvZG93bnJldi54bWxQSwUGAAAAAAQABADzAAAAbwUA&#10;AAAA&#10;" filled="f" stroked="f">
              <v:textbox style="mso-fit-shape-to-text:t" inset="0,0,0,15pt">
                <w:txbxContent>
                  <w:p w14:paraId="2B273435" w14:textId="1A0A8E5B"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r w:rsidR="00F33F85" w:rsidRPr="00115B63">
      <w:rPr>
        <w:rFonts w:ascii="Arial" w:hAnsi="Arial" w:cs="Arial"/>
        <w:sz w:val="20"/>
        <w:szCs w:val="20"/>
      </w:rPr>
      <w:t>IHACPA</w:t>
    </w:r>
    <w:r w:rsidR="00F33F85" w:rsidRPr="002F7355">
      <w:rPr>
        <w:rFonts w:ascii="Arial" w:hAnsi="Arial" w:cs="Arial"/>
        <w:sz w:val="20"/>
        <w:szCs w:val="20"/>
      </w:rPr>
      <w:t xml:space="preserve"> Work Program 202</w:t>
    </w:r>
    <w:r w:rsidR="00B52CE3">
      <w:rPr>
        <w:rFonts w:ascii="Arial" w:hAnsi="Arial" w:cs="Arial"/>
        <w:sz w:val="20"/>
        <w:szCs w:val="20"/>
      </w:rPr>
      <w:t>6</w:t>
    </w:r>
    <w:r w:rsidR="00F33F85" w:rsidRPr="002F7355">
      <w:rPr>
        <w:rFonts w:ascii="Arial" w:hAnsi="Arial" w:cs="Arial"/>
        <w:sz w:val="20"/>
        <w:szCs w:val="20"/>
      </w:rPr>
      <w:t>–2</w:t>
    </w:r>
    <w:r w:rsidR="00B52CE3">
      <w:rPr>
        <w:rFonts w:ascii="Arial" w:hAnsi="Arial" w:cs="Arial"/>
        <w:sz w:val="20"/>
        <w:szCs w:val="20"/>
      </w:rPr>
      <w:t>7</w:t>
    </w:r>
    <w:r w:rsidR="00F33F85" w:rsidRPr="002F7355">
      <w:rPr>
        <w:rFonts w:ascii="Arial" w:hAnsi="Arial" w:cs="Arial"/>
        <w:sz w:val="20"/>
        <w:szCs w:val="20"/>
      </w:rPr>
      <w:tab/>
    </w:r>
    <w:r w:rsidR="002C438D">
      <w:rPr>
        <w:rFonts w:ascii="Arial" w:hAnsi="Arial" w:cs="Arial"/>
        <w:sz w:val="20"/>
        <w:szCs w:val="20"/>
      </w:rPr>
      <w:tab/>
    </w:r>
    <w:r w:rsidR="00F33F85" w:rsidRPr="002F7355">
      <w:rPr>
        <w:rFonts w:ascii="Arial" w:hAnsi="Arial" w:cs="Arial"/>
        <w:sz w:val="20"/>
        <w:szCs w:val="20"/>
      </w:rPr>
      <w:fldChar w:fldCharType="begin"/>
    </w:r>
    <w:r w:rsidR="00F33F85" w:rsidRPr="002F7355">
      <w:rPr>
        <w:rFonts w:ascii="Arial" w:hAnsi="Arial" w:cs="Arial"/>
        <w:sz w:val="20"/>
        <w:szCs w:val="20"/>
      </w:rPr>
      <w:instrText xml:space="preserve"> PAGE   \* MERGEFORMAT </w:instrText>
    </w:r>
    <w:r w:rsidR="00F33F85" w:rsidRPr="002F7355">
      <w:rPr>
        <w:rFonts w:ascii="Arial" w:hAnsi="Arial" w:cs="Arial"/>
        <w:sz w:val="20"/>
        <w:szCs w:val="20"/>
      </w:rPr>
      <w:fldChar w:fldCharType="separate"/>
    </w:r>
    <w:r w:rsidR="00F33F85" w:rsidRPr="002F7355">
      <w:rPr>
        <w:rFonts w:ascii="Arial" w:hAnsi="Arial" w:cs="Arial"/>
        <w:sz w:val="20"/>
        <w:szCs w:val="20"/>
      </w:rPr>
      <w:t>1</w:t>
    </w:r>
    <w:r w:rsidR="00F33F85" w:rsidRPr="002F7355">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64FF1" w14:textId="77777777" w:rsidR="0077177B" w:rsidRDefault="0077177B" w:rsidP="00D53EDC">
      <w:pPr>
        <w:spacing w:after="0" w:line="240" w:lineRule="auto"/>
      </w:pPr>
      <w:r>
        <w:separator/>
      </w:r>
    </w:p>
  </w:footnote>
  <w:footnote w:type="continuationSeparator" w:id="0">
    <w:p w14:paraId="58E8A8C6" w14:textId="77777777" w:rsidR="0077177B" w:rsidRDefault="0077177B" w:rsidP="00D53EDC">
      <w:pPr>
        <w:spacing w:after="0" w:line="240" w:lineRule="auto"/>
      </w:pPr>
      <w:r>
        <w:continuationSeparator/>
      </w:r>
    </w:p>
  </w:footnote>
  <w:footnote w:id="1">
    <w:p w14:paraId="79D120AC" w14:textId="74160D19" w:rsidR="00B818E8" w:rsidRDefault="00B818E8">
      <w:pPr>
        <w:pStyle w:val="FootnoteText"/>
      </w:pPr>
      <w:r>
        <w:rPr>
          <w:rStyle w:val="FootnoteReference"/>
        </w:rPr>
        <w:footnoteRef/>
      </w:r>
      <w:r>
        <w:t xml:space="preserve"> </w:t>
      </w:r>
      <w:r w:rsidR="0051342C" w:rsidRPr="0051342C">
        <w:rPr>
          <w:rFonts w:ascii="Arial" w:hAnsi="Arial" w:cs="Arial"/>
          <w:sz w:val="18"/>
          <w:szCs w:val="18"/>
        </w:rPr>
        <w:t>The Addendum to the National Health Reform Agreement (NHRA) 2020–25 was extended for 12 months to enable the continued negotiation of the</w:t>
      </w:r>
      <w:r w:rsidR="007A3478">
        <w:rPr>
          <w:rFonts w:ascii="Arial" w:hAnsi="Arial" w:cs="Arial"/>
          <w:sz w:val="18"/>
          <w:szCs w:val="18"/>
        </w:rPr>
        <w:t xml:space="preserve"> next</w:t>
      </w:r>
      <w:r w:rsidR="0051342C" w:rsidRPr="0051342C">
        <w:rPr>
          <w:rFonts w:ascii="Arial" w:hAnsi="Arial" w:cs="Arial"/>
          <w:sz w:val="18"/>
          <w:szCs w:val="18"/>
        </w:rPr>
        <w:t xml:space="preserve"> Addendum to the NHRA.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43709" w14:textId="7A5C9134" w:rsidR="0084434E" w:rsidRDefault="00000000">
    <w:pPr>
      <w:pStyle w:val="Header"/>
    </w:pPr>
    <w:r>
      <w:rPr>
        <w:noProof/>
      </w:rPr>
      <w:pict w14:anchorId="62CD5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353.65pt;height:212.15pt;rotation:315;z-index:-251658218;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58243" behindDoc="0" locked="0" layoutInCell="1" allowOverlap="1" wp14:anchorId="60E63FAA" wp14:editId="3848CB6D">
              <wp:simplePos x="635" y="635"/>
              <wp:positionH relativeFrom="page">
                <wp:align>center</wp:align>
              </wp:positionH>
              <wp:positionV relativeFrom="page">
                <wp:align>top</wp:align>
              </wp:positionV>
              <wp:extent cx="551815" cy="391160"/>
              <wp:effectExtent l="0" t="0" r="635" b="8890"/>
              <wp:wrapNone/>
              <wp:docPr id="20829021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F4F1108" w14:textId="674D12B5"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E63FAA" id="_x0000_t202" coordsize="21600,21600" o:spt="202" path="m,l,21600r21600,l21600,xe">
              <v:stroke joinstyle="miter"/>
              <v:path gradientshapeok="t" o:connecttype="rect"/>
            </v:shapetype>
            <v:shape id="_x0000_s1027"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0F4F1108" w14:textId="674D12B5"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E598C" w14:textId="5968ED41" w:rsidR="00AC231D" w:rsidRDefault="00000000">
    <w:pPr>
      <w:pStyle w:val="Header"/>
    </w:pPr>
    <w:r>
      <w:rPr>
        <w:noProof/>
      </w:rPr>
      <w:pict w14:anchorId="29AC7D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0;margin-top:0;width:353.65pt;height:212.15pt;rotation:315;z-index:-251658206;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58255" behindDoc="0" locked="0" layoutInCell="1" allowOverlap="1" wp14:anchorId="0DFF895D" wp14:editId="2518C805">
              <wp:simplePos x="635" y="635"/>
              <wp:positionH relativeFrom="page">
                <wp:align>center</wp:align>
              </wp:positionH>
              <wp:positionV relativeFrom="page">
                <wp:align>top</wp:align>
              </wp:positionV>
              <wp:extent cx="551815" cy="391160"/>
              <wp:effectExtent l="0" t="0" r="635" b="8890"/>
              <wp:wrapNone/>
              <wp:docPr id="695118212"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9B10A5B" w14:textId="77E72843"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FF895D" id="_x0000_t202" coordsize="21600,21600" o:spt="202" path="m,l,21600r21600,l21600,xe">
              <v:stroke joinstyle="miter"/>
              <v:path gradientshapeok="t" o:connecttype="rect"/>
            </v:shapetype>
            <v:shape id="Text Box 14" o:spid="_x0000_s1040" type="#_x0000_t202" alt="OFFICIAL" style="position:absolute;margin-left:0;margin-top:0;width:43.45pt;height:30.8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H7QK4YOAgAAHQQA&#10;AA4AAAAAAAAAAAAAAAAALgIAAGRycy9lMm9Eb2MueG1sUEsBAi0AFAAGAAgAAAAhAChQUq/ZAAAA&#10;AwEAAA8AAAAAAAAAAAAAAAAAaAQAAGRycy9kb3ducmV2LnhtbFBLBQYAAAAABAAEAPMAAABuBQAA&#10;AAA=&#10;" filled="f" stroked="f">
              <v:textbox style="mso-fit-shape-to-text:t" inset="0,15pt,0,0">
                <w:txbxContent>
                  <w:p w14:paraId="59B10A5B" w14:textId="77E72843"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BA4D" w14:textId="42D54437" w:rsidR="00AC231D" w:rsidRDefault="00000000">
    <w:pPr>
      <w:pStyle w:val="Header"/>
    </w:pPr>
    <w:r>
      <w:rPr>
        <w:noProof/>
      </w:rPr>
      <w:pict w14:anchorId="7871D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0;margin-top:0;width:353.65pt;height:212.15pt;rotation:315;z-index:-251658205;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58256" behindDoc="0" locked="0" layoutInCell="1" allowOverlap="1" wp14:anchorId="4F99F803" wp14:editId="532E053B">
              <wp:simplePos x="635" y="635"/>
              <wp:positionH relativeFrom="page">
                <wp:align>center</wp:align>
              </wp:positionH>
              <wp:positionV relativeFrom="page">
                <wp:align>top</wp:align>
              </wp:positionV>
              <wp:extent cx="551815" cy="391160"/>
              <wp:effectExtent l="0" t="0" r="635" b="8890"/>
              <wp:wrapNone/>
              <wp:docPr id="1749129442"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1C47BF1" w14:textId="49D3A50A"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9F803" id="_x0000_t202" coordsize="21600,21600" o:spt="202" path="m,l,21600r21600,l21600,xe">
              <v:stroke joinstyle="miter"/>
              <v:path gradientshapeok="t" o:connecttype="rect"/>
            </v:shapetype>
            <v:shape id="Text Box 15" o:spid="_x0000_s1041" type="#_x0000_t202" alt="OFFICIAL" style="position:absolute;margin-left:0;margin-top:0;width:43.45pt;height:30.8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Y2DwIAAB0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" filled="f" stroked="f">
              <v:textbox style="mso-fit-shape-to-text:t" inset="0,15pt,0,0">
                <w:txbxContent>
                  <w:p w14:paraId="61C47BF1" w14:textId="49D3A50A"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A61F4" w14:textId="1F79A4CF" w:rsidR="001F5344" w:rsidRPr="00921090" w:rsidRDefault="00000000" w:rsidP="00921090">
    <w:pPr>
      <w:pStyle w:val="Header"/>
    </w:pPr>
    <w:r>
      <w:rPr>
        <w:noProof/>
      </w:rPr>
      <w:pict w14:anchorId="0590C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353.65pt;height:212.15pt;rotation:315;z-index:-251658207;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lang w:eastAsia="en-AU"/>
      </w:rPr>
      <mc:AlternateContent>
        <mc:Choice Requires="wps">
          <w:drawing>
            <wp:anchor distT="0" distB="0" distL="0" distR="0" simplePos="0" relativeHeight="251658254" behindDoc="0" locked="0" layoutInCell="1" allowOverlap="1" wp14:anchorId="7227F094" wp14:editId="0574E856">
              <wp:simplePos x="635" y="635"/>
              <wp:positionH relativeFrom="page">
                <wp:align>center</wp:align>
              </wp:positionH>
              <wp:positionV relativeFrom="page">
                <wp:align>top</wp:align>
              </wp:positionV>
              <wp:extent cx="551815" cy="391160"/>
              <wp:effectExtent l="0" t="0" r="635" b="8890"/>
              <wp:wrapNone/>
              <wp:docPr id="109334499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C9DBC28" w14:textId="0A481636"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7F094" id="_x0000_t202" coordsize="21600,21600" o:spt="202" path="m,l,21600r21600,l21600,xe">
              <v:stroke joinstyle="miter"/>
              <v:path gradientshapeok="t" o:connecttype="rect"/>
            </v:shapetype>
            <v:shape id="Text Box 13" o:spid="_x0000_s1042" type="#_x0000_t202" alt="OFFICIAL" style="position:absolute;margin-left:0;margin-top:0;width:43.45pt;height:30.8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QLDgIAAB0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frpOP4G6gNt5eFIeHBy2VLvlQj4IjwxTIuQ&#10;avGZDm2grzicLM4a8D//5Y/5BDxFOetJMRW3JGnOzHdLhERxJaO4zac53fzo3oyG3XUPQDos6Ek4&#10;mcyYh2Y0tYfujfS8iI0oJKykdhXH0XzAo3TpPUi1WKQk0pETuLJrJ2PpiFcE83V4E96dEEei6glG&#10;OYnyHfDH3PhncIsdEvyJlYjtEcgT5KTBRNbpvUSR/35PWZdX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BBThAsOAgAAHQQA&#10;AA4AAAAAAAAAAAAAAAAALgIAAGRycy9lMm9Eb2MueG1sUEsBAi0AFAAGAAgAAAAhAChQUq/ZAAAA&#10;AwEAAA8AAAAAAAAAAAAAAAAAaAQAAGRycy9kb3ducmV2LnhtbFBLBQYAAAAABAAEAPMAAABuBQAA&#10;AAA=&#10;" filled="f" stroked="f">
              <v:textbox style="mso-fit-shape-to-text:t" inset="0,15pt,0,0">
                <w:txbxContent>
                  <w:p w14:paraId="3C9DBC28" w14:textId="0A481636"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r w:rsidR="001F5344">
      <w:rPr>
        <w:noProof/>
        <w:lang w:eastAsia="en-AU"/>
      </w:rPr>
      <w:drawing>
        <wp:anchor distT="0" distB="0" distL="114300" distR="114300" simplePos="0" relativeHeight="251658240" behindDoc="1" locked="0" layoutInCell="1" allowOverlap="1" wp14:anchorId="2ABC96B0" wp14:editId="428FCFAC">
          <wp:simplePos x="0" y="0"/>
          <wp:positionH relativeFrom="page">
            <wp:posOffset>-12700</wp:posOffset>
          </wp:positionH>
          <wp:positionV relativeFrom="page">
            <wp:posOffset>2540</wp:posOffset>
          </wp:positionV>
          <wp:extent cx="7567200" cy="10692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2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175E" w14:textId="5C42DFBD" w:rsidR="0084434E" w:rsidRDefault="00000000">
    <w:pPr>
      <w:pStyle w:val="Header"/>
    </w:pPr>
    <w:r>
      <w:rPr>
        <w:noProof/>
      </w:rPr>
      <w:pict w14:anchorId="71476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353.65pt;height:212.15pt;rotation:315;z-index:-251658217;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58244" behindDoc="0" locked="0" layoutInCell="1" allowOverlap="1" wp14:anchorId="503ECB3F" wp14:editId="023D4AC1">
              <wp:simplePos x="635" y="635"/>
              <wp:positionH relativeFrom="page">
                <wp:align>center</wp:align>
              </wp:positionH>
              <wp:positionV relativeFrom="page">
                <wp:align>top</wp:align>
              </wp:positionV>
              <wp:extent cx="551815" cy="391160"/>
              <wp:effectExtent l="0" t="0" r="635" b="8890"/>
              <wp:wrapNone/>
              <wp:docPr id="178088905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C9E712" w14:textId="15B25091"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3ECB3F" id="_x0000_t202" coordsize="21600,21600" o:spt="202" path="m,l,21600r21600,l21600,xe">
              <v:stroke joinstyle="miter"/>
              <v:path gradientshapeok="t" o:connecttype="rect"/>
            </v:shapetype>
            <v:shape id="Text Box 3" o:spid="_x0000_s1028"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0DC9E712" w14:textId="15B25091"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16452" w14:textId="128B0398" w:rsidR="00FF0E74" w:rsidRDefault="00000000">
    <w:pPr>
      <w:pStyle w:val="Header"/>
    </w:pPr>
    <w:r>
      <w:rPr>
        <w:noProof/>
      </w:rPr>
      <w:pict w14:anchorId="35298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6" type="#_x0000_t136" style="position:absolute;margin-left:0;margin-top:0;width:353.65pt;height:212.15pt;rotation:315;z-index:-251658219;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rFonts w:ascii="Arial" w:hAnsi="Arial"/>
        <w:noProof/>
        <w:color w:val="54C1AF"/>
        <w:lang w:eastAsia="en-AU"/>
      </w:rPr>
      <mc:AlternateContent>
        <mc:Choice Requires="wps">
          <w:drawing>
            <wp:anchor distT="0" distB="0" distL="0" distR="0" simplePos="0" relativeHeight="251658242" behindDoc="0" locked="0" layoutInCell="1" allowOverlap="1" wp14:anchorId="525B2D20" wp14:editId="6D99AF10">
              <wp:simplePos x="635" y="635"/>
              <wp:positionH relativeFrom="page">
                <wp:align>center</wp:align>
              </wp:positionH>
              <wp:positionV relativeFrom="page">
                <wp:align>top</wp:align>
              </wp:positionV>
              <wp:extent cx="551815" cy="391160"/>
              <wp:effectExtent l="0" t="0" r="635" b="8890"/>
              <wp:wrapNone/>
              <wp:docPr id="9862933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7AFC4CA" w14:textId="4D1D46A2"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5B2D20" id="_x0000_t202" coordsize="21600,21600" o:spt="202" path="m,l,21600r21600,l21600,xe">
              <v:stroke joinstyle="miter"/>
              <v:path gradientshapeok="t" o:connecttype="rect"/>
            </v:shapetype>
            <v:shape id="Text Box 1" o:spid="_x0000_s1031"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17AFC4CA" w14:textId="4D1D46A2"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r w:rsidR="00FF0E74" w:rsidRPr="00617018">
      <w:rPr>
        <w:rFonts w:ascii="Arial" w:hAnsi="Arial"/>
        <w:noProof/>
        <w:color w:val="54C1AF"/>
        <w:lang w:eastAsia="en-AU"/>
      </w:rPr>
      <w:drawing>
        <wp:anchor distT="0" distB="0" distL="114300" distR="114300" simplePos="0" relativeHeight="251658241" behindDoc="1" locked="0" layoutInCell="1" allowOverlap="1" wp14:anchorId="77687C17" wp14:editId="6A3E385A">
          <wp:simplePos x="0" y="0"/>
          <wp:positionH relativeFrom="page">
            <wp:align>right</wp:align>
          </wp:positionH>
          <wp:positionV relativeFrom="page">
            <wp:align>top</wp:align>
          </wp:positionV>
          <wp:extent cx="7546340" cy="10699750"/>
          <wp:effectExtent l="0" t="0" r="0" b="6350"/>
          <wp:wrapNone/>
          <wp:docPr id="214799439" name="Picture 214799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340" cy="10699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D94A" w14:textId="5EF5F234" w:rsidR="00960C72" w:rsidRDefault="00000000">
    <w:pPr>
      <w:pStyle w:val="Header"/>
    </w:pPr>
    <w:r>
      <w:rPr>
        <w:noProof/>
      </w:rPr>
      <w:pict w14:anchorId="6B8EC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353.65pt;height:212.15pt;rotation:315;z-index:-251658215;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58246" behindDoc="0" locked="0" layoutInCell="1" allowOverlap="1" wp14:anchorId="459A603A" wp14:editId="77E4FAF9">
              <wp:simplePos x="635" y="635"/>
              <wp:positionH relativeFrom="page">
                <wp:align>center</wp:align>
              </wp:positionH>
              <wp:positionV relativeFrom="page">
                <wp:align>top</wp:align>
              </wp:positionV>
              <wp:extent cx="551815" cy="391160"/>
              <wp:effectExtent l="0" t="0" r="635" b="8890"/>
              <wp:wrapNone/>
              <wp:docPr id="40296354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BC65A1C" w14:textId="737BB8EA"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A603A" id="_x0000_t202" coordsize="21600,21600" o:spt="202" path="m,l,21600r21600,l21600,xe">
              <v:stroke joinstyle="miter"/>
              <v:path gradientshapeok="t" o:connecttype="rect"/>
            </v:shapetype>
            <v:shape id="Text Box 5" o:spid="_x0000_s1033" type="#_x0000_t202" alt="OFFICIAL" style="position:absolute;margin-left:0;margin-top:0;width:43.45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2BC65A1C" w14:textId="737BB8EA"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40BA" w14:textId="22502FCA" w:rsidR="00F33F85" w:rsidRDefault="00000000" w:rsidP="008D07DF">
    <w:pPr>
      <w:pStyle w:val="Header"/>
    </w:pPr>
    <w:r>
      <w:rPr>
        <w:noProof/>
      </w:rPr>
      <w:pict w14:anchorId="35AF5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353.65pt;height:212.15pt;rotation:315;z-index:-251658214;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58247" behindDoc="0" locked="0" layoutInCell="1" allowOverlap="1" wp14:anchorId="6C918DAF" wp14:editId="51BE68B0">
              <wp:simplePos x="635" y="635"/>
              <wp:positionH relativeFrom="page">
                <wp:align>center</wp:align>
              </wp:positionH>
              <wp:positionV relativeFrom="page">
                <wp:align>top</wp:align>
              </wp:positionV>
              <wp:extent cx="551815" cy="391160"/>
              <wp:effectExtent l="0" t="0" r="635" b="8890"/>
              <wp:wrapNone/>
              <wp:docPr id="203561144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FFE5331" w14:textId="6ACA6021"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18DAF" id="_x0000_t202" coordsize="21600,21600" o:spt="202" path="m,l,21600r21600,l21600,xe">
              <v:stroke joinstyle="miter"/>
              <v:path gradientshapeok="t" o:connecttype="rect"/>
            </v:shapetype>
            <v:shape id="Text Box 6" o:spid="_x0000_s1034" type="#_x0000_t202" alt="OFFICIAL" style="position:absolute;margin-left:0;margin-top:0;width:43.45pt;height:30.8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filled="f" stroked="f">
              <v:textbox style="mso-fit-shape-to-text:t" inset="0,15pt,0,0">
                <w:txbxContent>
                  <w:p w14:paraId="4FFE5331" w14:textId="6ACA6021"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B22E9" w14:textId="31B876FB" w:rsidR="00960C72" w:rsidRDefault="00000000">
    <w:pPr>
      <w:pStyle w:val="Header"/>
    </w:pPr>
    <w:r>
      <w:rPr>
        <w:noProof/>
      </w:rPr>
      <w:pict w14:anchorId="41B75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353.65pt;height:212.15pt;rotation:315;z-index:-251658216;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58245" behindDoc="0" locked="0" layoutInCell="1" allowOverlap="1" wp14:anchorId="3EB7BA67" wp14:editId="027D6A6E">
              <wp:simplePos x="635" y="635"/>
              <wp:positionH relativeFrom="page">
                <wp:align>center</wp:align>
              </wp:positionH>
              <wp:positionV relativeFrom="page">
                <wp:align>top</wp:align>
              </wp:positionV>
              <wp:extent cx="551815" cy="391160"/>
              <wp:effectExtent l="0" t="0" r="635" b="8890"/>
              <wp:wrapNone/>
              <wp:docPr id="171149748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C4B861D" w14:textId="78650E3A"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B7BA67" id="_x0000_t202" coordsize="21600,21600" o:spt="202" path="m,l,21600r21600,l21600,xe">
              <v:stroke joinstyle="miter"/>
              <v:path gradientshapeok="t" o:connecttype="rect"/>
            </v:shapetype>
            <v:shape id="Text Box 4" o:spid="_x0000_s1036" type="#_x0000_t202" alt="OFFICIAL" style="position:absolute;margin-left:0;margin-top:0;width:43.45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HJhMbEOAgAAHAQA&#10;AA4AAAAAAAAAAAAAAAAALgIAAGRycy9lMm9Eb2MueG1sUEsBAi0AFAAGAAgAAAAhAChQUq/ZAAAA&#10;AwEAAA8AAAAAAAAAAAAAAAAAaAQAAGRycy9kb3ducmV2LnhtbFBLBQYAAAAABAAEAPMAAABuBQAA&#10;AAA=&#10;" filled="f" stroked="f">
              <v:textbox style="mso-fit-shape-to-text:t" inset="0,15pt,0,0">
                <w:txbxContent>
                  <w:p w14:paraId="7C4B861D" w14:textId="78650E3A"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0C52" w14:textId="6810D046" w:rsidR="009C29C1" w:rsidRDefault="00000000">
    <w:pPr>
      <w:pStyle w:val="Header"/>
    </w:pPr>
    <w:r>
      <w:rPr>
        <w:noProof/>
      </w:rPr>
      <w:pict w14:anchorId="6FAA0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353.65pt;height:212.15pt;rotation:315;z-index:-251658209;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60800" behindDoc="0" locked="0" layoutInCell="1" allowOverlap="1" wp14:anchorId="274A6583" wp14:editId="4095D61B">
              <wp:simplePos x="635" y="635"/>
              <wp:positionH relativeFrom="page">
                <wp:align>center</wp:align>
              </wp:positionH>
              <wp:positionV relativeFrom="page">
                <wp:align>top</wp:align>
              </wp:positionV>
              <wp:extent cx="551815" cy="391160"/>
              <wp:effectExtent l="0" t="0" r="635" b="8890"/>
              <wp:wrapNone/>
              <wp:docPr id="21792065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86ED625" w14:textId="3F1A11D3"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4A6583" id="_x0000_t202" coordsize="21600,21600" o:spt="202" path="m,l,21600r21600,l21600,xe">
              <v:stroke joinstyle="miter"/>
              <v:path gradientshapeok="t" o:connecttype="rect"/>
            </v:shapetype>
            <v:shape id="Text Box 11" o:spid="_x0000_s1037" type="#_x0000_t202" alt="OFFICIAL" style="position:absolute;margin-left:0;margin-top:0;width:43.45pt;height:30.8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yRH8wA0CAAAdBAAA&#10;DgAAAAAAAAAAAAAAAAAuAgAAZHJzL2Uyb0RvYy54bWxQSwECLQAUAAYACAAAACEAKFBSr9kAAAAD&#10;AQAADwAAAAAAAAAAAAAAAABnBAAAZHJzL2Rvd25yZXYueG1sUEsFBgAAAAAEAAQA8wAAAG0FAAAA&#10;AA==&#10;" filled="f" stroked="f">
              <v:textbox style="mso-fit-shape-to-text:t" inset="0,15pt,0,0">
                <w:txbxContent>
                  <w:p w14:paraId="286ED625" w14:textId="3F1A11D3"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1606" w14:textId="466F5ED9" w:rsidR="00960C72" w:rsidRDefault="00000000">
    <w:pPr>
      <w:pStyle w:val="Header"/>
    </w:pPr>
    <w:r>
      <w:rPr>
        <w:noProof/>
      </w:rPr>
      <w:pict w14:anchorId="52920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353.65pt;height:212.15pt;rotation:315;z-index:-251658208;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61824" behindDoc="0" locked="0" layoutInCell="1" allowOverlap="1" wp14:anchorId="726D3300" wp14:editId="5FA00278">
              <wp:simplePos x="581025" y="447675"/>
              <wp:positionH relativeFrom="page">
                <wp:align>center</wp:align>
              </wp:positionH>
              <wp:positionV relativeFrom="page">
                <wp:align>top</wp:align>
              </wp:positionV>
              <wp:extent cx="551815" cy="391160"/>
              <wp:effectExtent l="0" t="0" r="635" b="8890"/>
              <wp:wrapNone/>
              <wp:docPr id="1036388186"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542A981" w14:textId="596D7B46"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D3300" id="_x0000_t202" coordsize="21600,21600" o:spt="202" path="m,l,21600r21600,l21600,xe">
              <v:stroke joinstyle="miter"/>
              <v:path gradientshapeok="t" o:connecttype="rect"/>
            </v:shapetype>
            <v:shape id="Text Box 12" o:spid="_x0000_s1038" type="#_x0000_t202" alt="OFFICIAL" style="position:absolute;margin-left:0;margin-top:0;width:43.45pt;height:30.8pt;z-index:25166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79DgIAAB0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frz+BuoD7SVhyPhwcllS71XIuCL8MQwLUKq&#10;xWc6tIG+4nCyOGvA//yXP+YT8BTlrCfFVNySpDkz3y0REsWVjOI2n+Z086N7Mxp21z0A6bCgJ+Fk&#10;MmMemtHUHro30vMiNqKQsJLaVRxH8wGP0qX3INVikZJIR07gyq6djKUjXhHM1+FNeHdCHImqJxjl&#10;JMp3wB9z45/BLXZI8CdWIrZHIE+QkwYTWaf3EkX++z1lXV71/BcA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KSuTv0OAgAAHQQA&#10;AA4AAAAAAAAAAAAAAAAALgIAAGRycy9lMm9Eb2MueG1sUEsBAi0AFAAGAAgAAAAhAChQUq/ZAAAA&#10;AwEAAA8AAAAAAAAAAAAAAAAAaAQAAGRycy9kb3ducmV2LnhtbFBLBQYAAAAABAAEAPMAAABuBQAA&#10;AAA=&#10;" filled="f" stroked="f">
              <v:textbox style="mso-fit-shape-to-text:t" inset="0,15pt,0,0">
                <w:txbxContent>
                  <w:p w14:paraId="3542A981" w14:textId="596D7B46"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3803" w14:textId="54760D1A" w:rsidR="001F5344" w:rsidRPr="00921090" w:rsidRDefault="00000000" w:rsidP="00921090">
    <w:pPr>
      <w:pStyle w:val="Header"/>
    </w:pPr>
    <w:r>
      <w:rPr>
        <w:noProof/>
      </w:rPr>
      <w:pict w14:anchorId="598B6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353.65pt;height:212.15pt;rotation:315;z-index:-251658210;mso-position-horizontal:center;mso-position-horizontal-relative:margin;mso-position-vertical:center;mso-position-vertical-relative:margin" o:allowincell="f" fillcolor="silver" stroked="f">
          <v:fill opacity=".5"/>
          <v:textpath style="font-family:&quot;Fira Sans regular&quot;;font-size:1pt" string="DRAFT"/>
          <w10:wrap anchorx="margin" anchory="margin"/>
        </v:shape>
      </w:pict>
    </w:r>
    <w:r w:rsidR="0084434E">
      <w:rPr>
        <w:noProof/>
      </w:rPr>
      <mc:AlternateContent>
        <mc:Choice Requires="wps">
          <w:drawing>
            <wp:anchor distT="0" distB="0" distL="0" distR="0" simplePos="0" relativeHeight="251659776" behindDoc="0" locked="0" layoutInCell="1" allowOverlap="1" wp14:anchorId="431B0492" wp14:editId="707C01B9">
              <wp:simplePos x="581025" y="447675"/>
              <wp:positionH relativeFrom="page">
                <wp:align>center</wp:align>
              </wp:positionH>
              <wp:positionV relativeFrom="page">
                <wp:align>top</wp:align>
              </wp:positionV>
              <wp:extent cx="551815" cy="391160"/>
              <wp:effectExtent l="0" t="0" r="635" b="8890"/>
              <wp:wrapNone/>
              <wp:docPr id="13393544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8F78A0F" w14:textId="4B785EE1"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1B0492" id="_x0000_t202" coordsize="21600,21600" o:spt="202" path="m,l,21600r21600,l21600,xe">
              <v:stroke joinstyle="miter"/>
              <v:path gradientshapeok="t" o:connecttype="rect"/>
            </v:shapetype>
            <v:shape id="Text Box 10" o:spid="_x0000_s1039" type="#_x0000_t202" alt="OFFICIAL" style="position:absolute;margin-left:0;margin-top:0;width:43.45pt;height:30.8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m7DgIAAB0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afrpOP4W6iNt5eFEeHBy1VLvtQj4IjwxTIuQ&#10;avGZDm2grzicLc4a8D/+5o/5BDxFOetJMRW3JGnOzDdLhERxJaO4y2c53fzo3o6G3XcPQDos6Ek4&#10;mcyYh2Y0tYfujfS8jI0oJKykdhXH0XzAk3TpPUi1XKYk0pETuLYbJ2PpiFcE83V4E96dEUei6glG&#10;OYnyHfCn3PhncMs9EvyJlYjtCcgz5KTBRNb5vUSR/3pPWddXvfgJ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BNvmbsOAgAAHQQA&#10;AA4AAAAAAAAAAAAAAAAALgIAAGRycy9lMm9Eb2MueG1sUEsBAi0AFAAGAAgAAAAhAChQUq/ZAAAA&#10;AwEAAA8AAAAAAAAAAAAAAAAAaAQAAGRycy9kb3ducmV2LnhtbFBLBQYAAAAABAAEAPMAAABuBQAA&#10;AAA=&#10;" filled="f" stroked="f">
              <v:textbox style="mso-fit-shape-to-text:t" inset="0,15pt,0,0">
                <w:txbxContent>
                  <w:p w14:paraId="78F78A0F" w14:textId="4B785EE1" w:rsidR="0084434E" w:rsidRPr="0084434E" w:rsidRDefault="0084434E" w:rsidP="0084434E">
                    <w:pPr>
                      <w:spacing w:after="0"/>
                      <w:rPr>
                        <w:rFonts w:ascii="Calibri" w:eastAsia="Calibri" w:hAnsi="Calibri" w:cs="Calibri"/>
                        <w:noProof/>
                        <w:color w:val="FF0000"/>
                        <w:sz w:val="24"/>
                        <w:szCs w:val="24"/>
                      </w:rPr>
                    </w:pPr>
                    <w:r w:rsidRPr="0084434E">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74C"/>
    <w:multiLevelType w:val="hybridMultilevel"/>
    <w:tmpl w:val="A2E6D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A722E"/>
    <w:multiLevelType w:val="hybridMultilevel"/>
    <w:tmpl w:val="10088390"/>
    <w:lvl w:ilvl="0" w:tplc="FFFFFFFF">
      <w:start w:val="1"/>
      <w:numFmt w:val="bullet"/>
      <w:lvlText w:val=""/>
      <w:lvlJc w:val="left"/>
      <w:pPr>
        <w:ind w:left="927" w:hanging="360"/>
      </w:pPr>
      <w:rPr>
        <w:rFonts w:ascii="Symbol" w:hAnsi="Symbol" w:hint="default"/>
        <w:color w:val="15272F" w:themeColor="accent1"/>
      </w:rPr>
    </w:lvl>
    <w:lvl w:ilvl="1" w:tplc="4E521D2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3CE1"/>
    <w:multiLevelType w:val="hybridMultilevel"/>
    <w:tmpl w:val="97F61D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83F7C29"/>
    <w:multiLevelType w:val="hybridMultilevel"/>
    <w:tmpl w:val="071E4AC8"/>
    <w:lvl w:ilvl="0" w:tplc="70A6F310">
      <w:start w:val="1"/>
      <w:numFmt w:val="bullet"/>
      <w:lvlText w:val=""/>
      <w:lvlJc w:val="left"/>
      <w:pPr>
        <w:ind w:left="720" w:hanging="360"/>
      </w:pPr>
      <w:rPr>
        <w:rFonts w:ascii="Symbol" w:hAnsi="Symbol"/>
      </w:rPr>
    </w:lvl>
    <w:lvl w:ilvl="1" w:tplc="4BC2E4CA">
      <w:start w:val="1"/>
      <w:numFmt w:val="bullet"/>
      <w:lvlText w:val=""/>
      <w:lvlJc w:val="left"/>
      <w:pPr>
        <w:ind w:left="720" w:hanging="360"/>
      </w:pPr>
      <w:rPr>
        <w:rFonts w:ascii="Symbol" w:hAnsi="Symbol"/>
      </w:rPr>
    </w:lvl>
    <w:lvl w:ilvl="2" w:tplc="9ECA52EC">
      <w:start w:val="1"/>
      <w:numFmt w:val="bullet"/>
      <w:lvlText w:val=""/>
      <w:lvlJc w:val="left"/>
      <w:pPr>
        <w:ind w:left="720" w:hanging="360"/>
      </w:pPr>
      <w:rPr>
        <w:rFonts w:ascii="Symbol" w:hAnsi="Symbol"/>
      </w:rPr>
    </w:lvl>
    <w:lvl w:ilvl="3" w:tplc="8C7CFC68">
      <w:start w:val="1"/>
      <w:numFmt w:val="bullet"/>
      <w:lvlText w:val=""/>
      <w:lvlJc w:val="left"/>
      <w:pPr>
        <w:ind w:left="720" w:hanging="360"/>
      </w:pPr>
      <w:rPr>
        <w:rFonts w:ascii="Symbol" w:hAnsi="Symbol"/>
      </w:rPr>
    </w:lvl>
    <w:lvl w:ilvl="4" w:tplc="C36C9514">
      <w:start w:val="1"/>
      <w:numFmt w:val="bullet"/>
      <w:lvlText w:val=""/>
      <w:lvlJc w:val="left"/>
      <w:pPr>
        <w:ind w:left="720" w:hanging="360"/>
      </w:pPr>
      <w:rPr>
        <w:rFonts w:ascii="Symbol" w:hAnsi="Symbol"/>
      </w:rPr>
    </w:lvl>
    <w:lvl w:ilvl="5" w:tplc="8974C752">
      <w:start w:val="1"/>
      <w:numFmt w:val="bullet"/>
      <w:lvlText w:val=""/>
      <w:lvlJc w:val="left"/>
      <w:pPr>
        <w:ind w:left="720" w:hanging="360"/>
      </w:pPr>
      <w:rPr>
        <w:rFonts w:ascii="Symbol" w:hAnsi="Symbol"/>
      </w:rPr>
    </w:lvl>
    <w:lvl w:ilvl="6" w:tplc="1CD696C0">
      <w:start w:val="1"/>
      <w:numFmt w:val="bullet"/>
      <w:lvlText w:val=""/>
      <w:lvlJc w:val="left"/>
      <w:pPr>
        <w:ind w:left="720" w:hanging="360"/>
      </w:pPr>
      <w:rPr>
        <w:rFonts w:ascii="Symbol" w:hAnsi="Symbol"/>
      </w:rPr>
    </w:lvl>
    <w:lvl w:ilvl="7" w:tplc="B27022FA">
      <w:start w:val="1"/>
      <w:numFmt w:val="bullet"/>
      <w:lvlText w:val=""/>
      <w:lvlJc w:val="left"/>
      <w:pPr>
        <w:ind w:left="720" w:hanging="360"/>
      </w:pPr>
      <w:rPr>
        <w:rFonts w:ascii="Symbol" w:hAnsi="Symbol"/>
      </w:rPr>
    </w:lvl>
    <w:lvl w:ilvl="8" w:tplc="5BB235F8">
      <w:start w:val="1"/>
      <w:numFmt w:val="bullet"/>
      <w:lvlText w:val=""/>
      <w:lvlJc w:val="left"/>
      <w:pPr>
        <w:ind w:left="720" w:hanging="360"/>
      </w:pPr>
      <w:rPr>
        <w:rFonts w:ascii="Symbol" w:hAnsi="Symbol"/>
      </w:rPr>
    </w:lvl>
  </w:abstractNum>
  <w:abstractNum w:abstractNumId="4" w15:restartNumberingAfterBreak="0">
    <w:nsid w:val="0EAC1C46"/>
    <w:multiLevelType w:val="hybridMultilevel"/>
    <w:tmpl w:val="D304E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DD793E"/>
    <w:multiLevelType w:val="hybridMultilevel"/>
    <w:tmpl w:val="556C6AA8"/>
    <w:lvl w:ilvl="0" w:tplc="82B24ABA">
      <w:start w:val="1"/>
      <w:numFmt w:val="lowerLetter"/>
      <w:lvlText w:val="%1)"/>
      <w:lvlJc w:val="left"/>
      <w:pPr>
        <w:ind w:left="4188"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15:restartNumberingAfterBreak="0">
    <w:nsid w:val="0F2B158E"/>
    <w:multiLevelType w:val="hybridMultilevel"/>
    <w:tmpl w:val="CB065936"/>
    <w:lvl w:ilvl="0" w:tplc="C7B62436">
      <w:start w:val="1"/>
      <w:numFmt w:val="bullet"/>
      <w:pStyle w:val="BulletList"/>
      <w:lvlText w:val=""/>
      <w:lvlJc w:val="left"/>
      <w:pPr>
        <w:ind w:left="927" w:hanging="360"/>
      </w:pPr>
      <w:rPr>
        <w:rFonts w:ascii="Symbol" w:hAnsi="Symbol" w:hint="default"/>
        <w:color w:val="15272F" w:themeColor="accent1"/>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 w15:restartNumberingAfterBreak="0">
    <w:nsid w:val="10775534"/>
    <w:multiLevelType w:val="hybridMultilevel"/>
    <w:tmpl w:val="D9A0636E"/>
    <w:lvl w:ilvl="0" w:tplc="102CD702">
      <w:start w:val="1"/>
      <w:numFmt w:val="bullet"/>
      <w:lvlText w:val=""/>
      <w:lvlJc w:val="left"/>
      <w:pPr>
        <w:ind w:left="720" w:hanging="360"/>
      </w:pPr>
      <w:rPr>
        <w:rFonts w:ascii="Symbol" w:hAnsi="Symbol"/>
      </w:rPr>
    </w:lvl>
    <w:lvl w:ilvl="1" w:tplc="1C1CD146">
      <w:start w:val="1"/>
      <w:numFmt w:val="bullet"/>
      <w:lvlText w:val=""/>
      <w:lvlJc w:val="left"/>
      <w:pPr>
        <w:ind w:left="720" w:hanging="360"/>
      </w:pPr>
      <w:rPr>
        <w:rFonts w:ascii="Symbol" w:hAnsi="Symbol"/>
      </w:rPr>
    </w:lvl>
    <w:lvl w:ilvl="2" w:tplc="ED708F90">
      <w:start w:val="1"/>
      <w:numFmt w:val="bullet"/>
      <w:lvlText w:val=""/>
      <w:lvlJc w:val="left"/>
      <w:pPr>
        <w:ind w:left="720" w:hanging="360"/>
      </w:pPr>
      <w:rPr>
        <w:rFonts w:ascii="Symbol" w:hAnsi="Symbol"/>
      </w:rPr>
    </w:lvl>
    <w:lvl w:ilvl="3" w:tplc="1176376C">
      <w:start w:val="1"/>
      <w:numFmt w:val="bullet"/>
      <w:lvlText w:val=""/>
      <w:lvlJc w:val="left"/>
      <w:pPr>
        <w:ind w:left="720" w:hanging="360"/>
      </w:pPr>
      <w:rPr>
        <w:rFonts w:ascii="Symbol" w:hAnsi="Symbol"/>
      </w:rPr>
    </w:lvl>
    <w:lvl w:ilvl="4" w:tplc="AE047DE8">
      <w:start w:val="1"/>
      <w:numFmt w:val="bullet"/>
      <w:lvlText w:val=""/>
      <w:lvlJc w:val="left"/>
      <w:pPr>
        <w:ind w:left="720" w:hanging="360"/>
      </w:pPr>
      <w:rPr>
        <w:rFonts w:ascii="Symbol" w:hAnsi="Symbol"/>
      </w:rPr>
    </w:lvl>
    <w:lvl w:ilvl="5" w:tplc="902EDF96">
      <w:start w:val="1"/>
      <w:numFmt w:val="bullet"/>
      <w:lvlText w:val=""/>
      <w:lvlJc w:val="left"/>
      <w:pPr>
        <w:ind w:left="720" w:hanging="360"/>
      </w:pPr>
      <w:rPr>
        <w:rFonts w:ascii="Symbol" w:hAnsi="Symbol"/>
      </w:rPr>
    </w:lvl>
    <w:lvl w:ilvl="6" w:tplc="0A3049D0">
      <w:start w:val="1"/>
      <w:numFmt w:val="bullet"/>
      <w:lvlText w:val=""/>
      <w:lvlJc w:val="left"/>
      <w:pPr>
        <w:ind w:left="720" w:hanging="360"/>
      </w:pPr>
      <w:rPr>
        <w:rFonts w:ascii="Symbol" w:hAnsi="Symbol"/>
      </w:rPr>
    </w:lvl>
    <w:lvl w:ilvl="7" w:tplc="323EC93E">
      <w:start w:val="1"/>
      <w:numFmt w:val="bullet"/>
      <w:lvlText w:val=""/>
      <w:lvlJc w:val="left"/>
      <w:pPr>
        <w:ind w:left="720" w:hanging="360"/>
      </w:pPr>
      <w:rPr>
        <w:rFonts w:ascii="Symbol" w:hAnsi="Symbol"/>
      </w:rPr>
    </w:lvl>
    <w:lvl w:ilvl="8" w:tplc="FA402A7C">
      <w:start w:val="1"/>
      <w:numFmt w:val="bullet"/>
      <w:lvlText w:val=""/>
      <w:lvlJc w:val="left"/>
      <w:pPr>
        <w:ind w:left="720" w:hanging="360"/>
      </w:pPr>
      <w:rPr>
        <w:rFonts w:ascii="Symbol" w:hAnsi="Symbol"/>
      </w:rPr>
    </w:lvl>
  </w:abstractNum>
  <w:abstractNum w:abstractNumId="8" w15:restartNumberingAfterBreak="0">
    <w:nsid w:val="12253D18"/>
    <w:multiLevelType w:val="hybridMultilevel"/>
    <w:tmpl w:val="FCE21286"/>
    <w:lvl w:ilvl="0" w:tplc="16900E3A">
      <w:start w:val="1"/>
      <w:numFmt w:val="decimal"/>
      <w:pStyle w:val="NumberedList"/>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257E172A"/>
    <w:multiLevelType w:val="hybridMultilevel"/>
    <w:tmpl w:val="BB400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1D6B51"/>
    <w:multiLevelType w:val="hybridMultilevel"/>
    <w:tmpl w:val="54FC9E50"/>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2EE54D46"/>
    <w:multiLevelType w:val="hybridMultilevel"/>
    <w:tmpl w:val="64F6A5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282E2A"/>
    <w:multiLevelType w:val="hybridMultilevel"/>
    <w:tmpl w:val="86BAF4AE"/>
    <w:lvl w:ilvl="0" w:tplc="6AACE800">
      <w:start w:val="1"/>
      <w:numFmt w:val="lowerLetter"/>
      <w:pStyle w:val="H4-List"/>
      <w:lvlText w:val="%1)"/>
      <w:lvlJc w:val="left"/>
      <w:pPr>
        <w:ind w:left="36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87A06"/>
    <w:multiLevelType w:val="hybridMultilevel"/>
    <w:tmpl w:val="03EA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B613E"/>
    <w:multiLevelType w:val="hybridMultilevel"/>
    <w:tmpl w:val="BB040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266C5D"/>
    <w:multiLevelType w:val="multilevel"/>
    <w:tmpl w:val="CE761F80"/>
    <w:styleLink w:val="CurrentList1"/>
    <w:lvl w:ilvl="0">
      <w:start w:val="1"/>
      <w:numFmt w:val="bullet"/>
      <w:lvlText w:val=""/>
      <w:lvlJc w:val="left"/>
      <w:pPr>
        <w:ind w:left="360" w:hanging="360"/>
      </w:pPr>
      <w:rPr>
        <w:rFonts w:ascii="Wingdings 2" w:hAnsi="Wingdings 2" w:hint="default"/>
        <w:color w:val="15272F" w:themeColor="accen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104F99"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172B7A"/>
    <w:multiLevelType w:val="hybridMultilevel"/>
    <w:tmpl w:val="F65857BE"/>
    <w:lvl w:ilvl="0" w:tplc="CBC0413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8148AA"/>
    <w:multiLevelType w:val="hybridMultilevel"/>
    <w:tmpl w:val="D9B0B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C317CB"/>
    <w:multiLevelType w:val="hybridMultilevel"/>
    <w:tmpl w:val="1AC65C6E"/>
    <w:lvl w:ilvl="0" w:tplc="7798A402">
      <w:start w:val="1"/>
      <w:numFmt w:val="bullet"/>
      <w:lvlText w:val=""/>
      <w:lvlJc w:val="left"/>
      <w:pPr>
        <w:ind w:left="1080" w:hanging="360"/>
      </w:pPr>
      <w:rPr>
        <w:rFonts w:ascii="Symbol" w:hAnsi="Symbol"/>
      </w:rPr>
    </w:lvl>
    <w:lvl w:ilvl="1" w:tplc="6FBE27F6">
      <w:start w:val="1"/>
      <w:numFmt w:val="bullet"/>
      <w:lvlText w:val=""/>
      <w:lvlJc w:val="left"/>
      <w:pPr>
        <w:ind w:left="1080" w:hanging="360"/>
      </w:pPr>
      <w:rPr>
        <w:rFonts w:ascii="Symbol" w:hAnsi="Symbol"/>
      </w:rPr>
    </w:lvl>
    <w:lvl w:ilvl="2" w:tplc="7E7258BA">
      <w:start w:val="1"/>
      <w:numFmt w:val="bullet"/>
      <w:lvlText w:val=""/>
      <w:lvlJc w:val="left"/>
      <w:pPr>
        <w:ind w:left="1080" w:hanging="360"/>
      </w:pPr>
      <w:rPr>
        <w:rFonts w:ascii="Symbol" w:hAnsi="Symbol"/>
      </w:rPr>
    </w:lvl>
    <w:lvl w:ilvl="3" w:tplc="6A84AC50">
      <w:start w:val="1"/>
      <w:numFmt w:val="bullet"/>
      <w:lvlText w:val=""/>
      <w:lvlJc w:val="left"/>
      <w:pPr>
        <w:ind w:left="1080" w:hanging="360"/>
      </w:pPr>
      <w:rPr>
        <w:rFonts w:ascii="Symbol" w:hAnsi="Symbol"/>
      </w:rPr>
    </w:lvl>
    <w:lvl w:ilvl="4" w:tplc="FCF020D6">
      <w:start w:val="1"/>
      <w:numFmt w:val="bullet"/>
      <w:lvlText w:val=""/>
      <w:lvlJc w:val="left"/>
      <w:pPr>
        <w:ind w:left="1080" w:hanging="360"/>
      </w:pPr>
      <w:rPr>
        <w:rFonts w:ascii="Symbol" w:hAnsi="Symbol"/>
      </w:rPr>
    </w:lvl>
    <w:lvl w:ilvl="5" w:tplc="2AFA294E">
      <w:start w:val="1"/>
      <w:numFmt w:val="bullet"/>
      <w:lvlText w:val=""/>
      <w:lvlJc w:val="left"/>
      <w:pPr>
        <w:ind w:left="1080" w:hanging="360"/>
      </w:pPr>
      <w:rPr>
        <w:rFonts w:ascii="Symbol" w:hAnsi="Symbol"/>
      </w:rPr>
    </w:lvl>
    <w:lvl w:ilvl="6" w:tplc="E41CC7E0">
      <w:start w:val="1"/>
      <w:numFmt w:val="bullet"/>
      <w:lvlText w:val=""/>
      <w:lvlJc w:val="left"/>
      <w:pPr>
        <w:ind w:left="1080" w:hanging="360"/>
      </w:pPr>
      <w:rPr>
        <w:rFonts w:ascii="Symbol" w:hAnsi="Symbol"/>
      </w:rPr>
    </w:lvl>
    <w:lvl w:ilvl="7" w:tplc="616E3436">
      <w:start w:val="1"/>
      <w:numFmt w:val="bullet"/>
      <w:lvlText w:val=""/>
      <w:lvlJc w:val="left"/>
      <w:pPr>
        <w:ind w:left="1080" w:hanging="360"/>
      </w:pPr>
      <w:rPr>
        <w:rFonts w:ascii="Symbol" w:hAnsi="Symbol"/>
      </w:rPr>
    </w:lvl>
    <w:lvl w:ilvl="8" w:tplc="89D430FA">
      <w:start w:val="1"/>
      <w:numFmt w:val="bullet"/>
      <w:lvlText w:val=""/>
      <w:lvlJc w:val="left"/>
      <w:pPr>
        <w:ind w:left="1080" w:hanging="360"/>
      </w:pPr>
      <w:rPr>
        <w:rFonts w:ascii="Symbol" w:hAnsi="Symbol"/>
      </w:rPr>
    </w:lvl>
  </w:abstractNum>
  <w:abstractNum w:abstractNumId="20" w15:restartNumberingAfterBreak="0">
    <w:nsid w:val="4D8229AB"/>
    <w:multiLevelType w:val="multilevel"/>
    <w:tmpl w:val="C77C6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B47EA5"/>
    <w:multiLevelType w:val="hybridMultilevel"/>
    <w:tmpl w:val="A3EE5CBA"/>
    <w:lvl w:ilvl="0" w:tplc="D9C279A0">
      <w:start w:val="3"/>
      <w:numFmt w:val="lowerLetter"/>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F779EB"/>
    <w:multiLevelType w:val="hybridMultilevel"/>
    <w:tmpl w:val="21400386"/>
    <w:lvl w:ilvl="0" w:tplc="A8B83EE6">
      <w:start w:val="1"/>
      <w:numFmt w:val="bullet"/>
      <w:lvlText w:val=""/>
      <w:lvlJc w:val="left"/>
      <w:pPr>
        <w:ind w:left="720" w:hanging="360"/>
      </w:pPr>
      <w:rPr>
        <w:rFonts w:ascii="Symbol" w:hAnsi="Symbol"/>
      </w:rPr>
    </w:lvl>
    <w:lvl w:ilvl="1" w:tplc="7E982B90">
      <w:start w:val="1"/>
      <w:numFmt w:val="bullet"/>
      <w:lvlText w:val=""/>
      <w:lvlJc w:val="left"/>
      <w:pPr>
        <w:ind w:left="720" w:hanging="360"/>
      </w:pPr>
      <w:rPr>
        <w:rFonts w:ascii="Symbol" w:hAnsi="Symbol"/>
      </w:rPr>
    </w:lvl>
    <w:lvl w:ilvl="2" w:tplc="A48AD476">
      <w:start w:val="1"/>
      <w:numFmt w:val="bullet"/>
      <w:lvlText w:val=""/>
      <w:lvlJc w:val="left"/>
      <w:pPr>
        <w:ind w:left="720" w:hanging="360"/>
      </w:pPr>
      <w:rPr>
        <w:rFonts w:ascii="Symbol" w:hAnsi="Symbol"/>
      </w:rPr>
    </w:lvl>
    <w:lvl w:ilvl="3" w:tplc="4574E546">
      <w:start w:val="1"/>
      <w:numFmt w:val="bullet"/>
      <w:lvlText w:val=""/>
      <w:lvlJc w:val="left"/>
      <w:pPr>
        <w:ind w:left="720" w:hanging="360"/>
      </w:pPr>
      <w:rPr>
        <w:rFonts w:ascii="Symbol" w:hAnsi="Symbol"/>
      </w:rPr>
    </w:lvl>
    <w:lvl w:ilvl="4" w:tplc="656659A6">
      <w:start w:val="1"/>
      <w:numFmt w:val="bullet"/>
      <w:lvlText w:val=""/>
      <w:lvlJc w:val="left"/>
      <w:pPr>
        <w:ind w:left="720" w:hanging="360"/>
      </w:pPr>
      <w:rPr>
        <w:rFonts w:ascii="Symbol" w:hAnsi="Symbol"/>
      </w:rPr>
    </w:lvl>
    <w:lvl w:ilvl="5" w:tplc="AF7243DC">
      <w:start w:val="1"/>
      <w:numFmt w:val="bullet"/>
      <w:lvlText w:val=""/>
      <w:lvlJc w:val="left"/>
      <w:pPr>
        <w:ind w:left="720" w:hanging="360"/>
      </w:pPr>
      <w:rPr>
        <w:rFonts w:ascii="Symbol" w:hAnsi="Symbol"/>
      </w:rPr>
    </w:lvl>
    <w:lvl w:ilvl="6" w:tplc="E60C08D4">
      <w:start w:val="1"/>
      <w:numFmt w:val="bullet"/>
      <w:lvlText w:val=""/>
      <w:lvlJc w:val="left"/>
      <w:pPr>
        <w:ind w:left="720" w:hanging="360"/>
      </w:pPr>
      <w:rPr>
        <w:rFonts w:ascii="Symbol" w:hAnsi="Symbol"/>
      </w:rPr>
    </w:lvl>
    <w:lvl w:ilvl="7" w:tplc="EE2E0064">
      <w:start w:val="1"/>
      <w:numFmt w:val="bullet"/>
      <w:lvlText w:val=""/>
      <w:lvlJc w:val="left"/>
      <w:pPr>
        <w:ind w:left="720" w:hanging="360"/>
      </w:pPr>
      <w:rPr>
        <w:rFonts w:ascii="Symbol" w:hAnsi="Symbol"/>
      </w:rPr>
    </w:lvl>
    <w:lvl w:ilvl="8" w:tplc="399A1EA6">
      <w:start w:val="1"/>
      <w:numFmt w:val="bullet"/>
      <w:lvlText w:val=""/>
      <w:lvlJc w:val="left"/>
      <w:pPr>
        <w:ind w:left="720" w:hanging="360"/>
      </w:pPr>
      <w:rPr>
        <w:rFonts w:ascii="Symbol" w:hAnsi="Symbol"/>
      </w:rPr>
    </w:lvl>
  </w:abstractNum>
  <w:abstractNum w:abstractNumId="23" w15:restartNumberingAfterBreak="0">
    <w:nsid w:val="5C96040D"/>
    <w:multiLevelType w:val="hybridMultilevel"/>
    <w:tmpl w:val="1FC06AF6"/>
    <w:lvl w:ilvl="0" w:tplc="E4427D98">
      <w:start w:val="1"/>
      <w:numFmt w:val="bullet"/>
      <w:lvlText w:val=""/>
      <w:lvlJc w:val="left"/>
      <w:pPr>
        <w:ind w:left="720" w:hanging="360"/>
      </w:pPr>
      <w:rPr>
        <w:rFonts w:ascii="Symbol" w:hAnsi="Symbol" w:hint="default"/>
      </w:rPr>
    </w:lvl>
    <w:lvl w:ilvl="1" w:tplc="CD9ECFFC">
      <w:start w:val="1"/>
      <w:numFmt w:val="bullet"/>
      <w:lvlText w:val="o"/>
      <w:lvlJc w:val="left"/>
      <w:pPr>
        <w:ind w:left="1440" w:hanging="360"/>
      </w:pPr>
      <w:rPr>
        <w:rFonts w:ascii="Courier New" w:hAnsi="Courier New" w:hint="default"/>
      </w:rPr>
    </w:lvl>
    <w:lvl w:ilvl="2" w:tplc="853E1176">
      <w:start w:val="1"/>
      <w:numFmt w:val="bullet"/>
      <w:lvlText w:val=""/>
      <w:lvlJc w:val="left"/>
      <w:pPr>
        <w:ind w:left="2160" w:hanging="360"/>
      </w:pPr>
      <w:rPr>
        <w:rFonts w:ascii="Wingdings" w:hAnsi="Wingdings" w:hint="default"/>
      </w:rPr>
    </w:lvl>
    <w:lvl w:ilvl="3" w:tplc="2FE24A46">
      <w:start w:val="1"/>
      <w:numFmt w:val="bullet"/>
      <w:lvlText w:val=""/>
      <w:lvlJc w:val="left"/>
      <w:pPr>
        <w:ind w:left="2880" w:hanging="360"/>
      </w:pPr>
      <w:rPr>
        <w:rFonts w:ascii="Symbol" w:hAnsi="Symbol" w:hint="default"/>
      </w:rPr>
    </w:lvl>
    <w:lvl w:ilvl="4" w:tplc="CE205BCE">
      <w:start w:val="1"/>
      <w:numFmt w:val="bullet"/>
      <w:lvlText w:val="o"/>
      <w:lvlJc w:val="left"/>
      <w:pPr>
        <w:ind w:left="3600" w:hanging="360"/>
      </w:pPr>
      <w:rPr>
        <w:rFonts w:ascii="Courier New" w:hAnsi="Courier New" w:hint="default"/>
      </w:rPr>
    </w:lvl>
    <w:lvl w:ilvl="5" w:tplc="731211E6">
      <w:start w:val="1"/>
      <w:numFmt w:val="bullet"/>
      <w:lvlText w:val=""/>
      <w:lvlJc w:val="left"/>
      <w:pPr>
        <w:ind w:left="4320" w:hanging="360"/>
      </w:pPr>
      <w:rPr>
        <w:rFonts w:ascii="Wingdings" w:hAnsi="Wingdings" w:hint="default"/>
      </w:rPr>
    </w:lvl>
    <w:lvl w:ilvl="6" w:tplc="2AE4E35A">
      <w:start w:val="1"/>
      <w:numFmt w:val="bullet"/>
      <w:lvlText w:val=""/>
      <w:lvlJc w:val="left"/>
      <w:pPr>
        <w:ind w:left="5040" w:hanging="360"/>
      </w:pPr>
      <w:rPr>
        <w:rFonts w:ascii="Symbol" w:hAnsi="Symbol" w:hint="default"/>
      </w:rPr>
    </w:lvl>
    <w:lvl w:ilvl="7" w:tplc="85381B4E">
      <w:start w:val="1"/>
      <w:numFmt w:val="bullet"/>
      <w:lvlText w:val="o"/>
      <w:lvlJc w:val="left"/>
      <w:pPr>
        <w:ind w:left="5760" w:hanging="360"/>
      </w:pPr>
      <w:rPr>
        <w:rFonts w:ascii="Courier New" w:hAnsi="Courier New" w:hint="default"/>
      </w:rPr>
    </w:lvl>
    <w:lvl w:ilvl="8" w:tplc="EA509338">
      <w:start w:val="1"/>
      <w:numFmt w:val="bullet"/>
      <w:lvlText w:val=""/>
      <w:lvlJc w:val="left"/>
      <w:pPr>
        <w:ind w:left="6480" w:hanging="360"/>
      </w:pPr>
      <w:rPr>
        <w:rFonts w:ascii="Wingdings" w:hAnsi="Wingdings" w:hint="default"/>
      </w:rPr>
    </w:lvl>
  </w:abstractNum>
  <w:abstractNum w:abstractNumId="24" w15:restartNumberingAfterBreak="0">
    <w:nsid w:val="5D4A2F7B"/>
    <w:multiLevelType w:val="hybridMultilevel"/>
    <w:tmpl w:val="975AC092"/>
    <w:lvl w:ilvl="0" w:tplc="C4C2E604">
      <w:start w:val="4"/>
      <w:numFmt w:val="lowerLetter"/>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002391"/>
    <w:multiLevelType w:val="hybridMultilevel"/>
    <w:tmpl w:val="4C027D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640E30FD"/>
    <w:multiLevelType w:val="hybridMultilevel"/>
    <w:tmpl w:val="409AE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04210C"/>
    <w:multiLevelType w:val="hybridMultilevel"/>
    <w:tmpl w:val="1E2A7926"/>
    <w:lvl w:ilvl="0" w:tplc="18D4038E">
      <w:start w:val="1"/>
      <w:numFmt w:val="bullet"/>
      <w:pStyle w:val="BulletListRed"/>
      <w:lvlText w:val=""/>
      <w:lvlJc w:val="left"/>
      <w:pPr>
        <w:ind w:left="360" w:hanging="360"/>
      </w:pPr>
      <w:rPr>
        <w:rFonts w:ascii="Wingdings 2" w:hAnsi="Wingdings 2" w:hint="default"/>
        <w:color w:val="C40B46"/>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8" w15:restartNumberingAfterBreak="0">
    <w:nsid w:val="676B3323"/>
    <w:multiLevelType w:val="multilevel"/>
    <w:tmpl w:val="C3A8B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897339"/>
    <w:multiLevelType w:val="hybridMultilevel"/>
    <w:tmpl w:val="A2F4D344"/>
    <w:lvl w:ilvl="0" w:tplc="7FFAF8CA">
      <w:start w:val="1"/>
      <w:numFmt w:val="lowerLetter"/>
      <w:pStyle w:val="LetterListLevel2"/>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DBB6548"/>
    <w:multiLevelType w:val="hybridMultilevel"/>
    <w:tmpl w:val="86CE115E"/>
    <w:lvl w:ilvl="0" w:tplc="A5F2DB6E">
      <w:start w:val="1"/>
      <w:numFmt w:val="bullet"/>
      <w:lvlText w:val=""/>
      <w:lvlJc w:val="left"/>
      <w:pPr>
        <w:ind w:left="720" w:hanging="360"/>
      </w:pPr>
      <w:rPr>
        <w:rFonts w:ascii="Symbol" w:hAnsi="Symbol"/>
      </w:rPr>
    </w:lvl>
    <w:lvl w:ilvl="1" w:tplc="873EB6C6">
      <w:start w:val="1"/>
      <w:numFmt w:val="bullet"/>
      <w:lvlText w:val=""/>
      <w:lvlJc w:val="left"/>
      <w:pPr>
        <w:ind w:left="720" w:hanging="360"/>
      </w:pPr>
      <w:rPr>
        <w:rFonts w:ascii="Symbol" w:hAnsi="Symbol"/>
      </w:rPr>
    </w:lvl>
    <w:lvl w:ilvl="2" w:tplc="4EC8B816">
      <w:start w:val="1"/>
      <w:numFmt w:val="bullet"/>
      <w:lvlText w:val=""/>
      <w:lvlJc w:val="left"/>
      <w:pPr>
        <w:ind w:left="720" w:hanging="360"/>
      </w:pPr>
      <w:rPr>
        <w:rFonts w:ascii="Symbol" w:hAnsi="Symbol"/>
      </w:rPr>
    </w:lvl>
    <w:lvl w:ilvl="3" w:tplc="D106748A">
      <w:start w:val="1"/>
      <w:numFmt w:val="bullet"/>
      <w:lvlText w:val=""/>
      <w:lvlJc w:val="left"/>
      <w:pPr>
        <w:ind w:left="720" w:hanging="360"/>
      </w:pPr>
      <w:rPr>
        <w:rFonts w:ascii="Symbol" w:hAnsi="Symbol"/>
      </w:rPr>
    </w:lvl>
    <w:lvl w:ilvl="4" w:tplc="67FE12BA">
      <w:start w:val="1"/>
      <w:numFmt w:val="bullet"/>
      <w:lvlText w:val=""/>
      <w:lvlJc w:val="left"/>
      <w:pPr>
        <w:ind w:left="720" w:hanging="360"/>
      </w:pPr>
      <w:rPr>
        <w:rFonts w:ascii="Symbol" w:hAnsi="Symbol"/>
      </w:rPr>
    </w:lvl>
    <w:lvl w:ilvl="5" w:tplc="C7D0EC80">
      <w:start w:val="1"/>
      <w:numFmt w:val="bullet"/>
      <w:lvlText w:val=""/>
      <w:lvlJc w:val="left"/>
      <w:pPr>
        <w:ind w:left="720" w:hanging="360"/>
      </w:pPr>
      <w:rPr>
        <w:rFonts w:ascii="Symbol" w:hAnsi="Symbol"/>
      </w:rPr>
    </w:lvl>
    <w:lvl w:ilvl="6" w:tplc="8B129670">
      <w:start w:val="1"/>
      <w:numFmt w:val="bullet"/>
      <w:lvlText w:val=""/>
      <w:lvlJc w:val="left"/>
      <w:pPr>
        <w:ind w:left="720" w:hanging="360"/>
      </w:pPr>
      <w:rPr>
        <w:rFonts w:ascii="Symbol" w:hAnsi="Symbol"/>
      </w:rPr>
    </w:lvl>
    <w:lvl w:ilvl="7" w:tplc="BBCE75BA">
      <w:start w:val="1"/>
      <w:numFmt w:val="bullet"/>
      <w:lvlText w:val=""/>
      <w:lvlJc w:val="left"/>
      <w:pPr>
        <w:ind w:left="720" w:hanging="360"/>
      </w:pPr>
      <w:rPr>
        <w:rFonts w:ascii="Symbol" w:hAnsi="Symbol"/>
      </w:rPr>
    </w:lvl>
    <w:lvl w:ilvl="8" w:tplc="D408AF08">
      <w:start w:val="1"/>
      <w:numFmt w:val="bullet"/>
      <w:lvlText w:val=""/>
      <w:lvlJc w:val="left"/>
      <w:pPr>
        <w:ind w:left="720" w:hanging="360"/>
      </w:pPr>
      <w:rPr>
        <w:rFonts w:ascii="Symbol" w:hAnsi="Symbol"/>
      </w:rPr>
    </w:lvl>
  </w:abstractNum>
  <w:abstractNum w:abstractNumId="31" w15:restartNumberingAfterBreak="0">
    <w:nsid w:val="704B4302"/>
    <w:multiLevelType w:val="hybridMultilevel"/>
    <w:tmpl w:val="D396C838"/>
    <w:lvl w:ilvl="0" w:tplc="AF4A207E">
      <w:start w:val="1"/>
      <w:numFmt w:val="bullet"/>
      <w:lvlText w:val=""/>
      <w:lvlJc w:val="left"/>
      <w:pPr>
        <w:ind w:left="720" w:hanging="360"/>
      </w:pPr>
      <w:rPr>
        <w:rFonts w:ascii="Symbol" w:hAnsi="Symbol"/>
      </w:rPr>
    </w:lvl>
    <w:lvl w:ilvl="1" w:tplc="D256A47E">
      <w:start w:val="1"/>
      <w:numFmt w:val="bullet"/>
      <w:lvlText w:val=""/>
      <w:lvlJc w:val="left"/>
      <w:pPr>
        <w:ind w:left="720" w:hanging="360"/>
      </w:pPr>
      <w:rPr>
        <w:rFonts w:ascii="Symbol" w:hAnsi="Symbol"/>
      </w:rPr>
    </w:lvl>
    <w:lvl w:ilvl="2" w:tplc="E1A88F9A">
      <w:start w:val="1"/>
      <w:numFmt w:val="bullet"/>
      <w:lvlText w:val=""/>
      <w:lvlJc w:val="left"/>
      <w:pPr>
        <w:ind w:left="720" w:hanging="360"/>
      </w:pPr>
      <w:rPr>
        <w:rFonts w:ascii="Symbol" w:hAnsi="Symbol"/>
      </w:rPr>
    </w:lvl>
    <w:lvl w:ilvl="3" w:tplc="6B588D94">
      <w:start w:val="1"/>
      <w:numFmt w:val="bullet"/>
      <w:lvlText w:val=""/>
      <w:lvlJc w:val="left"/>
      <w:pPr>
        <w:ind w:left="720" w:hanging="360"/>
      </w:pPr>
      <w:rPr>
        <w:rFonts w:ascii="Symbol" w:hAnsi="Symbol"/>
      </w:rPr>
    </w:lvl>
    <w:lvl w:ilvl="4" w:tplc="D522FCE6">
      <w:start w:val="1"/>
      <w:numFmt w:val="bullet"/>
      <w:lvlText w:val=""/>
      <w:lvlJc w:val="left"/>
      <w:pPr>
        <w:ind w:left="720" w:hanging="360"/>
      </w:pPr>
      <w:rPr>
        <w:rFonts w:ascii="Symbol" w:hAnsi="Symbol"/>
      </w:rPr>
    </w:lvl>
    <w:lvl w:ilvl="5" w:tplc="868C4F78">
      <w:start w:val="1"/>
      <w:numFmt w:val="bullet"/>
      <w:lvlText w:val=""/>
      <w:lvlJc w:val="left"/>
      <w:pPr>
        <w:ind w:left="720" w:hanging="360"/>
      </w:pPr>
      <w:rPr>
        <w:rFonts w:ascii="Symbol" w:hAnsi="Symbol"/>
      </w:rPr>
    </w:lvl>
    <w:lvl w:ilvl="6" w:tplc="FE7CA896">
      <w:start w:val="1"/>
      <w:numFmt w:val="bullet"/>
      <w:lvlText w:val=""/>
      <w:lvlJc w:val="left"/>
      <w:pPr>
        <w:ind w:left="720" w:hanging="360"/>
      </w:pPr>
      <w:rPr>
        <w:rFonts w:ascii="Symbol" w:hAnsi="Symbol"/>
      </w:rPr>
    </w:lvl>
    <w:lvl w:ilvl="7" w:tplc="1DE8A15C">
      <w:start w:val="1"/>
      <w:numFmt w:val="bullet"/>
      <w:lvlText w:val=""/>
      <w:lvlJc w:val="left"/>
      <w:pPr>
        <w:ind w:left="720" w:hanging="360"/>
      </w:pPr>
      <w:rPr>
        <w:rFonts w:ascii="Symbol" w:hAnsi="Symbol"/>
      </w:rPr>
    </w:lvl>
    <w:lvl w:ilvl="8" w:tplc="EE26C0B0">
      <w:start w:val="1"/>
      <w:numFmt w:val="bullet"/>
      <w:lvlText w:val=""/>
      <w:lvlJc w:val="left"/>
      <w:pPr>
        <w:ind w:left="720" w:hanging="360"/>
      </w:pPr>
      <w:rPr>
        <w:rFonts w:ascii="Symbol" w:hAnsi="Symbol"/>
      </w:rPr>
    </w:lvl>
  </w:abstractNum>
  <w:abstractNum w:abstractNumId="32" w15:restartNumberingAfterBreak="0">
    <w:nsid w:val="70542343"/>
    <w:multiLevelType w:val="multilevel"/>
    <w:tmpl w:val="2996C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187388"/>
    <w:multiLevelType w:val="hybridMultilevel"/>
    <w:tmpl w:val="556C6AA8"/>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15:restartNumberingAfterBreak="0">
    <w:nsid w:val="71506A55"/>
    <w:multiLevelType w:val="hybridMultilevel"/>
    <w:tmpl w:val="556C6AA8"/>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5" w15:restartNumberingAfterBreak="0">
    <w:nsid w:val="719A5E26"/>
    <w:multiLevelType w:val="hybridMultilevel"/>
    <w:tmpl w:val="1FEE31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208645C"/>
    <w:multiLevelType w:val="hybridMultilevel"/>
    <w:tmpl w:val="DDC0B068"/>
    <w:lvl w:ilvl="0" w:tplc="F5EAC71A">
      <w:start w:val="1"/>
      <w:numFmt w:val="bullet"/>
      <w:lvlText w:val=""/>
      <w:lvlJc w:val="left"/>
      <w:pPr>
        <w:ind w:left="720" w:hanging="360"/>
      </w:pPr>
      <w:rPr>
        <w:rFonts w:ascii="Symbol" w:hAnsi="Symbol"/>
      </w:rPr>
    </w:lvl>
    <w:lvl w:ilvl="1" w:tplc="B81474F6">
      <w:start w:val="1"/>
      <w:numFmt w:val="bullet"/>
      <w:lvlText w:val=""/>
      <w:lvlJc w:val="left"/>
      <w:pPr>
        <w:ind w:left="720" w:hanging="360"/>
      </w:pPr>
      <w:rPr>
        <w:rFonts w:ascii="Symbol" w:hAnsi="Symbol"/>
      </w:rPr>
    </w:lvl>
    <w:lvl w:ilvl="2" w:tplc="9AD67792">
      <w:start w:val="1"/>
      <w:numFmt w:val="bullet"/>
      <w:lvlText w:val=""/>
      <w:lvlJc w:val="left"/>
      <w:pPr>
        <w:ind w:left="720" w:hanging="360"/>
      </w:pPr>
      <w:rPr>
        <w:rFonts w:ascii="Symbol" w:hAnsi="Symbol"/>
      </w:rPr>
    </w:lvl>
    <w:lvl w:ilvl="3" w:tplc="7B8C5086">
      <w:start w:val="1"/>
      <w:numFmt w:val="bullet"/>
      <w:lvlText w:val=""/>
      <w:lvlJc w:val="left"/>
      <w:pPr>
        <w:ind w:left="720" w:hanging="360"/>
      </w:pPr>
      <w:rPr>
        <w:rFonts w:ascii="Symbol" w:hAnsi="Symbol"/>
      </w:rPr>
    </w:lvl>
    <w:lvl w:ilvl="4" w:tplc="BEEE2758">
      <w:start w:val="1"/>
      <w:numFmt w:val="bullet"/>
      <w:lvlText w:val=""/>
      <w:lvlJc w:val="left"/>
      <w:pPr>
        <w:ind w:left="720" w:hanging="360"/>
      </w:pPr>
      <w:rPr>
        <w:rFonts w:ascii="Symbol" w:hAnsi="Symbol"/>
      </w:rPr>
    </w:lvl>
    <w:lvl w:ilvl="5" w:tplc="AD925B0A">
      <w:start w:val="1"/>
      <w:numFmt w:val="bullet"/>
      <w:lvlText w:val=""/>
      <w:lvlJc w:val="left"/>
      <w:pPr>
        <w:ind w:left="720" w:hanging="360"/>
      </w:pPr>
      <w:rPr>
        <w:rFonts w:ascii="Symbol" w:hAnsi="Symbol"/>
      </w:rPr>
    </w:lvl>
    <w:lvl w:ilvl="6" w:tplc="26B682FA">
      <w:start w:val="1"/>
      <w:numFmt w:val="bullet"/>
      <w:lvlText w:val=""/>
      <w:lvlJc w:val="left"/>
      <w:pPr>
        <w:ind w:left="720" w:hanging="360"/>
      </w:pPr>
      <w:rPr>
        <w:rFonts w:ascii="Symbol" w:hAnsi="Symbol"/>
      </w:rPr>
    </w:lvl>
    <w:lvl w:ilvl="7" w:tplc="2A568A8C">
      <w:start w:val="1"/>
      <w:numFmt w:val="bullet"/>
      <w:lvlText w:val=""/>
      <w:lvlJc w:val="left"/>
      <w:pPr>
        <w:ind w:left="720" w:hanging="360"/>
      </w:pPr>
      <w:rPr>
        <w:rFonts w:ascii="Symbol" w:hAnsi="Symbol"/>
      </w:rPr>
    </w:lvl>
    <w:lvl w:ilvl="8" w:tplc="9ADEC578">
      <w:start w:val="1"/>
      <w:numFmt w:val="bullet"/>
      <w:lvlText w:val=""/>
      <w:lvlJc w:val="left"/>
      <w:pPr>
        <w:ind w:left="720" w:hanging="360"/>
      </w:pPr>
      <w:rPr>
        <w:rFonts w:ascii="Symbol" w:hAnsi="Symbol"/>
      </w:rPr>
    </w:lvl>
  </w:abstractNum>
  <w:abstractNum w:abstractNumId="37" w15:restartNumberingAfterBreak="0">
    <w:nsid w:val="73BE1744"/>
    <w:multiLevelType w:val="hybridMultilevel"/>
    <w:tmpl w:val="83049A2C"/>
    <w:lvl w:ilvl="0" w:tplc="15386EF8">
      <w:start w:val="1"/>
      <w:numFmt w:val="bullet"/>
      <w:lvlText w:val=""/>
      <w:lvlJc w:val="left"/>
      <w:pPr>
        <w:ind w:left="720" w:hanging="360"/>
      </w:pPr>
      <w:rPr>
        <w:rFonts w:ascii="Symbol" w:hAnsi="Symbol"/>
      </w:rPr>
    </w:lvl>
    <w:lvl w:ilvl="1" w:tplc="A56CB77C">
      <w:start w:val="1"/>
      <w:numFmt w:val="bullet"/>
      <w:lvlText w:val=""/>
      <w:lvlJc w:val="left"/>
      <w:pPr>
        <w:ind w:left="720" w:hanging="360"/>
      </w:pPr>
      <w:rPr>
        <w:rFonts w:ascii="Symbol" w:hAnsi="Symbol"/>
      </w:rPr>
    </w:lvl>
    <w:lvl w:ilvl="2" w:tplc="C19290EE">
      <w:start w:val="1"/>
      <w:numFmt w:val="bullet"/>
      <w:lvlText w:val=""/>
      <w:lvlJc w:val="left"/>
      <w:pPr>
        <w:ind w:left="720" w:hanging="360"/>
      </w:pPr>
      <w:rPr>
        <w:rFonts w:ascii="Symbol" w:hAnsi="Symbol"/>
      </w:rPr>
    </w:lvl>
    <w:lvl w:ilvl="3" w:tplc="A3BE460C">
      <w:start w:val="1"/>
      <w:numFmt w:val="bullet"/>
      <w:lvlText w:val=""/>
      <w:lvlJc w:val="left"/>
      <w:pPr>
        <w:ind w:left="720" w:hanging="360"/>
      </w:pPr>
      <w:rPr>
        <w:rFonts w:ascii="Symbol" w:hAnsi="Symbol"/>
      </w:rPr>
    </w:lvl>
    <w:lvl w:ilvl="4" w:tplc="C54EEF02">
      <w:start w:val="1"/>
      <w:numFmt w:val="bullet"/>
      <w:lvlText w:val=""/>
      <w:lvlJc w:val="left"/>
      <w:pPr>
        <w:ind w:left="720" w:hanging="360"/>
      </w:pPr>
      <w:rPr>
        <w:rFonts w:ascii="Symbol" w:hAnsi="Symbol"/>
      </w:rPr>
    </w:lvl>
    <w:lvl w:ilvl="5" w:tplc="BE740020">
      <w:start w:val="1"/>
      <w:numFmt w:val="bullet"/>
      <w:lvlText w:val=""/>
      <w:lvlJc w:val="left"/>
      <w:pPr>
        <w:ind w:left="720" w:hanging="360"/>
      </w:pPr>
      <w:rPr>
        <w:rFonts w:ascii="Symbol" w:hAnsi="Symbol"/>
      </w:rPr>
    </w:lvl>
    <w:lvl w:ilvl="6" w:tplc="1F06A8CE">
      <w:start w:val="1"/>
      <w:numFmt w:val="bullet"/>
      <w:lvlText w:val=""/>
      <w:lvlJc w:val="left"/>
      <w:pPr>
        <w:ind w:left="720" w:hanging="360"/>
      </w:pPr>
      <w:rPr>
        <w:rFonts w:ascii="Symbol" w:hAnsi="Symbol"/>
      </w:rPr>
    </w:lvl>
    <w:lvl w:ilvl="7" w:tplc="716E1918">
      <w:start w:val="1"/>
      <w:numFmt w:val="bullet"/>
      <w:lvlText w:val=""/>
      <w:lvlJc w:val="left"/>
      <w:pPr>
        <w:ind w:left="720" w:hanging="360"/>
      </w:pPr>
      <w:rPr>
        <w:rFonts w:ascii="Symbol" w:hAnsi="Symbol"/>
      </w:rPr>
    </w:lvl>
    <w:lvl w:ilvl="8" w:tplc="FA344ED4">
      <w:start w:val="1"/>
      <w:numFmt w:val="bullet"/>
      <w:lvlText w:val=""/>
      <w:lvlJc w:val="left"/>
      <w:pPr>
        <w:ind w:left="720" w:hanging="360"/>
      </w:pPr>
      <w:rPr>
        <w:rFonts w:ascii="Symbol" w:hAnsi="Symbol"/>
      </w:rPr>
    </w:lvl>
  </w:abstractNum>
  <w:abstractNum w:abstractNumId="38" w15:restartNumberingAfterBreak="0">
    <w:nsid w:val="74385E8D"/>
    <w:multiLevelType w:val="hybridMultilevel"/>
    <w:tmpl w:val="0C988794"/>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9" w15:restartNumberingAfterBreak="0">
    <w:nsid w:val="745F2FC0"/>
    <w:multiLevelType w:val="multilevel"/>
    <w:tmpl w:val="A09045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540A9E"/>
    <w:multiLevelType w:val="multilevel"/>
    <w:tmpl w:val="206058D4"/>
    <w:lvl w:ilvl="0">
      <w:start w:val="1"/>
      <w:numFmt w:val="bullet"/>
      <w:lvlText w:val=""/>
      <w:lvlJc w:val="left"/>
      <w:pPr>
        <w:tabs>
          <w:tab w:val="num" w:pos="2204"/>
        </w:tabs>
        <w:ind w:left="2204"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E90B0F"/>
    <w:multiLevelType w:val="hybridMultilevel"/>
    <w:tmpl w:val="FFB2F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5210528">
    <w:abstractNumId w:val="6"/>
  </w:num>
  <w:num w:numId="2" w16cid:durableId="579293897">
    <w:abstractNumId w:val="27"/>
  </w:num>
  <w:num w:numId="3" w16cid:durableId="2142072429">
    <w:abstractNumId w:val="8"/>
  </w:num>
  <w:num w:numId="4" w16cid:durableId="127280195">
    <w:abstractNumId w:val="29"/>
  </w:num>
  <w:num w:numId="5" w16cid:durableId="1466848856">
    <w:abstractNumId w:val="16"/>
  </w:num>
  <w:num w:numId="6" w16cid:durableId="490484901">
    <w:abstractNumId w:val="15"/>
  </w:num>
  <w:num w:numId="7" w16cid:durableId="2078823534">
    <w:abstractNumId w:val="12"/>
  </w:num>
  <w:num w:numId="8" w16cid:durableId="1986625033">
    <w:abstractNumId w:val="11"/>
  </w:num>
  <w:num w:numId="9" w16cid:durableId="1085422946">
    <w:abstractNumId w:val="5"/>
  </w:num>
  <w:num w:numId="10" w16cid:durableId="1644044236">
    <w:abstractNumId w:val="34"/>
  </w:num>
  <w:num w:numId="11" w16cid:durableId="988098071">
    <w:abstractNumId w:val="38"/>
  </w:num>
  <w:num w:numId="12" w16cid:durableId="1343632232">
    <w:abstractNumId w:val="33"/>
  </w:num>
  <w:num w:numId="13" w16cid:durableId="817302301">
    <w:abstractNumId w:val="18"/>
  </w:num>
  <w:num w:numId="14" w16cid:durableId="626005562">
    <w:abstractNumId w:val="12"/>
    <w:lvlOverride w:ilvl="0">
      <w:startOverride w:val="1"/>
    </w:lvlOverride>
  </w:num>
  <w:num w:numId="15" w16cid:durableId="410664357">
    <w:abstractNumId w:val="9"/>
  </w:num>
  <w:num w:numId="16" w16cid:durableId="691608490">
    <w:abstractNumId w:val="13"/>
  </w:num>
  <w:num w:numId="17" w16cid:durableId="304237049">
    <w:abstractNumId w:val="12"/>
    <w:lvlOverride w:ilvl="0">
      <w:startOverride w:val="1"/>
    </w:lvlOverride>
  </w:num>
  <w:num w:numId="18" w16cid:durableId="571233757">
    <w:abstractNumId w:val="40"/>
  </w:num>
  <w:num w:numId="19" w16cid:durableId="485165713">
    <w:abstractNumId w:val="23"/>
  </w:num>
  <w:num w:numId="20" w16cid:durableId="75828028">
    <w:abstractNumId w:val="14"/>
  </w:num>
  <w:num w:numId="21" w16cid:durableId="1097093844">
    <w:abstractNumId w:val="20"/>
  </w:num>
  <w:num w:numId="22" w16cid:durableId="1952391610">
    <w:abstractNumId w:val="32"/>
  </w:num>
  <w:num w:numId="23" w16cid:durableId="1880892013">
    <w:abstractNumId w:val="28"/>
  </w:num>
  <w:num w:numId="24" w16cid:durableId="1092773787">
    <w:abstractNumId w:val="39"/>
  </w:num>
  <w:num w:numId="25" w16cid:durableId="917590167">
    <w:abstractNumId w:val="19"/>
  </w:num>
  <w:num w:numId="26" w16cid:durableId="2008290149">
    <w:abstractNumId w:val="12"/>
  </w:num>
  <w:num w:numId="27" w16cid:durableId="819881327">
    <w:abstractNumId w:val="12"/>
  </w:num>
  <w:num w:numId="28" w16cid:durableId="758523056">
    <w:abstractNumId w:val="12"/>
  </w:num>
  <w:num w:numId="29" w16cid:durableId="1739130342">
    <w:abstractNumId w:val="12"/>
  </w:num>
  <w:num w:numId="30" w16cid:durableId="960645074">
    <w:abstractNumId w:val="12"/>
  </w:num>
  <w:num w:numId="31" w16cid:durableId="1749112980">
    <w:abstractNumId w:val="12"/>
  </w:num>
  <w:num w:numId="32" w16cid:durableId="1904825616">
    <w:abstractNumId w:val="4"/>
  </w:num>
  <w:num w:numId="33" w16cid:durableId="191767832">
    <w:abstractNumId w:val="12"/>
    <w:lvlOverride w:ilvl="0">
      <w:startOverride w:val="1"/>
    </w:lvlOverride>
  </w:num>
  <w:num w:numId="34" w16cid:durableId="2075735940">
    <w:abstractNumId w:val="12"/>
    <w:lvlOverride w:ilvl="0">
      <w:startOverride w:val="1"/>
    </w:lvlOverride>
  </w:num>
  <w:num w:numId="35" w16cid:durableId="595404203">
    <w:abstractNumId w:val="12"/>
    <w:lvlOverride w:ilvl="0">
      <w:startOverride w:val="1"/>
    </w:lvlOverride>
  </w:num>
  <w:num w:numId="36" w16cid:durableId="2064718753">
    <w:abstractNumId w:val="12"/>
    <w:lvlOverride w:ilvl="0">
      <w:startOverride w:val="1"/>
    </w:lvlOverride>
  </w:num>
  <w:num w:numId="37" w16cid:durableId="466044892">
    <w:abstractNumId w:val="12"/>
    <w:lvlOverride w:ilvl="0">
      <w:startOverride w:val="1"/>
    </w:lvlOverride>
  </w:num>
  <w:num w:numId="38" w16cid:durableId="760415308">
    <w:abstractNumId w:val="41"/>
  </w:num>
  <w:num w:numId="39" w16cid:durableId="641619197">
    <w:abstractNumId w:val="12"/>
    <w:lvlOverride w:ilvl="0">
      <w:startOverride w:val="1"/>
    </w:lvlOverride>
  </w:num>
  <w:num w:numId="40" w16cid:durableId="1588803283">
    <w:abstractNumId w:val="10"/>
  </w:num>
  <w:num w:numId="41" w16cid:durableId="1782802181">
    <w:abstractNumId w:val="2"/>
  </w:num>
  <w:num w:numId="42" w16cid:durableId="214630655">
    <w:abstractNumId w:val="25"/>
  </w:num>
  <w:num w:numId="43" w16cid:durableId="827553228">
    <w:abstractNumId w:val="6"/>
  </w:num>
  <w:num w:numId="44" w16cid:durableId="1018239056">
    <w:abstractNumId w:val="12"/>
  </w:num>
  <w:num w:numId="45" w16cid:durableId="1621181590">
    <w:abstractNumId w:val="0"/>
  </w:num>
  <w:num w:numId="46" w16cid:durableId="1522471812">
    <w:abstractNumId w:val="17"/>
  </w:num>
  <w:num w:numId="47" w16cid:durableId="554044907">
    <w:abstractNumId w:val="35"/>
  </w:num>
  <w:num w:numId="48" w16cid:durableId="1696537862">
    <w:abstractNumId w:val="31"/>
  </w:num>
  <w:num w:numId="49" w16cid:durableId="573661425">
    <w:abstractNumId w:val="22"/>
  </w:num>
  <w:num w:numId="50" w16cid:durableId="1788768492">
    <w:abstractNumId w:val="3"/>
  </w:num>
  <w:num w:numId="51" w16cid:durableId="627248747">
    <w:abstractNumId w:val="12"/>
    <w:lvlOverride w:ilvl="0">
      <w:startOverride w:val="1"/>
    </w:lvlOverride>
  </w:num>
  <w:num w:numId="52" w16cid:durableId="954559883">
    <w:abstractNumId w:val="30"/>
  </w:num>
  <w:num w:numId="53" w16cid:durableId="1227762649">
    <w:abstractNumId w:val="37"/>
  </w:num>
  <w:num w:numId="54" w16cid:durableId="326322821">
    <w:abstractNumId w:val="36"/>
  </w:num>
  <w:num w:numId="55" w16cid:durableId="838229273">
    <w:abstractNumId w:val="12"/>
    <w:lvlOverride w:ilvl="0">
      <w:startOverride w:val="2"/>
    </w:lvlOverride>
  </w:num>
  <w:num w:numId="56" w16cid:durableId="1545100002">
    <w:abstractNumId w:val="24"/>
  </w:num>
  <w:num w:numId="57" w16cid:durableId="55668325">
    <w:abstractNumId w:val="26"/>
  </w:num>
  <w:num w:numId="58" w16cid:durableId="1035546844">
    <w:abstractNumId w:val="12"/>
    <w:lvlOverride w:ilvl="0">
      <w:startOverride w:val="2"/>
    </w:lvlOverride>
  </w:num>
  <w:num w:numId="59" w16cid:durableId="1859998820">
    <w:abstractNumId w:val="21"/>
  </w:num>
  <w:num w:numId="60" w16cid:durableId="1800103703">
    <w:abstractNumId w:val="12"/>
    <w:lvlOverride w:ilvl="0">
      <w:startOverride w:val="1"/>
    </w:lvlOverride>
  </w:num>
  <w:num w:numId="61" w16cid:durableId="399863377">
    <w:abstractNumId w:val="7"/>
  </w:num>
  <w:num w:numId="62" w16cid:durableId="584538648">
    <w:abstractNumId w:val="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DateAndTim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25"/>
    <w:rsid w:val="000000C3"/>
    <w:rsid w:val="00000BD4"/>
    <w:rsid w:val="000015E7"/>
    <w:rsid w:val="00001647"/>
    <w:rsid w:val="00001AF3"/>
    <w:rsid w:val="00001F14"/>
    <w:rsid w:val="000028C7"/>
    <w:rsid w:val="00003568"/>
    <w:rsid w:val="0000386B"/>
    <w:rsid w:val="00004AD4"/>
    <w:rsid w:val="00004F33"/>
    <w:rsid w:val="0000536C"/>
    <w:rsid w:val="000053C0"/>
    <w:rsid w:val="00005C32"/>
    <w:rsid w:val="000066DE"/>
    <w:rsid w:val="00006CA6"/>
    <w:rsid w:val="00007A7F"/>
    <w:rsid w:val="000103F7"/>
    <w:rsid w:val="00010896"/>
    <w:rsid w:val="00011512"/>
    <w:rsid w:val="00012A42"/>
    <w:rsid w:val="00013899"/>
    <w:rsid w:val="00013BC4"/>
    <w:rsid w:val="00013D90"/>
    <w:rsid w:val="00014463"/>
    <w:rsid w:val="000148C0"/>
    <w:rsid w:val="0001490F"/>
    <w:rsid w:val="000156A9"/>
    <w:rsid w:val="00015C27"/>
    <w:rsid w:val="000163BF"/>
    <w:rsid w:val="00017802"/>
    <w:rsid w:val="00017BC8"/>
    <w:rsid w:val="00017D6C"/>
    <w:rsid w:val="0002022E"/>
    <w:rsid w:val="0002080F"/>
    <w:rsid w:val="00021066"/>
    <w:rsid w:val="00021213"/>
    <w:rsid w:val="0002128A"/>
    <w:rsid w:val="00022331"/>
    <w:rsid w:val="00023C86"/>
    <w:rsid w:val="000249FC"/>
    <w:rsid w:val="00025939"/>
    <w:rsid w:val="00027E18"/>
    <w:rsid w:val="000309CE"/>
    <w:rsid w:val="0003118F"/>
    <w:rsid w:val="00031CE6"/>
    <w:rsid w:val="00032DD4"/>
    <w:rsid w:val="00032FCA"/>
    <w:rsid w:val="000333B4"/>
    <w:rsid w:val="000333C2"/>
    <w:rsid w:val="00033E13"/>
    <w:rsid w:val="000343B3"/>
    <w:rsid w:val="00034806"/>
    <w:rsid w:val="00034897"/>
    <w:rsid w:val="000349A0"/>
    <w:rsid w:val="00034B75"/>
    <w:rsid w:val="00035E4C"/>
    <w:rsid w:val="000362C5"/>
    <w:rsid w:val="000377C4"/>
    <w:rsid w:val="00040A82"/>
    <w:rsid w:val="00040F2B"/>
    <w:rsid w:val="00041236"/>
    <w:rsid w:val="00041709"/>
    <w:rsid w:val="000439EB"/>
    <w:rsid w:val="0004403B"/>
    <w:rsid w:val="00044AA5"/>
    <w:rsid w:val="00044CF4"/>
    <w:rsid w:val="00044ECE"/>
    <w:rsid w:val="000451D8"/>
    <w:rsid w:val="00045811"/>
    <w:rsid w:val="0004617F"/>
    <w:rsid w:val="00047015"/>
    <w:rsid w:val="00047F06"/>
    <w:rsid w:val="000505AA"/>
    <w:rsid w:val="000510CF"/>
    <w:rsid w:val="00051229"/>
    <w:rsid w:val="000515F1"/>
    <w:rsid w:val="0005174D"/>
    <w:rsid w:val="00051DAB"/>
    <w:rsid w:val="00052487"/>
    <w:rsid w:val="00052D1A"/>
    <w:rsid w:val="00053047"/>
    <w:rsid w:val="00053646"/>
    <w:rsid w:val="000537AF"/>
    <w:rsid w:val="00056039"/>
    <w:rsid w:val="00057750"/>
    <w:rsid w:val="00060B0B"/>
    <w:rsid w:val="00061E6B"/>
    <w:rsid w:val="00061EE4"/>
    <w:rsid w:val="00062387"/>
    <w:rsid w:val="000628D3"/>
    <w:rsid w:val="00063A39"/>
    <w:rsid w:val="00064814"/>
    <w:rsid w:val="00064932"/>
    <w:rsid w:val="00065050"/>
    <w:rsid w:val="000652BB"/>
    <w:rsid w:val="00065425"/>
    <w:rsid w:val="000671C0"/>
    <w:rsid w:val="00067339"/>
    <w:rsid w:val="00067583"/>
    <w:rsid w:val="0007042D"/>
    <w:rsid w:val="000706DA"/>
    <w:rsid w:val="00070D1D"/>
    <w:rsid w:val="00072D76"/>
    <w:rsid w:val="00073663"/>
    <w:rsid w:val="00073D98"/>
    <w:rsid w:val="00073E25"/>
    <w:rsid w:val="000741F2"/>
    <w:rsid w:val="00074B0A"/>
    <w:rsid w:val="0007528A"/>
    <w:rsid w:val="000757AD"/>
    <w:rsid w:val="00075F0A"/>
    <w:rsid w:val="000764E4"/>
    <w:rsid w:val="0007693B"/>
    <w:rsid w:val="00076D8A"/>
    <w:rsid w:val="00076ED3"/>
    <w:rsid w:val="000777B4"/>
    <w:rsid w:val="00080EB1"/>
    <w:rsid w:val="000811D3"/>
    <w:rsid w:val="00081670"/>
    <w:rsid w:val="00082608"/>
    <w:rsid w:val="00082923"/>
    <w:rsid w:val="00082CA2"/>
    <w:rsid w:val="00083098"/>
    <w:rsid w:val="000835E9"/>
    <w:rsid w:val="00083E7B"/>
    <w:rsid w:val="00084465"/>
    <w:rsid w:val="000844EB"/>
    <w:rsid w:val="00085510"/>
    <w:rsid w:val="00085970"/>
    <w:rsid w:val="00085B77"/>
    <w:rsid w:val="00085F26"/>
    <w:rsid w:val="00087DB7"/>
    <w:rsid w:val="00090470"/>
    <w:rsid w:val="00090F0F"/>
    <w:rsid w:val="0009280E"/>
    <w:rsid w:val="00093C88"/>
    <w:rsid w:val="00094BDF"/>
    <w:rsid w:val="00094D64"/>
    <w:rsid w:val="00095777"/>
    <w:rsid w:val="00095D82"/>
    <w:rsid w:val="0009626E"/>
    <w:rsid w:val="0009700D"/>
    <w:rsid w:val="000971CD"/>
    <w:rsid w:val="000A00B7"/>
    <w:rsid w:val="000A05B2"/>
    <w:rsid w:val="000A10E2"/>
    <w:rsid w:val="000A1BFE"/>
    <w:rsid w:val="000A1D34"/>
    <w:rsid w:val="000A2163"/>
    <w:rsid w:val="000A2617"/>
    <w:rsid w:val="000A2AC6"/>
    <w:rsid w:val="000A2BE0"/>
    <w:rsid w:val="000A3179"/>
    <w:rsid w:val="000A3551"/>
    <w:rsid w:val="000A45A2"/>
    <w:rsid w:val="000A4E26"/>
    <w:rsid w:val="000A5578"/>
    <w:rsid w:val="000A59D3"/>
    <w:rsid w:val="000A716A"/>
    <w:rsid w:val="000A7765"/>
    <w:rsid w:val="000A798E"/>
    <w:rsid w:val="000B0BF2"/>
    <w:rsid w:val="000B12B4"/>
    <w:rsid w:val="000B243D"/>
    <w:rsid w:val="000B286B"/>
    <w:rsid w:val="000B2BCC"/>
    <w:rsid w:val="000B76B3"/>
    <w:rsid w:val="000C077A"/>
    <w:rsid w:val="000C0C57"/>
    <w:rsid w:val="000C0FC2"/>
    <w:rsid w:val="000C1026"/>
    <w:rsid w:val="000C1262"/>
    <w:rsid w:val="000C197A"/>
    <w:rsid w:val="000C2099"/>
    <w:rsid w:val="000C23B7"/>
    <w:rsid w:val="000C23BF"/>
    <w:rsid w:val="000C24C0"/>
    <w:rsid w:val="000C2C39"/>
    <w:rsid w:val="000C2FFF"/>
    <w:rsid w:val="000C35B2"/>
    <w:rsid w:val="000C3941"/>
    <w:rsid w:val="000C42AC"/>
    <w:rsid w:val="000C4A34"/>
    <w:rsid w:val="000C64C8"/>
    <w:rsid w:val="000C650E"/>
    <w:rsid w:val="000C78FD"/>
    <w:rsid w:val="000C7AAF"/>
    <w:rsid w:val="000C7D99"/>
    <w:rsid w:val="000D0126"/>
    <w:rsid w:val="000D0B68"/>
    <w:rsid w:val="000D0B9E"/>
    <w:rsid w:val="000D1BC9"/>
    <w:rsid w:val="000D1EB0"/>
    <w:rsid w:val="000D2587"/>
    <w:rsid w:val="000D2A03"/>
    <w:rsid w:val="000D3CD2"/>
    <w:rsid w:val="000D3D65"/>
    <w:rsid w:val="000D4FCC"/>
    <w:rsid w:val="000D5080"/>
    <w:rsid w:val="000D55A0"/>
    <w:rsid w:val="000D5932"/>
    <w:rsid w:val="000D5BB9"/>
    <w:rsid w:val="000D5BFA"/>
    <w:rsid w:val="000D66CF"/>
    <w:rsid w:val="000D76CD"/>
    <w:rsid w:val="000E063B"/>
    <w:rsid w:val="000E0872"/>
    <w:rsid w:val="000E0E3D"/>
    <w:rsid w:val="000E1410"/>
    <w:rsid w:val="000E1BD6"/>
    <w:rsid w:val="000E1C64"/>
    <w:rsid w:val="000E1E7E"/>
    <w:rsid w:val="000E1EA5"/>
    <w:rsid w:val="000E3C8D"/>
    <w:rsid w:val="000E4E32"/>
    <w:rsid w:val="000E4FA4"/>
    <w:rsid w:val="000E56C0"/>
    <w:rsid w:val="000E6C00"/>
    <w:rsid w:val="000E6E78"/>
    <w:rsid w:val="000E6EA6"/>
    <w:rsid w:val="000E765F"/>
    <w:rsid w:val="000F0059"/>
    <w:rsid w:val="000F0064"/>
    <w:rsid w:val="000F0EDF"/>
    <w:rsid w:val="000F10D9"/>
    <w:rsid w:val="000F2018"/>
    <w:rsid w:val="000F2BE5"/>
    <w:rsid w:val="000F2D12"/>
    <w:rsid w:val="000F337C"/>
    <w:rsid w:val="000F3A39"/>
    <w:rsid w:val="000F3C17"/>
    <w:rsid w:val="000F3E16"/>
    <w:rsid w:val="000F57DE"/>
    <w:rsid w:val="000F5B57"/>
    <w:rsid w:val="000F69E1"/>
    <w:rsid w:val="000F6F9E"/>
    <w:rsid w:val="000F798D"/>
    <w:rsid w:val="000F7E8B"/>
    <w:rsid w:val="00101542"/>
    <w:rsid w:val="00101AB8"/>
    <w:rsid w:val="00102FA9"/>
    <w:rsid w:val="001031E8"/>
    <w:rsid w:val="001034EC"/>
    <w:rsid w:val="00103E4D"/>
    <w:rsid w:val="00104D3A"/>
    <w:rsid w:val="00105BAB"/>
    <w:rsid w:val="00106729"/>
    <w:rsid w:val="00106EA5"/>
    <w:rsid w:val="00106F54"/>
    <w:rsid w:val="00107608"/>
    <w:rsid w:val="001104F6"/>
    <w:rsid w:val="00110964"/>
    <w:rsid w:val="00112811"/>
    <w:rsid w:val="00112860"/>
    <w:rsid w:val="001135D5"/>
    <w:rsid w:val="0011394A"/>
    <w:rsid w:val="0011404C"/>
    <w:rsid w:val="001146EE"/>
    <w:rsid w:val="00114CFE"/>
    <w:rsid w:val="00115829"/>
    <w:rsid w:val="00115B63"/>
    <w:rsid w:val="0011600D"/>
    <w:rsid w:val="0011709E"/>
    <w:rsid w:val="00117196"/>
    <w:rsid w:val="001171AE"/>
    <w:rsid w:val="001173BE"/>
    <w:rsid w:val="00117571"/>
    <w:rsid w:val="00117E21"/>
    <w:rsid w:val="00120DD2"/>
    <w:rsid w:val="0012274B"/>
    <w:rsid w:val="00122A14"/>
    <w:rsid w:val="001238D5"/>
    <w:rsid w:val="00123FA6"/>
    <w:rsid w:val="001246D9"/>
    <w:rsid w:val="0012543D"/>
    <w:rsid w:val="00125E07"/>
    <w:rsid w:val="00126A72"/>
    <w:rsid w:val="001279C8"/>
    <w:rsid w:val="00130838"/>
    <w:rsid w:val="00130DE6"/>
    <w:rsid w:val="00130EEA"/>
    <w:rsid w:val="001311EF"/>
    <w:rsid w:val="001327A7"/>
    <w:rsid w:val="00132B10"/>
    <w:rsid w:val="00132B48"/>
    <w:rsid w:val="001334D7"/>
    <w:rsid w:val="00133D5E"/>
    <w:rsid w:val="001367D7"/>
    <w:rsid w:val="00136EA6"/>
    <w:rsid w:val="00136F44"/>
    <w:rsid w:val="00140602"/>
    <w:rsid w:val="00140BEE"/>
    <w:rsid w:val="001418F8"/>
    <w:rsid w:val="001419FB"/>
    <w:rsid w:val="00142C12"/>
    <w:rsid w:val="00143C74"/>
    <w:rsid w:val="001440D5"/>
    <w:rsid w:val="00144DD5"/>
    <w:rsid w:val="001454FF"/>
    <w:rsid w:val="00146458"/>
    <w:rsid w:val="00146523"/>
    <w:rsid w:val="00146F2D"/>
    <w:rsid w:val="00147791"/>
    <w:rsid w:val="00150026"/>
    <w:rsid w:val="001502DC"/>
    <w:rsid w:val="001509D6"/>
    <w:rsid w:val="00150C3E"/>
    <w:rsid w:val="00150C5E"/>
    <w:rsid w:val="00150F23"/>
    <w:rsid w:val="001512C1"/>
    <w:rsid w:val="001513C7"/>
    <w:rsid w:val="00151461"/>
    <w:rsid w:val="00151A71"/>
    <w:rsid w:val="00152262"/>
    <w:rsid w:val="00152273"/>
    <w:rsid w:val="001524C3"/>
    <w:rsid w:val="001524DB"/>
    <w:rsid w:val="00152AF1"/>
    <w:rsid w:val="00152E45"/>
    <w:rsid w:val="00153B9E"/>
    <w:rsid w:val="00153C68"/>
    <w:rsid w:val="001543FF"/>
    <w:rsid w:val="00154590"/>
    <w:rsid w:val="001549E9"/>
    <w:rsid w:val="00154FB1"/>
    <w:rsid w:val="001564D7"/>
    <w:rsid w:val="00156613"/>
    <w:rsid w:val="001603CA"/>
    <w:rsid w:val="00160556"/>
    <w:rsid w:val="0016065F"/>
    <w:rsid w:val="00162A68"/>
    <w:rsid w:val="00162D7C"/>
    <w:rsid w:val="00163161"/>
    <w:rsid w:val="001632D2"/>
    <w:rsid w:val="00165571"/>
    <w:rsid w:val="001657A0"/>
    <w:rsid w:val="001666D8"/>
    <w:rsid w:val="00167D6C"/>
    <w:rsid w:val="00170690"/>
    <w:rsid w:val="00170DA3"/>
    <w:rsid w:val="0017153E"/>
    <w:rsid w:val="00171E2C"/>
    <w:rsid w:val="001727BF"/>
    <w:rsid w:val="00174FE9"/>
    <w:rsid w:val="00175022"/>
    <w:rsid w:val="00176655"/>
    <w:rsid w:val="001770A8"/>
    <w:rsid w:val="001773EF"/>
    <w:rsid w:val="00180723"/>
    <w:rsid w:val="00180731"/>
    <w:rsid w:val="00180CD7"/>
    <w:rsid w:val="00181C92"/>
    <w:rsid w:val="001834E0"/>
    <w:rsid w:val="00183AD1"/>
    <w:rsid w:val="00183EF6"/>
    <w:rsid w:val="001842F7"/>
    <w:rsid w:val="00184487"/>
    <w:rsid w:val="00184B7D"/>
    <w:rsid w:val="00184DC1"/>
    <w:rsid w:val="00185373"/>
    <w:rsid w:val="00185396"/>
    <w:rsid w:val="001854E8"/>
    <w:rsid w:val="00185B5C"/>
    <w:rsid w:val="00185E21"/>
    <w:rsid w:val="00186344"/>
    <w:rsid w:val="00187B4A"/>
    <w:rsid w:val="001900AD"/>
    <w:rsid w:val="00190521"/>
    <w:rsid w:val="001905A8"/>
    <w:rsid w:val="00190F48"/>
    <w:rsid w:val="00192240"/>
    <w:rsid w:val="00192376"/>
    <w:rsid w:val="00192DBA"/>
    <w:rsid w:val="0019336C"/>
    <w:rsid w:val="00193C13"/>
    <w:rsid w:val="00194112"/>
    <w:rsid w:val="001941D7"/>
    <w:rsid w:val="00195EA7"/>
    <w:rsid w:val="001A060A"/>
    <w:rsid w:val="001A068E"/>
    <w:rsid w:val="001A06CB"/>
    <w:rsid w:val="001A178B"/>
    <w:rsid w:val="001A1A59"/>
    <w:rsid w:val="001A1BB4"/>
    <w:rsid w:val="001A2420"/>
    <w:rsid w:val="001A2BC2"/>
    <w:rsid w:val="001A3FED"/>
    <w:rsid w:val="001A40C2"/>
    <w:rsid w:val="001A47EC"/>
    <w:rsid w:val="001A529D"/>
    <w:rsid w:val="001A55DC"/>
    <w:rsid w:val="001A62B5"/>
    <w:rsid w:val="001A794C"/>
    <w:rsid w:val="001B0791"/>
    <w:rsid w:val="001B09DD"/>
    <w:rsid w:val="001B26F7"/>
    <w:rsid w:val="001B2A40"/>
    <w:rsid w:val="001B304E"/>
    <w:rsid w:val="001B4A6C"/>
    <w:rsid w:val="001B5B10"/>
    <w:rsid w:val="001B70FF"/>
    <w:rsid w:val="001B759F"/>
    <w:rsid w:val="001B7783"/>
    <w:rsid w:val="001B7D11"/>
    <w:rsid w:val="001C1116"/>
    <w:rsid w:val="001C19B9"/>
    <w:rsid w:val="001C1A3C"/>
    <w:rsid w:val="001C2002"/>
    <w:rsid w:val="001C21EF"/>
    <w:rsid w:val="001C2236"/>
    <w:rsid w:val="001C455D"/>
    <w:rsid w:val="001C5D13"/>
    <w:rsid w:val="001C5FE0"/>
    <w:rsid w:val="001C6916"/>
    <w:rsid w:val="001C7AEC"/>
    <w:rsid w:val="001C7C39"/>
    <w:rsid w:val="001D0555"/>
    <w:rsid w:val="001D0E9F"/>
    <w:rsid w:val="001D1734"/>
    <w:rsid w:val="001D18BA"/>
    <w:rsid w:val="001D2709"/>
    <w:rsid w:val="001D2733"/>
    <w:rsid w:val="001D2B62"/>
    <w:rsid w:val="001D349C"/>
    <w:rsid w:val="001D3A2E"/>
    <w:rsid w:val="001D3D6A"/>
    <w:rsid w:val="001D4EB2"/>
    <w:rsid w:val="001D5186"/>
    <w:rsid w:val="001D58CE"/>
    <w:rsid w:val="001D5F78"/>
    <w:rsid w:val="001D66D0"/>
    <w:rsid w:val="001D67B6"/>
    <w:rsid w:val="001D7053"/>
    <w:rsid w:val="001D74D5"/>
    <w:rsid w:val="001D7950"/>
    <w:rsid w:val="001D7E2E"/>
    <w:rsid w:val="001E2295"/>
    <w:rsid w:val="001E2921"/>
    <w:rsid w:val="001E307A"/>
    <w:rsid w:val="001E369D"/>
    <w:rsid w:val="001E53AD"/>
    <w:rsid w:val="001E5633"/>
    <w:rsid w:val="001E59CE"/>
    <w:rsid w:val="001E5CB1"/>
    <w:rsid w:val="001E5D14"/>
    <w:rsid w:val="001E6121"/>
    <w:rsid w:val="001E6160"/>
    <w:rsid w:val="001E642C"/>
    <w:rsid w:val="001E6870"/>
    <w:rsid w:val="001E7226"/>
    <w:rsid w:val="001E7D88"/>
    <w:rsid w:val="001F025F"/>
    <w:rsid w:val="001F0583"/>
    <w:rsid w:val="001F13F5"/>
    <w:rsid w:val="001F20F8"/>
    <w:rsid w:val="001F2678"/>
    <w:rsid w:val="001F2A57"/>
    <w:rsid w:val="001F3404"/>
    <w:rsid w:val="001F35A3"/>
    <w:rsid w:val="001F3AEE"/>
    <w:rsid w:val="001F5215"/>
    <w:rsid w:val="001F5344"/>
    <w:rsid w:val="001F5684"/>
    <w:rsid w:val="001F56F1"/>
    <w:rsid w:val="001F5F2C"/>
    <w:rsid w:val="001F66A6"/>
    <w:rsid w:val="001F6AD6"/>
    <w:rsid w:val="001F7201"/>
    <w:rsid w:val="001F73F4"/>
    <w:rsid w:val="00200258"/>
    <w:rsid w:val="0020026C"/>
    <w:rsid w:val="00200866"/>
    <w:rsid w:val="002008A7"/>
    <w:rsid w:val="00201144"/>
    <w:rsid w:val="002018E7"/>
    <w:rsid w:val="00201BE1"/>
    <w:rsid w:val="00202F46"/>
    <w:rsid w:val="00204269"/>
    <w:rsid w:val="00204D08"/>
    <w:rsid w:val="002051B9"/>
    <w:rsid w:val="002051E9"/>
    <w:rsid w:val="00205CCE"/>
    <w:rsid w:val="002074EA"/>
    <w:rsid w:val="002076C8"/>
    <w:rsid w:val="00207D65"/>
    <w:rsid w:val="002103C3"/>
    <w:rsid w:val="00210F5F"/>
    <w:rsid w:val="00211175"/>
    <w:rsid w:val="002112FE"/>
    <w:rsid w:val="002113E4"/>
    <w:rsid w:val="00211546"/>
    <w:rsid w:val="00211A93"/>
    <w:rsid w:val="00211A9C"/>
    <w:rsid w:val="00212704"/>
    <w:rsid w:val="00213BA3"/>
    <w:rsid w:val="0021434C"/>
    <w:rsid w:val="00214667"/>
    <w:rsid w:val="002153A4"/>
    <w:rsid w:val="00215C8E"/>
    <w:rsid w:val="0021654E"/>
    <w:rsid w:val="00216BC6"/>
    <w:rsid w:val="00216DE6"/>
    <w:rsid w:val="002173D9"/>
    <w:rsid w:val="00217A50"/>
    <w:rsid w:val="0022023A"/>
    <w:rsid w:val="0022081B"/>
    <w:rsid w:val="00220D86"/>
    <w:rsid w:val="00221373"/>
    <w:rsid w:val="00221F83"/>
    <w:rsid w:val="00222230"/>
    <w:rsid w:val="00222273"/>
    <w:rsid w:val="00222B41"/>
    <w:rsid w:val="0022315D"/>
    <w:rsid w:val="00223394"/>
    <w:rsid w:val="002233B0"/>
    <w:rsid w:val="00224BD0"/>
    <w:rsid w:val="00224DC4"/>
    <w:rsid w:val="002251CE"/>
    <w:rsid w:val="00226940"/>
    <w:rsid w:val="00227405"/>
    <w:rsid w:val="00227504"/>
    <w:rsid w:val="00227EF7"/>
    <w:rsid w:val="00230369"/>
    <w:rsid w:val="0023094A"/>
    <w:rsid w:val="002309C1"/>
    <w:rsid w:val="00230EAA"/>
    <w:rsid w:val="0023231E"/>
    <w:rsid w:val="00232B60"/>
    <w:rsid w:val="002332BE"/>
    <w:rsid w:val="00233741"/>
    <w:rsid w:val="002344DD"/>
    <w:rsid w:val="00234E18"/>
    <w:rsid w:val="00234F1C"/>
    <w:rsid w:val="00235230"/>
    <w:rsid w:val="002355DE"/>
    <w:rsid w:val="00235933"/>
    <w:rsid w:val="002359E7"/>
    <w:rsid w:val="00235CA1"/>
    <w:rsid w:val="002365A3"/>
    <w:rsid w:val="00236980"/>
    <w:rsid w:val="0023710B"/>
    <w:rsid w:val="002374E0"/>
    <w:rsid w:val="00237810"/>
    <w:rsid w:val="00237DF0"/>
    <w:rsid w:val="00237EBA"/>
    <w:rsid w:val="00240206"/>
    <w:rsid w:val="00240896"/>
    <w:rsid w:val="00240B13"/>
    <w:rsid w:val="0024160A"/>
    <w:rsid w:val="00241709"/>
    <w:rsid w:val="00241711"/>
    <w:rsid w:val="00241EF6"/>
    <w:rsid w:val="0024225D"/>
    <w:rsid w:val="00242CAE"/>
    <w:rsid w:val="002433B9"/>
    <w:rsid w:val="00243DC0"/>
    <w:rsid w:val="00244B06"/>
    <w:rsid w:val="00244B47"/>
    <w:rsid w:val="00244BEE"/>
    <w:rsid w:val="00245C39"/>
    <w:rsid w:val="0024652A"/>
    <w:rsid w:val="0024657B"/>
    <w:rsid w:val="002465D1"/>
    <w:rsid w:val="00247409"/>
    <w:rsid w:val="0025004B"/>
    <w:rsid w:val="00250267"/>
    <w:rsid w:val="00250865"/>
    <w:rsid w:val="00250FA0"/>
    <w:rsid w:val="00251607"/>
    <w:rsid w:val="002519E6"/>
    <w:rsid w:val="00251EA4"/>
    <w:rsid w:val="00251EEE"/>
    <w:rsid w:val="00252AEE"/>
    <w:rsid w:val="002531E5"/>
    <w:rsid w:val="002541B7"/>
    <w:rsid w:val="002547DD"/>
    <w:rsid w:val="0025499F"/>
    <w:rsid w:val="00254EF7"/>
    <w:rsid w:val="00255155"/>
    <w:rsid w:val="00257774"/>
    <w:rsid w:val="00257AC3"/>
    <w:rsid w:val="00257E24"/>
    <w:rsid w:val="00257FC7"/>
    <w:rsid w:val="00260BF8"/>
    <w:rsid w:val="00260FC2"/>
    <w:rsid w:val="0026112F"/>
    <w:rsid w:val="00261C56"/>
    <w:rsid w:val="0026284E"/>
    <w:rsid w:val="00262CB8"/>
    <w:rsid w:val="0026422A"/>
    <w:rsid w:val="00264775"/>
    <w:rsid w:val="00265EAD"/>
    <w:rsid w:val="002676C8"/>
    <w:rsid w:val="00271131"/>
    <w:rsid w:val="0027123D"/>
    <w:rsid w:val="00271585"/>
    <w:rsid w:val="0027262E"/>
    <w:rsid w:val="00273B9C"/>
    <w:rsid w:val="00273D44"/>
    <w:rsid w:val="00273E38"/>
    <w:rsid w:val="002740E7"/>
    <w:rsid w:val="002758CB"/>
    <w:rsid w:val="00276377"/>
    <w:rsid w:val="002779CC"/>
    <w:rsid w:val="00277A94"/>
    <w:rsid w:val="00280677"/>
    <w:rsid w:val="0028139F"/>
    <w:rsid w:val="00281A25"/>
    <w:rsid w:val="00282206"/>
    <w:rsid w:val="0028220C"/>
    <w:rsid w:val="002825D8"/>
    <w:rsid w:val="002826D1"/>
    <w:rsid w:val="00282C71"/>
    <w:rsid w:val="00283CBF"/>
    <w:rsid w:val="00283E18"/>
    <w:rsid w:val="002847C3"/>
    <w:rsid w:val="002852C9"/>
    <w:rsid w:val="0028670F"/>
    <w:rsid w:val="00286FED"/>
    <w:rsid w:val="0028791D"/>
    <w:rsid w:val="00287E46"/>
    <w:rsid w:val="002902AE"/>
    <w:rsid w:val="002903BA"/>
    <w:rsid w:val="002906FA"/>
    <w:rsid w:val="00290DA0"/>
    <w:rsid w:val="002914E4"/>
    <w:rsid w:val="002918CF"/>
    <w:rsid w:val="00291B66"/>
    <w:rsid w:val="00291E8C"/>
    <w:rsid w:val="00293419"/>
    <w:rsid w:val="0029441E"/>
    <w:rsid w:val="00295ED9"/>
    <w:rsid w:val="00296014"/>
    <w:rsid w:val="00296028"/>
    <w:rsid w:val="002968C3"/>
    <w:rsid w:val="00296FAF"/>
    <w:rsid w:val="002979C0"/>
    <w:rsid w:val="002A0AC4"/>
    <w:rsid w:val="002A0FFD"/>
    <w:rsid w:val="002A2BAE"/>
    <w:rsid w:val="002A2D28"/>
    <w:rsid w:val="002A2E3F"/>
    <w:rsid w:val="002A332F"/>
    <w:rsid w:val="002A39F8"/>
    <w:rsid w:val="002A5411"/>
    <w:rsid w:val="002A6E3E"/>
    <w:rsid w:val="002A6EA9"/>
    <w:rsid w:val="002A7262"/>
    <w:rsid w:val="002A772D"/>
    <w:rsid w:val="002A779A"/>
    <w:rsid w:val="002A7D57"/>
    <w:rsid w:val="002B010F"/>
    <w:rsid w:val="002B05F0"/>
    <w:rsid w:val="002B1A73"/>
    <w:rsid w:val="002B1DA0"/>
    <w:rsid w:val="002B20EE"/>
    <w:rsid w:val="002B2FC9"/>
    <w:rsid w:val="002B304B"/>
    <w:rsid w:val="002B38BF"/>
    <w:rsid w:val="002B39EA"/>
    <w:rsid w:val="002B3EC6"/>
    <w:rsid w:val="002B4062"/>
    <w:rsid w:val="002B492A"/>
    <w:rsid w:val="002B4B29"/>
    <w:rsid w:val="002B4B50"/>
    <w:rsid w:val="002B5278"/>
    <w:rsid w:val="002B58A4"/>
    <w:rsid w:val="002B7AB4"/>
    <w:rsid w:val="002B7DE4"/>
    <w:rsid w:val="002C04D3"/>
    <w:rsid w:val="002C05D1"/>
    <w:rsid w:val="002C085A"/>
    <w:rsid w:val="002C0C48"/>
    <w:rsid w:val="002C17C2"/>
    <w:rsid w:val="002C292F"/>
    <w:rsid w:val="002C3CF2"/>
    <w:rsid w:val="002C3E11"/>
    <w:rsid w:val="002C3FB8"/>
    <w:rsid w:val="002C438D"/>
    <w:rsid w:val="002C4F67"/>
    <w:rsid w:val="002C52C7"/>
    <w:rsid w:val="002C5315"/>
    <w:rsid w:val="002C5B9F"/>
    <w:rsid w:val="002C6351"/>
    <w:rsid w:val="002C7735"/>
    <w:rsid w:val="002D04D0"/>
    <w:rsid w:val="002D10FC"/>
    <w:rsid w:val="002D1C6F"/>
    <w:rsid w:val="002D23FF"/>
    <w:rsid w:val="002D243D"/>
    <w:rsid w:val="002D286F"/>
    <w:rsid w:val="002D2B53"/>
    <w:rsid w:val="002D3478"/>
    <w:rsid w:val="002D3639"/>
    <w:rsid w:val="002D3F34"/>
    <w:rsid w:val="002D411B"/>
    <w:rsid w:val="002D494D"/>
    <w:rsid w:val="002D5679"/>
    <w:rsid w:val="002D5C4D"/>
    <w:rsid w:val="002D633C"/>
    <w:rsid w:val="002D634F"/>
    <w:rsid w:val="002D6632"/>
    <w:rsid w:val="002D6FD0"/>
    <w:rsid w:val="002D70AD"/>
    <w:rsid w:val="002E042E"/>
    <w:rsid w:val="002E0513"/>
    <w:rsid w:val="002E052A"/>
    <w:rsid w:val="002E0621"/>
    <w:rsid w:val="002E0D8B"/>
    <w:rsid w:val="002E279D"/>
    <w:rsid w:val="002E2CAF"/>
    <w:rsid w:val="002E2F32"/>
    <w:rsid w:val="002E3BFE"/>
    <w:rsid w:val="002E45F7"/>
    <w:rsid w:val="002E5936"/>
    <w:rsid w:val="002E5B32"/>
    <w:rsid w:val="002E6ABB"/>
    <w:rsid w:val="002E6B8F"/>
    <w:rsid w:val="002F0437"/>
    <w:rsid w:val="002F06AC"/>
    <w:rsid w:val="002F0DFD"/>
    <w:rsid w:val="002F231D"/>
    <w:rsid w:val="002F2712"/>
    <w:rsid w:val="002F316E"/>
    <w:rsid w:val="002F34EE"/>
    <w:rsid w:val="002F40CD"/>
    <w:rsid w:val="002F4911"/>
    <w:rsid w:val="002F5834"/>
    <w:rsid w:val="002F5D3E"/>
    <w:rsid w:val="002F6419"/>
    <w:rsid w:val="002F6CED"/>
    <w:rsid w:val="002F7355"/>
    <w:rsid w:val="003001E7"/>
    <w:rsid w:val="003007BE"/>
    <w:rsid w:val="00300B00"/>
    <w:rsid w:val="00300CB3"/>
    <w:rsid w:val="003016DE"/>
    <w:rsid w:val="00301858"/>
    <w:rsid w:val="00301BE5"/>
    <w:rsid w:val="00301BF5"/>
    <w:rsid w:val="00302223"/>
    <w:rsid w:val="00302C2F"/>
    <w:rsid w:val="00302E28"/>
    <w:rsid w:val="00302F85"/>
    <w:rsid w:val="00303B37"/>
    <w:rsid w:val="00304751"/>
    <w:rsid w:val="00304B47"/>
    <w:rsid w:val="00304BBA"/>
    <w:rsid w:val="00304DF9"/>
    <w:rsid w:val="0030557D"/>
    <w:rsid w:val="0030760B"/>
    <w:rsid w:val="00307D56"/>
    <w:rsid w:val="0031021A"/>
    <w:rsid w:val="00310268"/>
    <w:rsid w:val="00310320"/>
    <w:rsid w:val="00310A6D"/>
    <w:rsid w:val="003127A9"/>
    <w:rsid w:val="00312AAE"/>
    <w:rsid w:val="00313888"/>
    <w:rsid w:val="00313E72"/>
    <w:rsid w:val="0031402C"/>
    <w:rsid w:val="0031506B"/>
    <w:rsid w:val="0031590A"/>
    <w:rsid w:val="00315DBB"/>
    <w:rsid w:val="003161A9"/>
    <w:rsid w:val="0031673A"/>
    <w:rsid w:val="003171DA"/>
    <w:rsid w:val="00317CC9"/>
    <w:rsid w:val="00320318"/>
    <w:rsid w:val="00320762"/>
    <w:rsid w:val="00320CCA"/>
    <w:rsid w:val="0032169B"/>
    <w:rsid w:val="00321C89"/>
    <w:rsid w:val="00322132"/>
    <w:rsid w:val="00323349"/>
    <w:rsid w:val="00323474"/>
    <w:rsid w:val="00323CBC"/>
    <w:rsid w:val="00323E55"/>
    <w:rsid w:val="00324B8D"/>
    <w:rsid w:val="00325213"/>
    <w:rsid w:val="003256F4"/>
    <w:rsid w:val="0032639E"/>
    <w:rsid w:val="00326C20"/>
    <w:rsid w:val="003272CA"/>
    <w:rsid w:val="003272D4"/>
    <w:rsid w:val="0032730B"/>
    <w:rsid w:val="00327592"/>
    <w:rsid w:val="00327943"/>
    <w:rsid w:val="00330766"/>
    <w:rsid w:val="00330A86"/>
    <w:rsid w:val="00330B8D"/>
    <w:rsid w:val="00330C2E"/>
    <w:rsid w:val="00330D48"/>
    <w:rsid w:val="00330DFD"/>
    <w:rsid w:val="00330E1B"/>
    <w:rsid w:val="00330E94"/>
    <w:rsid w:val="003316EF"/>
    <w:rsid w:val="00331BB7"/>
    <w:rsid w:val="00331D8F"/>
    <w:rsid w:val="00331E74"/>
    <w:rsid w:val="00331F88"/>
    <w:rsid w:val="003329F6"/>
    <w:rsid w:val="00332CD7"/>
    <w:rsid w:val="0033365A"/>
    <w:rsid w:val="00333DAD"/>
    <w:rsid w:val="003356C9"/>
    <w:rsid w:val="00335F6F"/>
    <w:rsid w:val="0033637C"/>
    <w:rsid w:val="00336B32"/>
    <w:rsid w:val="00337777"/>
    <w:rsid w:val="003379C5"/>
    <w:rsid w:val="00340674"/>
    <w:rsid w:val="003408DD"/>
    <w:rsid w:val="00340990"/>
    <w:rsid w:val="00340FC9"/>
    <w:rsid w:val="0034120C"/>
    <w:rsid w:val="00341CAC"/>
    <w:rsid w:val="00342357"/>
    <w:rsid w:val="0034263C"/>
    <w:rsid w:val="00342AB3"/>
    <w:rsid w:val="00344326"/>
    <w:rsid w:val="0034437E"/>
    <w:rsid w:val="00344477"/>
    <w:rsid w:val="003446B3"/>
    <w:rsid w:val="00344D60"/>
    <w:rsid w:val="00344F8E"/>
    <w:rsid w:val="00345AA3"/>
    <w:rsid w:val="00345FBD"/>
    <w:rsid w:val="00346019"/>
    <w:rsid w:val="003464CB"/>
    <w:rsid w:val="00346F60"/>
    <w:rsid w:val="00347107"/>
    <w:rsid w:val="003478F8"/>
    <w:rsid w:val="00347A2F"/>
    <w:rsid w:val="00347D47"/>
    <w:rsid w:val="00347E50"/>
    <w:rsid w:val="003520FC"/>
    <w:rsid w:val="003534C0"/>
    <w:rsid w:val="00353E81"/>
    <w:rsid w:val="003544BA"/>
    <w:rsid w:val="0035467D"/>
    <w:rsid w:val="00354CD3"/>
    <w:rsid w:val="00355283"/>
    <w:rsid w:val="003557E8"/>
    <w:rsid w:val="00357086"/>
    <w:rsid w:val="003618B4"/>
    <w:rsid w:val="003622A4"/>
    <w:rsid w:val="00362A37"/>
    <w:rsid w:val="00363B01"/>
    <w:rsid w:val="00366556"/>
    <w:rsid w:val="00366994"/>
    <w:rsid w:val="003671F9"/>
    <w:rsid w:val="003672BA"/>
    <w:rsid w:val="00370FD3"/>
    <w:rsid w:val="00371871"/>
    <w:rsid w:val="00372AC8"/>
    <w:rsid w:val="00373C55"/>
    <w:rsid w:val="00373EEA"/>
    <w:rsid w:val="00374226"/>
    <w:rsid w:val="003748C1"/>
    <w:rsid w:val="00374FC8"/>
    <w:rsid w:val="003750A8"/>
    <w:rsid w:val="00375C45"/>
    <w:rsid w:val="003766E0"/>
    <w:rsid w:val="00376977"/>
    <w:rsid w:val="00376D46"/>
    <w:rsid w:val="003775CE"/>
    <w:rsid w:val="0037782B"/>
    <w:rsid w:val="00377973"/>
    <w:rsid w:val="00377C5F"/>
    <w:rsid w:val="00377F07"/>
    <w:rsid w:val="00380081"/>
    <w:rsid w:val="00381B90"/>
    <w:rsid w:val="00381CDF"/>
    <w:rsid w:val="00381F3E"/>
    <w:rsid w:val="00382517"/>
    <w:rsid w:val="0038283F"/>
    <w:rsid w:val="00382D43"/>
    <w:rsid w:val="003830A6"/>
    <w:rsid w:val="003835FE"/>
    <w:rsid w:val="00383C00"/>
    <w:rsid w:val="00383C3A"/>
    <w:rsid w:val="00385BD5"/>
    <w:rsid w:val="00386DF0"/>
    <w:rsid w:val="003873F4"/>
    <w:rsid w:val="00387710"/>
    <w:rsid w:val="00387EAD"/>
    <w:rsid w:val="003900C3"/>
    <w:rsid w:val="003900E2"/>
    <w:rsid w:val="00390769"/>
    <w:rsid w:val="00392487"/>
    <w:rsid w:val="0039250A"/>
    <w:rsid w:val="003929A2"/>
    <w:rsid w:val="00393934"/>
    <w:rsid w:val="00393950"/>
    <w:rsid w:val="00394ADC"/>
    <w:rsid w:val="0039589B"/>
    <w:rsid w:val="0039593B"/>
    <w:rsid w:val="0039697D"/>
    <w:rsid w:val="00397239"/>
    <w:rsid w:val="003A0345"/>
    <w:rsid w:val="003A0431"/>
    <w:rsid w:val="003A0482"/>
    <w:rsid w:val="003A0514"/>
    <w:rsid w:val="003A06CF"/>
    <w:rsid w:val="003A0C54"/>
    <w:rsid w:val="003A0EDC"/>
    <w:rsid w:val="003A1069"/>
    <w:rsid w:val="003A132A"/>
    <w:rsid w:val="003A1870"/>
    <w:rsid w:val="003A1FE7"/>
    <w:rsid w:val="003A31DA"/>
    <w:rsid w:val="003A35BD"/>
    <w:rsid w:val="003A36F9"/>
    <w:rsid w:val="003A3CF1"/>
    <w:rsid w:val="003A3DF9"/>
    <w:rsid w:val="003A6CD5"/>
    <w:rsid w:val="003A7615"/>
    <w:rsid w:val="003B0319"/>
    <w:rsid w:val="003B064C"/>
    <w:rsid w:val="003B085A"/>
    <w:rsid w:val="003B0D03"/>
    <w:rsid w:val="003B0E9A"/>
    <w:rsid w:val="003B17C3"/>
    <w:rsid w:val="003B23A1"/>
    <w:rsid w:val="003B278D"/>
    <w:rsid w:val="003B2A6F"/>
    <w:rsid w:val="003B33AF"/>
    <w:rsid w:val="003B35F8"/>
    <w:rsid w:val="003B50D5"/>
    <w:rsid w:val="003B559B"/>
    <w:rsid w:val="003B5F70"/>
    <w:rsid w:val="003B625E"/>
    <w:rsid w:val="003B6964"/>
    <w:rsid w:val="003B6A8D"/>
    <w:rsid w:val="003B6AB0"/>
    <w:rsid w:val="003B6FF9"/>
    <w:rsid w:val="003B7AE2"/>
    <w:rsid w:val="003B7F85"/>
    <w:rsid w:val="003C063C"/>
    <w:rsid w:val="003C0AB2"/>
    <w:rsid w:val="003C0C6D"/>
    <w:rsid w:val="003C14A8"/>
    <w:rsid w:val="003C1640"/>
    <w:rsid w:val="003C1752"/>
    <w:rsid w:val="003C1A0C"/>
    <w:rsid w:val="003C304F"/>
    <w:rsid w:val="003C3149"/>
    <w:rsid w:val="003C360C"/>
    <w:rsid w:val="003C376C"/>
    <w:rsid w:val="003C54AD"/>
    <w:rsid w:val="003C5917"/>
    <w:rsid w:val="003C5BDE"/>
    <w:rsid w:val="003C5DAF"/>
    <w:rsid w:val="003C639A"/>
    <w:rsid w:val="003C69B0"/>
    <w:rsid w:val="003C6C3B"/>
    <w:rsid w:val="003C6E49"/>
    <w:rsid w:val="003C70E0"/>
    <w:rsid w:val="003C75CD"/>
    <w:rsid w:val="003D031F"/>
    <w:rsid w:val="003D03A3"/>
    <w:rsid w:val="003D04E5"/>
    <w:rsid w:val="003D0588"/>
    <w:rsid w:val="003D0E4E"/>
    <w:rsid w:val="003D2D5E"/>
    <w:rsid w:val="003D2DE6"/>
    <w:rsid w:val="003D3342"/>
    <w:rsid w:val="003D3576"/>
    <w:rsid w:val="003D36E8"/>
    <w:rsid w:val="003D4E8F"/>
    <w:rsid w:val="003D4FF9"/>
    <w:rsid w:val="003D50E2"/>
    <w:rsid w:val="003D59DE"/>
    <w:rsid w:val="003D7C1F"/>
    <w:rsid w:val="003E008D"/>
    <w:rsid w:val="003E05B1"/>
    <w:rsid w:val="003E1056"/>
    <w:rsid w:val="003E155A"/>
    <w:rsid w:val="003E1DB6"/>
    <w:rsid w:val="003E1F57"/>
    <w:rsid w:val="003E1F64"/>
    <w:rsid w:val="003E2237"/>
    <w:rsid w:val="003E25F4"/>
    <w:rsid w:val="003E2737"/>
    <w:rsid w:val="003E29CC"/>
    <w:rsid w:val="003E2CAF"/>
    <w:rsid w:val="003E2CEB"/>
    <w:rsid w:val="003E2E6C"/>
    <w:rsid w:val="003E3A8F"/>
    <w:rsid w:val="003E489A"/>
    <w:rsid w:val="003E49E8"/>
    <w:rsid w:val="003E4B3E"/>
    <w:rsid w:val="003E4E6B"/>
    <w:rsid w:val="003E5705"/>
    <w:rsid w:val="003E60F6"/>
    <w:rsid w:val="003E61A5"/>
    <w:rsid w:val="003E7044"/>
    <w:rsid w:val="003E7382"/>
    <w:rsid w:val="003E7543"/>
    <w:rsid w:val="003E7AEA"/>
    <w:rsid w:val="003E7C9B"/>
    <w:rsid w:val="003E7D7A"/>
    <w:rsid w:val="003F05F6"/>
    <w:rsid w:val="003F0964"/>
    <w:rsid w:val="003F0E1B"/>
    <w:rsid w:val="003F14F8"/>
    <w:rsid w:val="003F31E2"/>
    <w:rsid w:val="003F5304"/>
    <w:rsid w:val="003F64E0"/>
    <w:rsid w:val="003F66C4"/>
    <w:rsid w:val="003F76C7"/>
    <w:rsid w:val="003F7B4C"/>
    <w:rsid w:val="003F7B81"/>
    <w:rsid w:val="00400568"/>
    <w:rsid w:val="00400B61"/>
    <w:rsid w:val="00400C40"/>
    <w:rsid w:val="00401330"/>
    <w:rsid w:val="004016B9"/>
    <w:rsid w:val="00401842"/>
    <w:rsid w:val="00402472"/>
    <w:rsid w:val="00403EEA"/>
    <w:rsid w:val="00403F82"/>
    <w:rsid w:val="00404C69"/>
    <w:rsid w:val="00404EAA"/>
    <w:rsid w:val="004056A0"/>
    <w:rsid w:val="00405C13"/>
    <w:rsid w:val="0040624F"/>
    <w:rsid w:val="00406FED"/>
    <w:rsid w:val="0040750E"/>
    <w:rsid w:val="00407755"/>
    <w:rsid w:val="00407B0A"/>
    <w:rsid w:val="00407E3B"/>
    <w:rsid w:val="004103D9"/>
    <w:rsid w:val="00410D2D"/>
    <w:rsid w:val="00410F38"/>
    <w:rsid w:val="0041157C"/>
    <w:rsid w:val="00411681"/>
    <w:rsid w:val="00411C04"/>
    <w:rsid w:val="004130CD"/>
    <w:rsid w:val="00413CE3"/>
    <w:rsid w:val="00413D9C"/>
    <w:rsid w:val="0041438C"/>
    <w:rsid w:val="00414E5E"/>
    <w:rsid w:val="004157ED"/>
    <w:rsid w:val="0041597D"/>
    <w:rsid w:val="00415CFD"/>
    <w:rsid w:val="004166C4"/>
    <w:rsid w:val="00420072"/>
    <w:rsid w:val="00420886"/>
    <w:rsid w:val="00420E75"/>
    <w:rsid w:val="00421E5D"/>
    <w:rsid w:val="00422625"/>
    <w:rsid w:val="00422C09"/>
    <w:rsid w:val="00422F0D"/>
    <w:rsid w:val="004241B0"/>
    <w:rsid w:val="00424E0A"/>
    <w:rsid w:val="00425666"/>
    <w:rsid w:val="00425CF2"/>
    <w:rsid w:val="00425FBB"/>
    <w:rsid w:val="004263CB"/>
    <w:rsid w:val="004264A3"/>
    <w:rsid w:val="00427560"/>
    <w:rsid w:val="00427953"/>
    <w:rsid w:val="004279D7"/>
    <w:rsid w:val="00430C10"/>
    <w:rsid w:val="00430CBB"/>
    <w:rsid w:val="004312F8"/>
    <w:rsid w:val="00431C95"/>
    <w:rsid w:val="004347B1"/>
    <w:rsid w:val="00434AAB"/>
    <w:rsid w:val="00434BAD"/>
    <w:rsid w:val="00435241"/>
    <w:rsid w:val="00435704"/>
    <w:rsid w:val="00435905"/>
    <w:rsid w:val="00435EB4"/>
    <w:rsid w:val="004362D3"/>
    <w:rsid w:val="00437DC1"/>
    <w:rsid w:val="00437E0B"/>
    <w:rsid w:val="004404EB"/>
    <w:rsid w:val="00440AC8"/>
    <w:rsid w:val="00441461"/>
    <w:rsid w:val="00442C9A"/>
    <w:rsid w:val="00442DE1"/>
    <w:rsid w:val="00443483"/>
    <w:rsid w:val="00443A40"/>
    <w:rsid w:val="00444F51"/>
    <w:rsid w:val="0044581D"/>
    <w:rsid w:val="00445D8B"/>
    <w:rsid w:val="004460F2"/>
    <w:rsid w:val="0044622D"/>
    <w:rsid w:val="004463C5"/>
    <w:rsid w:val="004469EE"/>
    <w:rsid w:val="0044707D"/>
    <w:rsid w:val="00447EDC"/>
    <w:rsid w:val="00451296"/>
    <w:rsid w:val="00451927"/>
    <w:rsid w:val="00452435"/>
    <w:rsid w:val="00452616"/>
    <w:rsid w:val="00452805"/>
    <w:rsid w:val="004538B6"/>
    <w:rsid w:val="00453B41"/>
    <w:rsid w:val="00454A99"/>
    <w:rsid w:val="00454B25"/>
    <w:rsid w:val="0045542A"/>
    <w:rsid w:val="00455A40"/>
    <w:rsid w:val="00455D60"/>
    <w:rsid w:val="00456510"/>
    <w:rsid w:val="004609B2"/>
    <w:rsid w:val="00460BCB"/>
    <w:rsid w:val="00461DC9"/>
    <w:rsid w:val="00462162"/>
    <w:rsid w:val="004621B0"/>
    <w:rsid w:val="00462401"/>
    <w:rsid w:val="004624D2"/>
    <w:rsid w:val="0046261D"/>
    <w:rsid w:val="00463567"/>
    <w:rsid w:val="00463C6B"/>
    <w:rsid w:val="00463DE9"/>
    <w:rsid w:val="0046436E"/>
    <w:rsid w:val="00464F8D"/>
    <w:rsid w:val="00465E61"/>
    <w:rsid w:val="004665EA"/>
    <w:rsid w:val="004677E8"/>
    <w:rsid w:val="00470821"/>
    <w:rsid w:val="00471741"/>
    <w:rsid w:val="004719D0"/>
    <w:rsid w:val="00473722"/>
    <w:rsid w:val="00474DD7"/>
    <w:rsid w:val="00475221"/>
    <w:rsid w:val="00475AA8"/>
    <w:rsid w:val="00476094"/>
    <w:rsid w:val="004763FD"/>
    <w:rsid w:val="004765C2"/>
    <w:rsid w:val="0047695B"/>
    <w:rsid w:val="00476F79"/>
    <w:rsid w:val="00477621"/>
    <w:rsid w:val="0047775E"/>
    <w:rsid w:val="0048039E"/>
    <w:rsid w:val="00481515"/>
    <w:rsid w:val="00481CCB"/>
    <w:rsid w:val="00481D9E"/>
    <w:rsid w:val="00481DA9"/>
    <w:rsid w:val="0048297B"/>
    <w:rsid w:val="0048298B"/>
    <w:rsid w:val="00482BEA"/>
    <w:rsid w:val="00482F4E"/>
    <w:rsid w:val="00483308"/>
    <w:rsid w:val="0048351B"/>
    <w:rsid w:val="00483531"/>
    <w:rsid w:val="0048370F"/>
    <w:rsid w:val="00483BF6"/>
    <w:rsid w:val="00483D10"/>
    <w:rsid w:val="004845DD"/>
    <w:rsid w:val="00485A4B"/>
    <w:rsid w:val="00485BD9"/>
    <w:rsid w:val="00487C9F"/>
    <w:rsid w:val="00487E9A"/>
    <w:rsid w:val="00487F08"/>
    <w:rsid w:val="004902B4"/>
    <w:rsid w:val="004902F2"/>
    <w:rsid w:val="00490329"/>
    <w:rsid w:val="004904BF"/>
    <w:rsid w:val="004907F2"/>
    <w:rsid w:val="00490FD2"/>
    <w:rsid w:val="00491170"/>
    <w:rsid w:val="0049277D"/>
    <w:rsid w:val="004927FA"/>
    <w:rsid w:val="00493232"/>
    <w:rsid w:val="0049390C"/>
    <w:rsid w:val="00493C16"/>
    <w:rsid w:val="0049409A"/>
    <w:rsid w:val="0049415A"/>
    <w:rsid w:val="00494B26"/>
    <w:rsid w:val="00494FF9"/>
    <w:rsid w:val="00495088"/>
    <w:rsid w:val="00495635"/>
    <w:rsid w:val="00495814"/>
    <w:rsid w:val="00495F2A"/>
    <w:rsid w:val="00496720"/>
    <w:rsid w:val="004967BD"/>
    <w:rsid w:val="00496BDE"/>
    <w:rsid w:val="004970B6"/>
    <w:rsid w:val="00497312"/>
    <w:rsid w:val="00497A6E"/>
    <w:rsid w:val="00497AAB"/>
    <w:rsid w:val="004A1CEC"/>
    <w:rsid w:val="004A1EB6"/>
    <w:rsid w:val="004A2115"/>
    <w:rsid w:val="004A276E"/>
    <w:rsid w:val="004A2DB2"/>
    <w:rsid w:val="004A453C"/>
    <w:rsid w:val="004A4787"/>
    <w:rsid w:val="004A4BD5"/>
    <w:rsid w:val="004A5D6D"/>
    <w:rsid w:val="004A7522"/>
    <w:rsid w:val="004A7C26"/>
    <w:rsid w:val="004B165C"/>
    <w:rsid w:val="004B1D71"/>
    <w:rsid w:val="004B2003"/>
    <w:rsid w:val="004B2B13"/>
    <w:rsid w:val="004B2E97"/>
    <w:rsid w:val="004B317B"/>
    <w:rsid w:val="004B3458"/>
    <w:rsid w:val="004B3C4D"/>
    <w:rsid w:val="004B435E"/>
    <w:rsid w:val="004B5AC4"/>
    <w:rsid w:val="004B6110"/>
    <w:rsid w:val="004B63D2"/>
    <w:rsid w:val="004B742A"/>
    <w:rsid w:val="004B77DE"/>
    <w:rsid w:val="004C03D2"/>
    <w:rsid w:val="004C0463"/>
    <w:rsid w:val="004C19AD"/>
    <w:rsid w:val="004C1CAE"/>
    <w:rsid w:val="004C33AD"/>
    <w:rsid w:val="004C3A5D"/>
    <w:rsid w:val="004C3C22"/>
    <w:rsid w:val="004C4102"/>
    <w:rsid w:val="004C4510"/>
    <w:rsid w:val="004C4542"/>
    <w:rsid w:val="004C492C"/>
    <w:rsid w:val="004C50B6"/>
    <w:rsid w:val="004C53E0"/>
    <w:rsid w:val="004C6259"/>
    <w:rsid w:val="004C6789"/>
    <w:rsid w:val="004C6791"/>
    <w:rsid w:val="004C6F42"/>
    <w:rsid w:val="004D04CF"/>
    <w:rsid w:val="004D1675"/>
    <w:rsid w:val="004D1A07"/>
    <w:rsid w:val="004D1F13"/>
    <w:rsid w:val="004D2793"/>
    <w:rsid w:val="004D2B17"/>
    <w:rsid w:val="004D2BE6"/>
    <w:rsid w:val="004D2C19"/>
    <w:rsid w:val="004D35F4"/>
    <w:rsid w:val="004D48D3"/>
    <w:rsid w:val="004D4FF4"/>
    <w:rsid w:val="004D5E44"/>
    <w:rsid w:val="004D68CB"/>
    <w:rsid w:val="004D6CCF"/>
    <w:rsid w:val="004D6D24"/>
    <w:rsid w:val="004D7284"/>
    <w:rsid w:val="004D77D9"/>
    <w:rsid w:val="004D7EAA"/>
    <w:rsid w:val="004E1E3B"/>
    <w:rsid w:val="004E2638"/>
    <w:rsid w:val="004E2DF9"/>
    <w:rsid w:val="004E36BC"/>
    <w:rsid w:val="004E42EF"/>
    <w:rsid w:val="004E498B"/>
    <w:rsid w:val="004E4D0C"/>
    <w:rsid w:val="004E5330"/>
    <w:rsid w:val="004E59F8"/>
    <w:rsid w:val="004E6272"/>
    <w:rsid w:val="004E6645"/>
    <w:rsid w:val="004E6920"/>
    <w:rsid w:val="004E69C5"/>
    <w:rsid w:val="004E6F97"/>
    <w:rsid w:val="004E78DA"/>
    <w:rsid w:val="004F0A82"/>
    <w:rsid w:val="004F0C7C"/>
    <w:rsid w:val="004F0FE1"/>
    <w:rsid w:val="004F129D"/>
    <w:rsid w:val="004F1D64"/>
    <w:rsid w:val="004F1E32"/>
    <w:rsid w:val="004F2637"/>
    <w:rsid w:val="004F265D"/>
    <w:rsid w:val="004F3A33"/>
    <w:rsid w:val="004F4BC5"/>
    <w:rsid w:val="004F5356"/>
    <w:rsid w:val="004F5F80"/>
    <w:rsid w:val="004F6099"/>
    <w:rsid w:val="004F685D"/>
    <w:rsid w:val="004F78B1"/>
    <w:rsid w:val="004F7BE6"/>
    <w:rsid w:val="0050000A"/>
    <w:rsid w:val="00501115"/>
    <w:rsid w:val="00501BBB"/>
    <w:rsid w:val="00501E4A"/>
    <w:rsid w:val="00502E78"/>
    <w:rsid w:val="00503137"/>
    <w:rsid w:val="00503336"/>
    <w:rsid w:val="00503870"/>
    <w:rsid w:val="0050397A"/>
    <w:rsid w:val="005039B8"/>
    <w:rsid w:val="00503A7A"/>
    <w:rsid w:val="00503B96"/>
    <w:rsid w:val="00504F90"/>
    <w:rsid w:val="00505606"/>
    <w:rsid w:val="00505761"/>
    <w:rsid w:val="0050746A"/>
    <w:rsid w:val="00507AF9"/>
    <w:rsid w:val="00507BBC"/>
    <w:rsid w:val="005100E9"/>
    <w:rsid w:val="005103A8"/>
    <w:rsid w:val="00510438"/>
    <w:rsid w:val="0051143A"/>
    <w:rsid w:val="0051173F"/>
    <w:rsid w:val="0051192F"/>
    <w:rsid w:val="005120C9"/>
    <w:rsid w:val="00512724"/>
    <w:rsid w:val="005129BC"/>
    <w:rsid w:val="00512D26"/>
    <w:rsid w:val="00512FC6"/>
    <w:rsid w:val="0051342C"/>
    <w:rsid w:val="00514438"/>
    <w:rsid w:val="00514B81"/>
    <w:rsid w:val="005154CD"/>
    <w:rsid w:val="0051560A"/>
    <w:rsid w:val="00515766"/>
    <w:rsid w:val="00515DAA"/>
    <w:rsid w:val="0051790C"/>
    <w:rsid w:val="00517C77"/>
    <w:rsid w:val="0052051C"/>
    <w:rsid w:val="00520841"/>
    <w:rsid w:val="00521B1B"/>
    <w:rsid w:val="00522B44"/>
    <w:rsid w:val="0052422E"/>
    <w:rsid w:val="005242C3"/>
    <w:rsid w:val="005249C3"/>
    <w:rsid w:val="00524D50"/>
    <w:rsid w:val="00526FD4"/>
    <w:rsid w:val="0052779E"/>
    <w:rsid w:val="00530271"/>
    <w:rsid w:val="00530A46"/>
    <w:rsid w:val="00530EBD"/>
    <w:rsid w:val="00532314"/>
    <w:rsid w:val="00532823"/>
    <w:rsid w:val="00532E0B"/>
    <w:rsid w:val="005331A6"/>
    <w:rsid w:val="00533395"/>
    <w:rsid w:val="00533875"/>
    <w:rsid w:val="00534E1C"/>
    <w:rsid w:val="00534E98"/>
    <w:rsid w:val="005359FD"/>
    <w:rsid w:val="00535A78"/>
    <w:rsid w:val="005362F1"/>
    <w:rsid w:val="005364DF"/>
    <w:rsid w:val="00537C97"/>
    <w:rsid w:val="00537E9B"/>
    <w:rsid w:val="00540090"/>
    <w:rsid w:val="00540529"/>
    <w:rsid w:val="005405FF"/>
    <w:rsid w:val="005410A5"/>
    <w:rsid w:val="005416C7"/>
    <w:rsid w:val="00542644"/>
    <w:rsid w:val="005429C1"/>
    <w:rsid w:val="00542C0D"/>
    <w:rsid w:val="00543423"/>
    <w:rsid w:val="00543BF7"/>
    <w:rsid w:val="00544BE0"/>
    <w:rsid w:val="00544C59"/>
    <w:rsid w:val="00544E57"/>
    <w:rsid w:val="00545310"/>
    <w:rsid w:val="005461F9"/>
    <w:rsid w:val="005468E5"/>
    <w:rsid w:val="005469BA"/>
    <w:rsid w:val="00546FBB"/>
    <w:rsid w:val="005470F7"/>
    <w:rsid w:val="005472B5"/>
    <w:rsid w:val="00547ED5"/>
    <w:rsid w:val="0055013B"/>
    <w:rsid w:val="00550C5F"/>
    <w:rsid w:val="00551117"/>
    <w:rsid w:val="0055169F"/>
    <w:rsid w:val="00552176"/>
    <w:rsid w:val="005525E4"/>
    <w:rsid w:val="00552BE5"/>
    <w:rsid w:val="00552E8B"/>
    <w:rsid w:val="00553EBF"/>
    <w:rsid w:val="00554199"/>
    <w:rsid w:val="005551A0"/>
    <w:rsid w:val="00555D27"/>
    <w:rsid w:val="00556F76"/>
    <w:rsid w:val="00557454"/>
    <w:rsid w:val="00557CF0"/>
    <w:rsid w:val="00557DCF"/>
    <w:rsid w:val="0056054A"/>
    <w:rsid w:val="00560AB5"/>
    <w:rsid w:val="0056180D"/>
    <w:rsid w:val="00561AAC"/>
    <w:rsid w:val="00561DC0"/>
    <w:rsid w:val="00561F0F"/>
    <w:rsid w:val="00562EA0"/>
    <w:rsid w:val="0056327F"/>
    <w:rsid w:val="0056454E"/>
    <w:rsid w:val="005646E2"/>
    <w:rsid w:val="00564E1A"/>
    <w:rsid w:val="005664DE"/>
    <w:rsid w:val="0056697D"/>
    <w:rsid w:val="005702B9"/>
    <w:rsid w:val="0057064D"/>
    <w:rsid w:val="00570948"/>
    <w:rsid w:val="00570B0C"/>
    <w:rsid w:val="00571216"/>
    <w:rsid w:val="0057180E"/>
    <w:rsid w:val="00571DFC"/>
    <w:rsid w:val="00573167"/>
    <w:rsid w:val="00573730"/>
    <w:rsid w:val="00575AAD"/>
    <w:rsid w:val="0057604C"/>
    <w:rsid w:val="0057633F"/>
    <w:rsid w:val="00577743"/>
    <w:rsid w:val="0057790C"/>
    <w:rsid w:val="00577A0D"/>
    <w:rsid w:val="00580A95"/>
    <w:rsid w:val="00581DA5"/>
    <w:rsid w:val="005823C8"/>
    <w:rsid w:val="005824CD"/>
    <w:rsid w:val="0058286E"/>
    <w:rsid w:val="005830A3"/>
    <w:rsid w:val="00583ACF"/>
    <w:rsid w:val="00583D42"/>
    <w:rsid w:val="005849A1"/>
    <w:rsid w:val="0058522D"/>
    <w:rsid w:val="00585829"/>
    <w:rsid w:val="00585E8C"/>
    <w:rsid w:val="0058622D"/>
    <w:rsid w:val="0058664F"/>
    <w:rsid w:val="00586872"/>
    <w:rsid w:val="00586BE9"/>
    <w:rsid w:val="00587186"/>
    <w:rsid w:val="005876D8"/>
    <w:rsid w:val="00590756"/>
    <w:rsid w:val="00591177"/>
    <w:rsid w:val="005923EB"/>
    <w:rsid w:val="005924FC"/>
    <w:rsid w:val="005928B8"/>
    <w:rsid w:val="00592FD9"/>
    <w:rsid w:val="005932AF"/>
    <w:rsid w:val="00595480"/>
    <w:rsid w:val="005955AC"/>
    <w:rsid w:val="0059569D"/>
    <w:rsid w:val="00595C06"/>
    <w:rsid w:val="005964CC"/>
    <w:rsid w:val="00597F92"/>
    <w:rsid w:val="005A01AC"/>
    <w:rsid w:val="005A182C"/>
    <w:rsid w:val="005A2080"/>
    <w:rsid w:val="005A29C3"/>
    <w:rsid w:val="005A2A61"/>
    <w:rsid w:val="005A2BC2"/>
    <w:rsid w:val="005A46D7"/>
    <w:rsid w:val="005A492B"/>
    <w:rsid w:val="005A4F46"/>
    <w:rsid w:val="005A58D4"/>
    <w:rsid w:val="005A593B"/>
    <w:rsid w:val="005A5A5A"/>
    <w:rsid w:val="005A620B"/>
    <w:rsid w:val="005A6249"/>
    <w:rsid w:val="005A67D7"/>
    <w:rsid w:val="005A6897"/>
    <w:rsid w:val="005A7469"/>
    <w:rsid w:val="005A781A"/>
    <w:rsid w:val="005A7945"/>
    <w:rsid w:val="005A7C9D"/>
    <w:rsid w:val="005A7F48"/>
    <w:rsid w:val="005B0C85"/>
    <w:rsid w:val="005B121E"/>
    <w:rsid w:val="005B1EEB"/>
    <w:rsid w:val="005B26EC"/>
    <w:rsid w:val="005B29C4"/>
    <w:rsid w:val="005B41B3"/>
    <w:rsid w:val="005B4888"/>
    <w:rsid w:val="005B5515"/>
    <w:rsid w:val="005B68D3"/>
    <w:rsid w:val="005B6F51"/>
    <w:rsid w:val="005C0C09"/>
    <w:rsid w:val="005C0C3F"/>
    <w:rsid w:val="005C0EE6"/>
    <w:rsid w:val="005C178A"/>
    <w:rsid w:val="005C1C4F"/>
    <w:rsid w:val="005C1CDA"/>
    <w:rsid w:val="005C2148"/>
    <w:rsid w:val="005C396A"/>
    <w:rsid w:val="005C3B60"/>
    <w:rsid w:val="005C4EE5"/>
    <w:rsid w:val="005C4F7E"/>
    <w:rsid w:val="005C529E"/>
    <w:rsid w:val="005C61D8"/>
    <w:rsid w:val="005C62D3"/>
    <w:rsid w:val="005C62F8"/>
    <w:rsid w:val="005C63B5"/>
    <w:rsid w:val="005C66FA"/>
    <w:rsid w:val="005C6BC3"/>
    <w:rsid w:val="005C7459"/>
    <w:rsid w:val="005C77D7"/>
    <w:rsid w:val="005D1732"/>
    <w:rsid w:val="005D181F"/>
    <w:rsid w:val="005D1EC4"/>
    <w:rsid w:val="005D251C"/>
    <w:rsid w:val="005D313A"/>
    <w:rsid w:val="005D3223"/>
    <w:rsid w:val="005D3E2D"/>
    <w:rsid w:val="005D42CF"/>
    <w:rsid w:val="005D43B8"/>
    <w:rsid w:val="005D4E82"/>
    <w:rsid w:val="005D4EB1"/>
    <w:rsid w:val="005D5569"/>
    <w:rsid w:val="005D600B"/>
    <w:rsid w:val="005D780D"/>
    <w:rsid w:val="005E01B5"/>
    <w:rsid w:val="005E04D2"/>
    <w:rsid w:val="005E0B20"/>
    <w:rsid w:val="005E1D8D"/>
    <w:rsid w:val="005E2774"/>
    <w:rsid w:val="005E407E"/>
    <w:rsid w:val="005E53FF"/>
    <w:rsid w:val="005E5417"/>
    <w:rsid w:val="005E694A"/>
    <w:rsid w:val="005E72A0"/>
    <w:rsid w:val="005E7B68"/>
    <w:rsid w:val="005F51E2"/>
    <w:rsid w:val="005F580E"/>
    <w:rsid w:val="005F5C0C"/>
    <w:rsid w:val="005F5C3D"/>
    <w:rsid w:val="005F5E70"/>
    <w:rsid w:val="005F6B77"/>
    <w:rsid w:val="005F6BFC"/>
    <w:rsid w:val="005F7A7C"/>
    <w:rsid w:val="00600007"/>
    <w:rsid w:val="00600DC0"/>
    <w:rsid w:val="0060122F"/>
    <w:rsid w:val="006032E5"/>
    <w:rsid w:val="006035C7"/>
    <w:rsid w:val="00604587"/>
    <w:rsid w:val="00604DE5"/>
    <w:rsid w:val="0060549F"/>
    <w:rsid w:val="0060598B"/>
    <w:rsid w:val="00605A0B"/>
    <w:rsid w:val="00607095"/>
    <w:rsid w:val="006072E5"/>
    <w:rsid w:val="006104A0"/>
    <w:rsid w:val="00610BE1"/>
    <w:rsid w:val="00611BE9"/>
    <w:rsid w:val="0061222F"/>
    <w:rsid w:val="00612810"/>
    <w:rsid w:val="00612BDB"/>
    <w:rsid w:val="00612DB2"/>
    <w:rsid w:val="006130DD"/>
    <w:rsid w:val="0061325A"/>
    <w:rsid w:val="00614D0C"/>
    <w:rsid w:val="0061576A"/>
    <w:rsid w:val="00615B50"/>
    <w:rsid w:val="00615CD2"/>
    <w:rsid w:val="00616EF1"/>
    <w:rsid w:val="00617018"/>
    <w:rsid w:val="0061718D"/>
    <w:rsid w:val="0061729A"/>
    <w:rsid w:val="00620DB1"/>
    <w:rsid w:val="00620DC1"/>
    <w:rsid w:val="006214A7"/>
    <w:rsid w:val="00622F83"/>
    <w:rsid w:val="00622F90"/>
    <w:rsid w:val="0062354C"/>
    <w:rsid w:val="00624A74"/>
    <w:rsid w:val="0062501B"/>
    <w:rsid w:val="006263CF"/>
    <w:rsid w:val="006266A3"/>
    <w:rsid w:val="00626C70"/>
    <w:rsid w:val="0062714B"/>
    <w:rsid w:val="00627D00"/>
    <w:rsid w:val="00631851"/>
    <w:rsid w:val="006319C9"/>
    <w:rsid w:val="006319EA"/>
    <w:rsid w:val="006338C1"/>
    <w:rsid w:val="0063398B"/>
    <w:rsid w:val="006340A1"/>
    <w:rsid w:val="006342FD"/>
    <w:rsid w:val="00634800"/>
    <w:rsid w:val="00634F49"/>
    <w:rsid w:val="006350C1"/>
    <w:rsid w:val="0063549B"/>
    <w:rsid w:val="0063558E"/>
    <w:rsid w:val="006364BA"/>
    <w:rsid w:val="00636507"/>
    <w:rsid w:val="00636AC8"/>
    <w:rsid w:val="00636C28"/>
    <w:rsid w:val="00637574"/>
    <w:rsid w:val="00640198"/>
    <w:rsid w:val="00640666"/>
    <w:rsid w:val="006407A6"/>
    <w:rsid w:val="006414B5"/>
    <w:rsid w:val="00642055"/>
    <w:rsid w:val="00642940"/>
    <w:rsid w:val="006431F7"/>
    <w:rsid w:val="00643239"/>
    <w:rsid w:val="00643AA4"/>
    <w:rsid w:val="006440E3"/>
    <w:rsid w:val="0064439E"/>
    <w:rsid w:val="006444BE"/>
    <w:rsid w:val="006445A2"/>
    <w:rsid w:val="00644B0B"/>
    <w:rsid w:val="00645DCD"/>
    <w:rsid w:val="00646999"/>
    <w:rsid w:val="006469AC"/>
    <w:rsid w:val="00646CCD"/>
    <w:rsid w:val="0064778A"/>
    <w:rsid w:val="00647818"/>
    <w:rsid w:val="0065036B"/>
    <w:rsid w:val="0065141A"/>
    <w:rsid w:val="00652020"/>
    <w:rsid w:val="00652601"/>
    <w:rsid w:val="0065280C"/>
    <w:rsid w:val="00652ACF"/>
    <w:rsid w:val="00652F07"/>
    <w:rsid w:val="00653433"/>
    <w:rsid w:val="00654094"/>
    <w:rsid w:val="006547DF"/>
    <w:rsid w:val="006551FA"/>
    <w:rsid w:val="00655947"/>
    <w:rsid w:val="00655BEF"/>
    <w:rsid w:val="00655E09"/>
    <w:rsid w:val="00656DA0"/>
    <w:rsid w:val="0065706F"/>
    <w:rsid w:val="00657112"/>
    <w:rsid w:val="0065738E"/>
    <w:rsid w:val="0065750A"/>
    <w:rsid w:val="006602DD"/>
    <w:rsid w:val="006605E4"/>
    <w:rsid w:val="00660B80"/>
    <w:rsid w:val="00660FD9"/>
    <w:rsid w:val="00661330"/>
    <w:rsid w:val="006625A7"/>
    <w:rsid w:val="006646F0"/>
    <w:rsid w:val="0066473A"/>
    <w:rsid w:val="00664A98"/>
    <w:rsid w:val="006654E1"/>
    <w:rsid w:val="006658B4"/>
    <w:rsid w:val="00665EAE"/>
    <w:rsid w:val="00665F36"/>
    <w:rsid w:val="00667063"/>
    <w:rsid w:val="00667891"/>
    <w:rsid w:val="0067003B"/>
    <w:rsid w:val="00670636"/>
    <w:rsid w:val="00670AC5"/>
    <w:rsid w:val="00672621"/>
    <w:rsid w:val="00672AF2"/>
    <w:rsid w:val="006732C3"/>
    <w:rsid w:val="0067348E"/>
    <w:rsid w:val="00673AF3"/>
    <w:rsid w:val="0067514C"/>
    <w:rsid w:val="0067565F"/>
    <w:rsid w:val="00675709"/>
    <w:rsid w:val="00675B12"/>
    <w:rsid w:val="00675F2F"/>
    <w:rsid w:val="0067638C"/>
    <w:rsid w:val="0067644D"/>
    <w:rsid w:val="0067649B"/>
    <w:rsid w:val="0067687D"/>
    <w:rsid w:val="00676B70"/>
    <w:rsid w:val="00676CCC"/>
    <w:rsid w:val="0068111E"/>
    <w:rsid w:val="006819A8"/>
    <w:rsid w:val="006820F2"/>
    <w:rsid w:val="0068398B"/>
    <w:rsid w:val="00683BCA"/>
    <w:rsid w:val="00684ECB"/>
    <w:rsid w:val="00685659"/>
    <w:rsid w:val="006861B1"/>
    <w:rsid w:val="00686CBB"/>
    <w:rsid w:val="0068752A"/>
    <w:rsid w:val="00690352"/>
    <w:rsid w:val="00690575"/>
    <w:rsid w:val="00690A72"/>
    <w:rsid w:val="00690DFA"/>
    <w:rsid w:val="006912BB"/>
    <w:rsid w:val="006912DE"/>
    <w:rsid w:val="0069135E"/>
    <w:rsid w:val="006913AA"/>
    <w:rsid w:val="006914EA"/>
    <w:rsid w:val="00692465"/>
    <w:rsid w:val="00692505"/>
    <w:rsid w:val="00692854"/>
    <w:rsid w:val="00693BB9"/>
    <w:rsid w:val="00694142"/>
    <w:rsid w:val="00694D14"/>
    <w:rsid w:val="00694E98"/>
    <w:rsid w:val="006954BF"/>
    <w:rsid w:val="006957F8"/>
    <w:rsid w:val="00695C03"/>
    <w:rsid w:val="00696051"/>
    <w:rsid w:val="00696BDC"/>
    <w:rsid w:val="006977FE"/>
    <w:rsid w:val="006A035F"/>
    <w:rsid w:val="006A0C90"/>
    <w:rsid w:val="006A1030"/>
    <w:rsid w:val="006A3279"/>
    <w:rsid w:val="006A32AC"/>
    <w:rsid w:val="006A38E0"/>
    <w:rsid w:val="006A3A45"/>
    <w:rsid w:val="006A3AA7"/>
    <w:rsid w:val="006A3BAC"/>
    <w:rsid w:val="006A3D8A"/>
    <w:rsid w:val="006A50AE"/>
    <w:rsid w:val="006A590C"/>
    <w:rsid w:val="006A5CC2"/>
    <w:rsid w:val="006A6787"/>
    <w:rsid w:val="006A6E42"/>
    <w:rsid w:val="006A752E"/>
    <w:rsid w:val="006A7A86"/>
    <w:rsid w:val="006A7EE1"/>
    <w:rsid w:val="006B06F5"/>
    <w:rsid w:val="006B1C99"/>
    <w:rsid w:val="006B23C8"/>
    <w:rsid w:val="006B2D59"/>
    <w:rsid w:val="006B368E"/>
    <w:rsid w:val="006B3AF4"/>
    <w:rsid w:val="006B4236"/>
    <w:rsid w:val="006B4A53"/>
    <w:rsid w:val="006B4BF9"/>
    <w:rsid w:val="006B53FF"/>
    <w:rsid w:val="006B5861"/>
    <w:rsid w:val="006B5B15"/>
    <w:rsid w:val="006B5B4B"/>
    <w:rsid w:val="006B5E09"/>
    <w:rsid w:val="006B75D6"/>
    <w:rsid w:val="006C0335"/>
    <w:rsid w:val="006C1950"/>
    <w:rsid w:val="006C216D"/>
    <w:rsid w:val="006C2B31"/>
    <w:rsid w:val="006C2CE5"/>
    <w:rsid w:val="006C2D87"/>
    <w:rsid w:val="006C32A6"/>
    <w:rsid w:val="006C4240"/>
    <w:rsid w:val="006C43C5"/>
    <w:rsid w:val="006C55C1"/>
    <w:rsid w:val="006C63DF"/>
    <w:rsid w:val="006C6C14"/>
    <w:rsid w:val="006C7293"/>
    <w:rsid w:val="006C759F"/>
    <w:rsid w:val="006D0142"/>
    <w:rsid w:val="006D0548"/>
    <w:rsid w:val="006D1875"/>
    <w:rsid w:val="006D295E"/>
    <w:rsid w:val="006D331A"/>
    <w:rsid w:val="006D3D97"/>
    <w:rsid w:val="006D4EBB"/>
    <w:rsid w:val="006D4F24"/>
    <w:rsid w:val="006D61B2"/>
    <w:rsid w:val="006D630B"/>
    <w:rsid w:val="006D6E5D"/>
    <w:rsid w:val="006E0A55"/>
    <w:rsid w:val="006E1F28"/>
    <w:rsid w:val="006E29F6"/>
    <w:rsid w:val="006E2A59"/>
    <w:rsid w:val="006E2F13"/>
    <w:rsid w:val="006E361F"/>
    <w:rsid w:val="006E37D1"/>
    <w:rsid w:val="006E4176"/>
    <w:rsid w:val="006E457F"/>
    <w:rsid w:val="006E48E1"/>
    <w:rsid w:val="006E5B54"/>
    <w:rsid w:val="006E6930"/>
    <w:rsid w:val="006E7666"/>
    <w:rsid w:val="006F15C4"/>
    <w:rsid w:val="006F15CD"/>
    <w:rsid w:val="006F1BCC"/>
    <w:rsid w:val="006F2AC7"/>
    <w:rsid w:val="006F35DE"/>
    <w:rsid w:val="006F411D"/>
    <w:rsid w:val="006F42D5"/>
    <w:rsid w:val="006F4E9B"/>
    <w:rsid w:val="006F53E1"/>
    <w:rsid w:val="006F5E26"/>
    <w:rsid w:val="006F72B6"/>
    <w:rsid w:val="006F7F5D"/>
    <w:rsid w:val="00702100"/>
    <w:rsid w:val="00703542"/>
    <w:rsid w:val="00704077"/>
    <w:rsid w:val="00705A7F"/>
    <w:rsid w:val="00705D7E"/>
    <w:rsid w:val="00706AF4"/>
    <w:rsid w:val="00706C1C"/>
    <w:rsid w:val="00706E68"/>
    <w:rsid w:val="00707193"/>
    <w:rsid w:val="0070766B"/>
    <w:rsid w:val="00707D20"/>
    <w:rsid w:val="007104DB"/>
    <w:rsid w:val="00711921"/>
    <w:rsid w:val="00711E4C"/>
    <w:rsid w:val="007120E9"/>
    <w:rsid w:val="00713673"/>
    <w:rsid w:val="007137F6"/>
    <w:rsid w:val="00713AA3"/>
    <w:rsid w:val="00713C55"/>
    <w:rsid w:val="00714FB2"/>
    <w:rsid w:val="007155B3"/>
    <w:rsid w:val="007157C0"/>
    <w:rsid w:val="00715FF5"/>
    <w:rsid w:val="00716319"/>
    <w:rsid w:val="00716832"/>
    <w:rsid w:val="00717397"/>
    <w:rsid w:val="00717B7D"/>
    <w:rsid w:val="00717CAA"/>
    <w:rsid w:val="00720439"/>
    <w:rsid w:val="00720B09"/>
    <w:rsid w:val="00720BF8"/>
    <w:rsid w:val="00723494"/>
    <w:rsid w:val="0072480F"/>
    <w:rsid w:val="00724B93"/>
    <w:rsid w:val="00724DD0"/>
    <w:rsid w:val="007256C5"/>
    <w:rsid w:val="00726987"/>
    <w:rsid w:val="00726E20"/>
    <w:rsid w:val="007277E1"/>
    <w:rsid w:val="00727FDD"/>
    <w:rsid w:val="007301E2"/>
    <w:rsid w:val="007308FB"/>
    <w:rsid w:val="00731864"/>
    <w:rsid w:val="00732239"/>
    <w:rsid w:val="0073236A"/>
    <w:rsid w:val="00733353"/>
    <w:rsid w:val="00733775"/>
    <w:rsid w:val="00733FCB"/>
    <w:rsid w:val="00735363"/>
    <w:rsid w:val="007354E9"/>
    <w:rsid w:val="0073639D"/>
    <w:rsid w:val="007375CC"/>
    <w:rsid w:val="00737A5E"/>
    <w:rsid w:val="00740C2D"/>
    <w:rsid w:val="00740F4B"/>
    <w:rsid w:val="00741890"/>
    <w:rsid w:val="00742D2D"/>
    <w:rsid w:val="00743FDC"/>
    <w:rsid w:val="007451F7"/>
    <w:rsid w:val="007460B2"/>
    <w:rsid w:val="00747240"/>
    <w:rsid w:val="00747C2D"/>
    <w:rsid w:val="00747D86"/>
    <w:rsid w:val="007505E4"/>
    <w:rsid w:val="00750798"/>
    <w:rsid w:val="007510A1"/>
    <w:rsid w:val="00751B2A"/>
    <w:rsid w:val="00751CEA"/>
    <w:rsid w:val="007528A6"/>
    <w:rsid w:val="00752F2C"/>
    <w:rsid w:val="00753A8E"/>
    <w:rsid w:val="007546EA"/>
    <w:rsid w:val="00754E2E"/>
    <w:rsid w:val="00754FF8"/>
    <w:rsid w:val="00755436"/>
    <w:rsid w:val="00755797"/>
    <w:rsid w:val="00755AFF"/>
    <w:rsid w:val="00755C9A"/>
    <w:rsid w:val="00755FA6"/>
    <w:rsid w:val="00756385"/>
    <w:rsid w:val="0075726E"/>
    <w:rsid w:val="00757451"/>
    <w:rsid w:val="0075777E"/>
    <w:rsid w:val="0075791F"/>
    <w:rsid w:val="00757BAD"/>
    <w:rsid w:val="007601DF"/>
    <w:rsid w:val="007604D0"/>
    <w:rsid w:val="007607FE"/>
    <w:rsid w:val="00761740"/>
    <w:rsid w:val="00761826"/>
    <w:rsid w:val="00761E98"/>
    <w:rsid w:val="0076254F"/>
    <w:rsid w:val="00762F3D"/>
    <w:rsid w:val="00763105"/>
    <w:rsid w:val="007644CB"/>
    <w:rsid w:val="00764C58"/>
    <w:rsid w:val="00764CDE"/>
    <w:rsid w:val="00765313"/>
    <w:rsid w:val="00765328"/>
    <w:rsid w:val="00765500"/>
    <w:rsid w:val="007664A8"/>
    <w:rsid w:val="0076688C"/>
    <w:rsid w:val="00766AA5"/>
    <w:rsid w:val="00766AC1"/>
    <w:rsid w:val="00766E01"/>
    <w:rsid w:val="00767CE5"/>
    <w:rsid w:val="00770839"/>
    <w:rsid w:val="007708B8"/>
    <w:rsid w:val="0077118C"/>
    <w:rsid w:val="0077177B"/>
    <w:rsid w:val="00771881"/>
    <w:rsid w:val="00771ADB"/>
    <w:rsid w:val="00772628"/>
    <w:rsid w:val="00772BC5"/>
    <w:rsid w:val="0077444A"/>
    <w:rsid w:val="00775683"/>
    <w:rsid w:val="00775A12"/>
    <w:rsid w:val="0077642E"/>
    <w:rsid w:val="007769A7"/>
    <w:rsid w:val="00776EF1"/>
    <w:rsid w:val="0077728C"/>
    <w:rsid w:val="00777A99"/>
    <w:rsid w:val="00777AD6"/>
    <w:rsid w:val="0078011A"/>
    <w:rsid w:val="00780B91"/>
    <w:rsid w:val="0078102C"/>
    <w:rsid w:val="00781721"/>
    <w:rsid w:val="00781962"/>
    <w:rsid w:val="00781A27"/>
    <w:rsid w:val="00781BDA"/>
    <w:rsid w:val="00781D93"/>
    <w:rsid w:val="00782004"/>
    <w:rsid w:val="007822C8"/>
    <w:rsid w:val="007823B1"/>
    <w:rsid w:val="00783F98"/>
    <w:rsid w:val="00785673"/>
    <w:rsid w:val="007856FA"/>
    <w:rsid w:val="007859B1"/>
    <w:rsid w:val="00785B7B"/>
    <w:rsid w:val="00785D3A"/>
    <w:rsid w:val="00785D67"/>
    <w:rsid w:val="00785DFA"/>
    <w:rsid w:val="00785F03"/>
    <w:rsid w:val="007867B5"/>
    <w:rsid w:val="00786AC4"/>
    <w:rsid w:val="0079053B"/>
    <w:rsid w:val="00790CBA"/>
    <w:rsid w:val="007918BB"/>
    <w:rsid w:val="00792903"/>
    <w:rsid w:val="00793013"/>
    <w:rsid w:val="00793F4A"/>
    <w:rsid w:val="00794654"/>
    <w:rsid w:val="00794D7F"/>
    <w:rsid w:val="00794F8D"/>
    <w:rsid w:val="00795074"/>
    <w:rsid w:val="007966A7"/>
    <w:rsid w:val="00796BCB"/>
    <w:rsid w:val="00797F2B"/>
    <w:rsid w:val="007A06A4"/>
    <w:rsid w:val="007A1959"/>
    <w:rsid w:val="007A1B00"/>
    <w:rsid w:val="007A2FEA"/>
    <w:rsid w:val="007A3478"/>
    <w:rsid w:val="007A4096"/>
    <w:rsid w:val="007A466D"/>
    <w:rsid w:val="007A518A"/>
    <w:rsid w:val="007A572F"/>
    <w:rsid w:val="007A5A4E"/>
    <w:rsid w:val="007A5CB7"/>
    <w:rsid w:val="007A5E17"/>
    <w:rsid w:val="007A6A80"/>
    <w:rsid w:val="007A6E43"/>
    <w:rsid w:val="007A72D2"/>
    <w:rsid w:val="007A74E8"/>
    <w:rsid w:val="007A7631"/>
    <w:rsid w:val="007A7E3A"/>
    <w:rsid w:val="007B0270"/>
    <w:rsid w:val="007B06AB"/>
    <w:rsid w:val="007B13C1"/>
    <w:rsid w:val="007B16A0"/>
    <w:rsid w:val="007B1B2C"/>
    <w:rsid w:val="007B213D"/>
    <w:rsid w:val="007B2569"/>
    <w:rsid w:val="007B2D5B"/>
    <w:rsid w:val="007B37E4"/>
    <w:rsid w:val="007B47FB"/>
    <w:rsid w:val="007B4873"/>
    <w:rsid w:val="007B5C43"/>
    <w:rsid w:val="007B5DE8"/>
    <w:rsid w:val="007B61BD"/>
    <w:rsid w:val="007B6B7B"/>
    <w:rsid w:val="007B7509"/>
    <w:rsid w:val="007B78E2"/>
    <w:rsid w:val="007B7DB5"/>
    <w:rsid w:val="007C022E"/>
    <w:rsid w:val="007C0938"/>
    <w:rsid w:val="007C0F47"/>
    <w:rsid w:val="007C19D5"/>
    <w:rsid w:val="007C27C4"/>
    <w:rsid w:val="007C28D2"/>
    <w:rsid w:val="007C308C"/>
    <w:rsid w:val="007C3478"/>
    <w:rsid w:val="007C4650"/>
    <w:rsid w:val="007C4786"/>
    <w:rsid w:val="007C5822"/>
    <w:rsid w:val="007C5833"/>
    <w:rsid w:val="007C58D5"/>
    <w:rsid w:val="007C5FA4"/>
    <w:rsid w:val="007C6536"/>
    <w:rsid w:val="007C78ED"/>
    <w:rsid w:val="007C7A48"/>
    <w:rsid w:val="007C7B4A"/>
    <w:rsid w:val="007D0351"/>
    <w:rsid w:val="007D18DE"/>
    <w:rsid w:val="007D1B54"/>
    <w:rsid w:val="007D32F4"/>
    <w:rsid w:val="007D641E"/>
    <w:rsid w:val="007E048A"/>
    <w:rsid w:val="007E0EE1"/>
    <w:rsid w:val="007E2757"/>
    <w:rsid w:val="007E398C"/>
    <w:rsid w:val="007E5A20"/>
    <w:rsid w:val="007E5D5A"/>
    <w:rsid w:val="007E5E3D"/>
    <w:rsid w:val="007E66AF"/>
    <w:rsid w:val="007F10FB"/>
    <w:rsid w:val="007F1CDD"/>
    <w:rsid w:val="007F2290"/>
    <w:rsid w:val="007F3227"/>
    <w:rsid w:val="007F3247"/>
    <w:rsid w:val="007F3475"/>
    <w:rsid w:val="007F3479"/>
    <w:rsid w:val="007F351A"/>
    <w:rsid w:val="007F392E"/>
    <w:rsid w:val="007F3C89"/>
    <w:rsid w:val="007F3DF6"/>
    <w:rsid w:val="007F5410"/>
    <w:rsid w:val="007F7116"/>
    <w:rsid w:val="007F77FD"/>
    <w:rsid w:val="007F7C70"/>
    <w:rsid w:val="00800030"/>
    <w:rsid w:val="008016FD"/>
    <w:rsid w:val="00801BDA"/>
    <w:rsid w:val="00802EDC"/>
    <w:rsid w:val="008039CC"/>
    <w:rsid w:val="00803AC1"/>
    <w:rsid w:val="00803D65"/>
    <w:rsid w:val="0080551D"/>
    <w:rsid w:val="00805FB1"/>
    <w:rsid w:val="00806E4C"/>
    <w:rsid w:val="00807B15"/>
    <w:rsid w:val="00807B93"/>
    <w:rsid w:val="00807D28"/>
    <w:rsid w:val="0081081A"/>
    <w:rsid w:val="00811007"/>
    <w:rsid w:val="0081100E"/>
    <w:rsid w:val="00811E8C"/>
    <w:rsid w:val="00811F1B"/>
    <w:rsid w:val="00812547"/>
    <w:rsid w:val="00812710"/>
    <w:rsid w:val="0081319E"/>
    <w:rsid w:val="00813F72"/>
    <w:rsid w:val="008143DB"/>
    <w:rsid w:val="008147B7"/>
    <w:rsid w:val="00815CE3"/>
    <w:rsid w:val="00817838"/>
    <w:rsid w:val="00817F0F"/>
    <w:rsid w:val="0082166A"/>
    <w:rsid w:val="00821964"/>
    <w:rsid w:val="00821F4B"/>
    <w:rsid w:val="008220D1"/>
    <w:rsid w:val="0082243E"/>
    <w:rsid w:val="0082248A"/>
    <w:rsid w:val="00822EFE"/>
    <w:rsid w:val="008233B1"/>
    <w:rsid w:val="00824139"/>
    <w:rsid w:val="008244FF"/>
    <w:rsid w:val="008250BB"/>
    <w:rsid w:val="00826CDC"/>
    <w:rsid w:val="00826CE9"/>
    <w:rsid w:val="008270BB"/>
    <w:rsid w:val="00831972"/>
    <w:rsid w:val="0083291F"/>
    <w:rsid w:val="00833AF2"/>
    <w:rsid w:val="00833B21"/>
    <w:rsid w:val="00833FB5"/>
    <w:rsid w:val="0083440C"/>
    <w:rsid w:val="0083484F"/>
    <w:rsid w:val="008359E6"/>
    <w:rsid w:val="00836334"/>
    <w:rsid w:val="008366CF"/>
    <w:rsid w:val="0083784C"/>
    <w:rsid w:val="008378D2"/>
    <w:rsid w:val="00837B80"/>
    <w:rsid w:val="00840A64"/>
    <w:rsid w:val="00841399"/>
    <w:rsid w:val="00841B3D"/>
    <w:rsid w:val="0084284A"/>
    <w:rsid w:val="00842CBE"/>
    <w:rsid w:val="00842F1B"/>
    <w:rsid w:val="0084378C"/>
    <w:rsid w:val="00843C0F"/>
    <w:rsid w:val="0084434E"/>
    <w:rsid w:val="0084496C"/>
    <w:rsid w:val="00844A31"/>
    <w:rsid w:val="00845D93"/>
    <w:rsid w:val="00846574"/>
    <w:rsid w:val="00847341"/>
    <w:rsid w:val="00851736"/>
    <w:rsid w:val="008527D2"/>
    <w:rsid w:val="00852E6E"/>
    <w:rsid w:val="0085315E"/>
    <w:rsid w:val="00853661"/>
    <w:rsid w:val="00853A5A"/>
    <w:rsid w:val="00853A87"/>
    <w:rsid w:val="00853CED"/>
    <w:rsid w:val="00854415"/>
    <w:rsid w:val="008545D4"/>
    <w:rsid w:val="008550D6"/>
    <w:rsid w:val="00855BC8"/>
    <w:rsid w:val="00855E8B"/>
    <w:rsid w:val="00855E91"/>
    <w:rsid w:val="0085648F"/>
    <w:rsid w:val="008579E3"/>
    <w:rsid w:val="00857CEC"/>
    <w:rsid w:val="0086080A"/>
    <w:rsid w:val="00860979"/>
    <w:rsid w:val="008609C0"/>
    <w:rsid w:val="00862462"/>
    <w:rsid w:val="008624E6"/>
    <w:rsid w:val="008633B0"/>
    <w:rsid w:val="00863653"/>
    <w:rsid w:val="00863C87"/>
    <w:rsid w:val="00863E5B"/>
    <w:rsid w:val="0086490C"/>
    <w:rsid w:val="00867526"/>
    <w:rsid w:val="00867C5E"/>
    <w:rsid w:val="00870482"/>
    <w:rsid w:val="00870A80"/>
    <w:rsid w:val="00871F16"/>
    <w:rsid w:val="0087239F"/>
    <w:rsid w:val="00872581"/>
    <w:rsid w:val="00873119"/>
    <w:rsid w:val="008743BC"/>
    <w:rsid w:val="0087483E"/>
    <w:rsid w:val="00875200"/>
    <w:rsid w:val="00875656"/>
    <w:rsid w:val="00875737"/>
    <w:rsid w:val="00875982"/>
    <w:rsid w:val="00875BF9"/>
    <w:rsid w:val="0087605D"/>
    <w:rsid w:val="00876358"/>
    <w:rsid w:val="00876832"/>
    <w:rsid w:val="00876A11"/>
    <w:rsid w:val="00877A05"/>
    <w:rsid w:val="008803D0"/>
    <w:rsid w:val="008803E2"/>
    <w:rsid w:val="00880601"/>
    <w:rsid w:val="00880B4B"/>
    <w:rsid w:val="00880D0C"/>
    <w:rsid w:val="00880D8D"/>
    <w:rsid w:val="00881D82"/>
    <w:rsid w:val="0088228C"/>
    <w:rsid w:val="008824FD"/>
    <w:rsid w:val="00882617"/>
    <w:rsid w:val="00882C72"/>
    <w:rsid w:val="008837AE"/>
    <w:rsid w:val="008838AD"/>
    <w:rsid w:val="00883C3A"/>
    <w:rsid w:val="00883D08"/>
    <w:rsid w:val="008843C3"/>
    <w:rsid w:val="008848BE"/>
    <w:rsid w:val="00884CF3"/>
    <w:rsid w:val="00884E88"/>
    <w:rsid w:val="00885CEF"/>
    <w:rsid w:val="008873F1"/>
    <w:rsid w:val="0088784B"/>
    <w:rsid w:val="00887994"/>
    <w:rsid w:val="00890559"/>
    <w:rsid w:val="00890C15"/>
    <w:rsid w:val="00891034"/>
    <w:rsid w:val="00891AB2"/>
    <w:rsid w:val="00891C3D"/>
    <w:rsid w:val="00891F4F"/>
    <w:rsid w:val="00893054"/>
    <w:rsid w:val="00893913"/>
    <w:rsid w:val="00894880"/>
    <w:rsid w:val="0089565B"/>
    <w:rsid w:val="00895B25"/>
    <w:rsid w:val="0089609B"/>
    <w:rsid w:val="00897174"/>
    <w:rsid w:val="0089742B"/>
    <w:rsid w:val="00897679"/>
    <w:rsid w:val="00897995"/>
    <w:rsid w:val="008A09F6"/>
    <w:rsid w:val="008A1434"/>
    <w:rsid w:val="008A2249"/>
    <w:rsid w:val="008A277C"/>
    <w:rsid w:val="008A2B30"/>
    <w:rsid w:val="008A2CBD"/>
    <w:rsid w:val="008A3D68"/>
    <w:rsid w:val="008A3E09"/>
    <w:rsid w:val="008A3EC2"/>
    <w:rsid w:val="008A4334"/>
    <w:rsid w:val="008A48D4"/>
    <w:rsid w:val="008A4B02"/>
    <w:rsid w:val="008A4F17"/>
    <w:rsid w:val="008A5201"/>
    <w:rsid w:val="008A5364"/>
    <w:rsid w:val="008A6003"/>
    <w:rsid w:val="008A637B"/>
    <w:rsid w:val="008A6B74"/>
    <w:rsid w:val="008A7769"/>
    <w:rsid w:val="008A7B29"/>
    <w:rsid w:val="008A7EA9"/>
    <w:rsid w:val="008B006D"/>
    <w:rsid w:val="008B0199"/>
    <w:rsid w:val="008B0269"/>
    <w:rsid w:val="008B0682"/>
    <w:rsid w:val="008B0722"/>
    <w:rsid w:val="008B0D9A"/>
    <w:rsid w:val="008B0EB3"/>
    <w:rsid w:val="008B13A2"/>
    <w:rsid w:val="008B1A9F"/>
    <w:rsid w:val="008B1C0B"/>
    <w:rsid w:val="008B2277"/>
    <w:rsid w:val="008B27D5"/>
    <w:rsid w:val="008B33D6"/>
    <w:rsid w:val="008B3B31"/>
    <w:rsid w:val="008B3C95"/>
    <w:rsid w:val="008B573C"/>
    <w:rsid w:val="008B69F1"/>
    <w:rsid w:val="008B705B"/>
    <w:rsid w:val="008B735E"/>
    <w:rsid w:val="008C10A1"/>
    <w:rsid w:val="008C1221"/>
    <w:rsid w:val="008C18A7"/>
    <w:rsid w:val="008C2728"/>
    <w:rsid w:val="008C27E4"/>
    <w:rsid w:val="008C2E63"/>
    <w:rsid w:val="008C34D3"/>
    <w:rsid w:val="008C3BD0"/>
    <w:rsid w:val="008C3C5F"/>
    <w:rsid w:val="008C3FD6"/>
    <w:rsid w:val="008C403B"/>
    <w:rsid w:val="008C41B2"/>
    <w:rsid w:val="008C5716"/>
    <w:rsid w:val="008C5AC8"/>
    <w:rsid w:val="008C5E38"/>
    <w:rsid w:val="008C6ACB"/>
    <w:rsid w:val="008C70D4"/>
    <w:rsid w:val="008C7318"/>
    <w:rsid w:val="008C798D"/>
    <w:rsid w:val="008C7A6C"/>
    <w:rsid w:val="008D02EF"/>
    <w:rsid w:val="008D0462"/>
    <w:rsid w:val="008D0838"/>
    <w:rsid w:val="008D0871"/>
    <w:rsid w:val="008D11FE"/>
    <w:rsid w:val="008D1E6E"/>
    <w:rsid w:val="008D33B4"/>
    <w:rsid w:val="008D4A18"/>
    <w:rsid w:val="008D4F8A"/>
    <w:rsid w:val="008D5565"/>
    <w:rsid w:val="008D5984"/>
    <w:rsid w:val="008D5E15"/>
    <w:rsid w:val="008D5F88"/>
    <w:rsid w:val="008D7F7F"/>
    <w:rsid w:val="008E054B"/>
    <w:rsid w:val="008E09E0"/>
    <w:rsid w:val="008E161B"/>
    <w:rsid w:val="008E165D"/>
    <w:rsid w:val="008E1D10"/>
    <w:rsid w:val="008E1D67"/>
    <w:rsid w:val="008E1D96"/>
    <w:rsid w:val="008E1DE4"/>
    <w:rsid w:val="008E2BA4"/>
    <w:rsid w:val="008E34B7"/>
    <w:rsid w:val="008E47A7"/>
    <w:rsid w:val="008E4AF8"/>
    <w:rsid w:val="008E4EF5"/>
    <w:rsid w:val="008E6081"/>
    <w:rsid w:val="008E68DD"/>
    <w:rsid w:val="008E68F0"/>
    <w:rsid w:val="008E7E4C"/>
    <w:rsid w:val="008F06F9"/>
    <w:rsid w:val="008F0A24"/>
    <w:rsid w:val="008F13D5"/>
    <w:rsid w:val="008F1F5A"/>
    <w:rsid w:val="008F270C"/>
    <w:rsid w:val="008F296B"/>
    <w:rsid w:val="008F34AB"/>
    <w:rsid w:val="008F3D6E"/>
    <w:rsid w:val="008F4789"/>
    <w:rsid w:val="008F4ACB"/>
    <w:rsid w:val="008F5561"/>
    <w:rsid w:val="008F77BB"/>
    <w:rsid w:val="009001F7"/>
    <w:rsid w:val="009006F7"/>
    <w:rsid w:val="00900BFB"/>
    <w:rsid w:val="0090137A"/>
    <w:rsid w:val="00901B02"/>
    <w:rsid w:val="00901F75"/>
    <w:rsid w:val="00904402"/>
    <w:rsid w:val="0090459F"/>
    <w:rsid w:val="00904B17"/>
    <w:rsid w:val="009051E6"/>
    <w:rsid w:val="00905426"/>
    <w:rsid w:val="0090593F"/>
    <w:rsid w:val="009062EB"/>
    <w:rsid w:val="009070AE"/>
    <w:rsid w:val="0090756F"/>
    <w:rsid w:val="00907595"/>
    <w:rsid w:val="009108F3"/>
    <w:rsid w:val="009109EA"/>
    <w:rsid w:val="00910F6D"/>
    <w:rsid w:val="00911172"/>
    <w:rsid w:val="00911B5C"/>
    <w:rsid w:val="00911D2E"/>
    <w:rsid w:val="00912B33"/>
    <w:rsid w:val="00912BC6"/>
    <w:rsid w:val="0091323E"/>
    <w:rsid w:val="00914210"/>
    <w:rsid w:val="00914CE3"/>
    <w:rsid w:val="00915152"/>
    <w:rsid w:val="0091516C"/>
    <w:rsid w:val="00915C77"/>
    <w:rsid w:val="0091634D"/>
    <w:rsid w:val="00916D75"/>
    <w:rsid w:val="009170F9"/>
    <w:rsid w:val="009204DC"/>
    <w:rsid w:val="00921090"/>
    <w:rsid w:val="00921359"/>
    <w:rsid w:val="00922569"/>
    <w:rsid w:val="009226A2"/>
    <w:rsid w:val="00922A03"/>
    <w:rsid w:val="009230DD"/>
    <w:rsid w:val="00923828"/>
    <w:rsid w:val="00923C55"/>
    <w:rsid w:val="00924B5B"/>
    <w:rsid w:val="009263F5"/>
    <w:rsid w:val="00926801"/>
    <w:rsid w:val="00926F51"/>
    <w:rsid w:val="009274B0"/>
    <w:rsid w:val="00927701"/>
    <w:rsid w:val="00930538"/>
    <w:rsid w:val="00930D1C"/>
    <w:rsid w:val="0093107B"/>
    <w:rsid w:val="0093108A"/>
    <w:rsid w:val="00931213"/>
    <w:rsid w:val="00931A29"/>
    <w:rsid w:val="00931ACB"/>
    <w:rsid w:val="00931ACD"/>
    <w:rsid w:val="00931FB2"/>
    <w:rsid w:val="0093294A"/>
    <w:rsid w:val="00934324"/>
    <w:rsid w:val="00934414"/>
    <w:rsid w:val="0093463C"/>
    <w:rsid w:val="00934FE4"/>
    <w:rsid w:val="00935137"/>
    <w:rsid w:val="009352BC"/>
    <w:rsid w:val="0093607A"/>
    <w:rsid w:val="0093610B"/>
    <w:rsid w:val="00937E47"/>
    <w:rsid w:val="009400A0"/>
    <w:rsid w:val="00940701"/>
    <w:rsid w:val="00940C76"/>
    <w:rsid w:val="00942132"/>
    <w:rsid w:val="00942581"/>
    <w:rsid w:val="00943103"/>
    <w:rsid w:val="00943362"/>
    <w:rsid w:val="00943520"/>
    <w:rsid w:val="0094373E"/>
    <w:rsid w:val="00943D78"/>
    <w:rsid w:val="0094406C"/>
    <w:rsid w:val="00944133"/>
    <w:rsid w:val="00944169"/>
    <w:rsid w:val="00944806"/>
    <w:rsid w:val="00944C6D"/>
    <w:rsid w:val="00945CE5"/>
    <w:rsid w:val="009464C9"/>
    <w:rsid w:val="00946BB2"/>
    <w:rsid w:val="00947202"/>
    <w:rsid w:val="00950AAA"/>
    <w:rsid w:val="00950C14"/>
    <w:rsid w:val="00950CB4"/>
    <w:rsid w:val="00951E35"/>
    <w:rsid w:val="00951EED"/>
    <w:rsid w:val="00952EE0"/>
    <w:rsid w:val="00953035"/>
    <w:rsid w:val="00953133"/>
    <w:rsid w:val="009532B3"/>
    <w:rsid w:val="00953CB6"/>
    <w:rsid w:val="00953FC4"/>
    <w:rsid w:val="009549D8"/>
    <w:rsid w:val="00954EA0"/>
    <w:rsid w:val="009550E4"/>
    <w:rsid w:val="0095537F"/>
    <w:rsid w:val="00956084"/>
    <w:rsid w:val="00956C9B"/>
    <w:rsid w:val="00956FBC"/>
    <w:rsid w:val="00957299"/>
    <w:rsid w:val="00957642"/>
    <w:rsid w:val="00960386"/>
    <w:rsid w:val="00960BD0"/>
    <w:rsid w:val="00960C72"/>
    <w:rsid w:val="00962751"/>
    <w:rsid w:val="00963226"/>
    <w:rsid w:val="009632DF"/>
    <w:rsid w:val="0096345D"/>
    <w:rsid w:val="00963C9E"/>
    <w:rsid w:val="00963D3C"/>
    <w:rsid w:val="00963FEB"/>
    <w:rsid w:val="009643B7"/>
    <w:rsid w:val="00964576"/>
    <w:rsid w:val="00965A03"/>
    <w:rsid w:val="00966587"/>
    <w:rsid w:val="009667E8"/>
    <w:rsid w:val="00966FF8"/>
    <w:rsid w:val="0097024A"/>
    <w:rsid w:val="00970391"/>
    <w:rsid w:val="009717CD"/>
    <w:rsid w:val="00971B89"/>
    <w:rsid w:val="00971DA2"/>
    <w:rsid w:val="009721CE"/>
    <w:rsid w:val="00972765"/>
    <w:rsid w:val="0097357A"/>
    <w:rsid w:val="009741B6"/>
    <w:rsid w:val="009746A5"/>
    <w:rsid w:val="00974B76"/>
    <w:rsid w:val="00974D49"/>
    <w:rsid w:val="00974EC5"/>
    <w:rsid w:val="00974FAF"/>
    <w:rsid w:val="0097657E"/>
    <w:rsid w:val="00976580"/>
    <w:rsid w:val="00976663"/>
    <w:rsid w:val="00976ACF"/>
    <w:rsid w:val="00976AEF"/>
    <w:rsid w:val="009772DD"/>
    <w:rsid w:val="00977366"/>
    <w:rsid w:val="009777AE"/>
    <w:rsid w:val="00977FDA"/>
    <w:rsid w:val="00980050"/>
    <w:rsid w:val="009800DA"/>
    <w:rsid w:val="00980F30"/>
    <w:rsid w:val="00981016"/>
    <w:rsid w:val="00981920"/>
    <w:rsid w:val="00982211"/>
    <w:rsid w:val="00982220"/>
    <w:rsid w:val="00983D0C"/>
    <w:rsid w:val="009842F8"/>
    <w:rsid w:val="009844D6"/>
    <w:rsid w:val="00984749"/>
    <w:rsid w:val="00984783"/>
    <w:rsid w:val="00985A2F"/>
    <w:rsid w:val="00986260"/>
    <w:rsid w:val="00986558"/>
    <w:rsid w:val="00987543"/>
    <w:rsid w:val="009900CC"/>
    <w:rsid w:val="009902EC"/>
    <w:rsid w:val="009904DB"/>
    <w:rsid w:val="00990D12"/>
    <w:rsid w:val="009918B5"/>
    <w:rsid w:val="00991F2F"/>
    <w:rsid w:val="00992053"/>
    <w:rsid w:val="009924E4"/>
    <w:rsid w:val="0099265E"/>
    <w:rsid w:val="00992CEC"/>
    <w:rsid w:val="0099362F"/>
    <w:rsid w:val="00993A3D"/>
    <w:rsid w:val="009942BC"/>
    <w:rsid w:val="00994943"/>
    <w:rsid w:val="009956AD"/>
    <w:rsid w:val="00995957"/>
    <w:rsid w:val="00996E9A"/>
    <w:rsid w:val="00997441"/>
    <w:rsid w:val="00997504"/>
    <w:rsid w:val="009A01E0"/>
    <w:rsid w:val="009A0C4F"/>
    <w:rsid w:val="009A12C4"/>
    <w:rsid w:val="009A12F8"/>
    <w:rsid w:val="009A1681"/>
    <w:rsid w:val="009A1788"/>
    <w:rsid w:val="009A1831"/>
    <w:rsid w:val="009A19DA"/>
    <w:rsid w:val="009A1D4B"/>
    <w:rsid w:val="009A2239"/>
    <w:rsid w:val="009A2614"/>
    <w:rsid w:val="009A2F33"/>
    <w:rsid w:val="009A3019"/>
    <w:rsid w:val="009A3B26"/>
    <w:rsid w:val="009A3D64"/>
    <w:rsid w:val="009A4E51"/>
    <w:rsid w:val="009A6DCD"/>
    <w:rsid w:val="009A70D5"/>
    <w:rsid w:val="009A777B"/>
    <w:rsid w:val="009A7C57"/>
    <w:rsid w:val="009A7D65"/>
    <w:rsid w:val="009B0A45"/>
    <w:rsid w:val="009B1234"/>
    <w:rsid w:val="009B16B8"/>
    <w:rsid w:val="009B1957"/>
    <w:rsid w:val="009B1AC3"/>
    <w:rsid w:val="009B2565"/>
    <w:rsid w:val="009B33AA"/>
    <w:rsid w:val="009B449C"/>
    <w:rsid w:val="009B471C"/>
    <w:rsid w:val="009B5159"/>
    <w:rsid w:val="009B5464"/>
    <w:rsid w:val="009B6264"/>
    <w:rsid w:val="009B67A8"/>
    <w:rsid w:val="009B6B6A"/>
    <w:rsid w:val="009C07B1"/>
    <w:rsid w:val="009C16F8"/>
    <w:rsid w:val="009C1C9B"/>
    <w:rsid w:val="009C23A9"/>
    <w:rsid w:val="009C246A"/>
    <w:rsid w:val="009C29C1"/>
    <w:rsid w:val="009C3E9B"/>
    <w:rsid w:val="009C4400"/>
    <w:rsid w:val="009C5469"/>
    <w:rsid w:val="009C578E"/>
    <w:rsid w:val="009C57BE"/>
    <w:rsid w:val="009C6659"/>
    <w:rsid w:val="009C6E78"/>
    <w:rsid w:val="009C76B9"/>
    <w:rsid w:val="009C78D3"/>
    <w:rsid w:val="009C7ABA"/>
    <w:rsid w:val="009C7F41"/>
    <w:rsid w:val="009D0D19"/>
    <w:rsid w:val="009D139A"/>
    <w:rsid w:val="009D21DD"/>
    <w:rsid w:val="009D2A04"/>
    <w:rsid w:val="009D2F87"/>
    <w:rsid w:val="009D3722"/>
    <w:rsid w:val="009D3B6E"/>
    <w:rsid w:val="009D3F88"/>
    <w:rsid w:val="009D4861"/>
    <w:rsid w:val="009D4D1E"/>
    <w:rsid w:val="009D4EAC"/>
    <w:rsid w:val="009D5276"/>
    <w:rsid w:val="009D5533"/>
    <w:rsid w:val="009D5E8E"/>
    <w:rsid w:val="009D5FF0"/>
    <w:rsid w:val="009D65B8"/>
    <w:rsid w:val="009D6AE2"/>
    <w:rsid w:val="009D6BF1"/>
    <w:rsid w:val="009D6D40"/>
    <w:rsid w:val="009D704B"/>
    <w:rsid w:val="009D7223"/>
    <w:rsid w:val="009D7274"/>
    <w:rsid w:val="009D7781"/>
    <w:rsid w:val="009D7D91"/>
    <w:rsid w:val="009D7F61"/>
    <w:rsid w:val="009E01AB"/>
    <w:rsid w:val="009E06F3"/>
    <w:rsid w:val="009E0ECB"/>
    <w:rsid w:val="009E18AA"/>
    <w:rsid w:val="009E2768"/>
    <w:rsid w:val="009E2A19"/>
    <w:rsid w:val="009E341C"/>
    <w:rsid w:val="009E36BB"/>
    <w:rsid w:val="009E3A66"/>
    <w:rsid w:val="009E3F2D"/>
    <w:rsid w:val="009E45C5"/>
    <w:rsid w:val="009E4F94"/>
    <w:rsid w:val="009E5040"/>
    <w:rsid w:val="009E68C3"/>
    <w:rsid w:val="009E6911"/>
    <w:rsid w:val="009E7BAB"/>
    <w:rsid w:val="009F014D"/>
    <w:rsid w:val="009F09C6"/>
    <w:rsid w:val="009F2744"/>
    <w:rsid w:val="009F29FE"/>
    <w:rsid w:val="009F2A4A"/>
    <w:rsid w:val="009F2D65"/>
    <w:rsid w:val="009F3454"/>
    <w:rsid w:val="009F3652"/>
    <w:rsid w:val="009F3937"/>
    <w:rsid w:val="009F4B02"/>
    <w:rsid w:val="009F4BB4"/>
    <w:rsid w:val="009F4FB2"/>
    <w:rsid w:val="009F55C5"/>
    <w:rsid w:val="009F5703"/>
    <w:rsid w:val="009F5FEE"/>
    <w:rsid w:val="009F60C6"/>
    <w:rsid w:val="009F61CB"/>
    <w:rsid w:val="009F67B5"/>
    <w:rsid w:val="009F6E67"/>
    <w:rsid w:val="009F6EF2"/>
    <w:rsid w:val="009F795A"/>
    <w:rsid w:val="009F7EA4"/>
    <w:rsid w:val="00A0020F"/>
    <w:rsid w:val="00A0146C"/>
    <w:rsid w:val="00A01D88"/>
    <w:rsid w:val="00A025B6"/>
    <w:rsid w:val="00A02D96"/>
    <w:rsid w:val="00A039BA"/>
    <w:rsid w:val="00A039D0"/>
    <w:rsid w:val="00A045BD"/>
    <w:rsid w:val="00A04604"/>
    <w:rsid w:val="00A049CB"/>
    <w:rsid w:val="00A04C9D"/>
    <w:rsid w:val="00A0515B"/>
    <w:rsid w:val="00A0533D"/>
    <w:rsid w:val="00A0582B"/>
    <w:rsid w:val="00A0587A"/>
    <w:rsid w:val="00A06DCB"/>
    <w:rsid w:val="00A07037"/>
    <w:rsid w:val="00A100C7"/>
    <w:rsid w:val="00A10394"/>
    <w:rsid w:val="00A10BE4"/>
    <w:rsid w:val="00A118B2"/>
    <w:rsid w:val="00A1231A"/>
    <w:rsid w:val="00A12AB7"/>
    <w:rsid w:val="00A132E0"/>
    <w:rsid w:val="00A133F0"/>
    <w:rsid w:val="00A1487F"/>
    <w:rsid w:val="00A149CD"/>
    <w:rsid w:val="00A1628A"/>
    <w:rsid w:val="00A16499"/>
    <w:rsid w:val="00A16DE1"/>
    <w:rsid w:val="00A206FC"/>
    <w:rsid w:val="00A207F8"/>
    <w:rsid w:val="00A21303"/>
    <w:rsid w:val="00A222FB"/>
    <w:rsid w:val="00A22D24"/>
    <w:rsid w:val="00A23CF8"/>
    <w:rsid w:val="00A24CA9"/>
    <w:rsid w:val="00A2587F"/>
    <w:rsid w:val="00A25A91"/>
    <w:rsid w:val="00A25D1F"/>
    <w:rsid w:val="00A267FF"/>
    <w:rsid w:val="00A279EB"/>
    <w:rsid w:val="00A300CC"/>
    <w:rsid w:val="00A308C7"/>
    <w:rsid w:val="00A30B75"/>
    <w:rsid w:val="00A3153F"/>
    <w:rsid w:val="00A31905"/>
    <w:rsid w:val="00A3236F"/>
    <w:rsid w:val="00A3260A"/>
    <w:rsid w:val="00A32E1F"/>
    <w:rsid w:val="00A336DE"/>
    <w:rsid w:val="00A338F1"/>
    <w:rsid w:val="00A34BE1"/>
    <w:rsid w:val="00A34D87"/>
    <w:rsid w:val="00A34E8C"/>
    <w:rsid w:val="00A34F45"/>
    <w:rsid w:val="00A3508D"/>
    <w:rsid w:val="00A355B7"/>
    <w:rsid w:val="00A35AFC"/>
    <w:rsid w:val="00A35D67"/>
    <w:rsid w:val="00A368CB"/>
    <w:rsid w:val="00A37021"/>
    <w:rsid w:val="00A372BC"/>
    <w:rsid w:val="00A37C8E"/>
    <w:rsid w:val="00A37CD3"/>
    <w:rsid w:val="00A40006"/>
    <w:rsid w:val="00A40151"/>
    <w:rsid w:val="00A42EA4"/>
    <w:rsid w:val="00A44A69"/>
    <w:rsid w:val="00A45014"/>
    <w:rsid w:val="00A45363"/>
    <w:rsid w:val="00A45A17"/>
    <w:rsid w:val="00A45CC9"/>
    <w:rsid w:val="00A46CA4"/>
    <w:rsid w:val="00A47820"/>
    <w:rsid w:val="00A47A60"/>
    <w:rsid w:val="00A47FCB"/>
    <w:rsid w:val="00A500ED"/>
    <w:rsid w:val="00A5118A"/>
    <w:rsid w:val="00A51407"/>
    <w:rsid w:val="00A51B96"/>
    <w:rsid w:val="00A51C90"/>
    <w:rsid w:val="00A51EFB"/>
    <w:rsid w:val="00A51F82"/>
    <w:rsid w:val="00A522DD"/>
    <w:rsid w:val="00A52717"/>
    <w:rsid w:val="00A52F39"/>
    <w:rsid w:val="00A5329D"/>
    <w:rsid w:val="00A5363F"/>
    <w:rsid w:val="00A53A29"/>
    <w:rsid w:val="00A53B63"/>
    <w:rsid w:val="00A53D9F"/>
    <w:rsid w:val="00A53E31"/>
    <w:rsid w:val="00A54765"/>
    <w:rsid w:val="00A54E88"/>
    <w:rsid w:val="00A55774"/>
    <w:rsid w:val="00A55B38"/>
    <w:rsid w:val="00A568A4"/>
    <w:rsid w:val="00A56CFC"/>
    <w:rsid w:val="00A56D4A"/>
    <w:rsid w:val="00A57283"/>
    <w:rsid w:val="00A60090"/>
    <w:rsid w:val="00A601C2"/>
    <w:rsid w:val="00A60617"/>
    <w:rsid w:val="00A607AA"/>
    <w:rsid w:val="00A609AC"/>
    <w:rsid w:val="00A618AF"/>
    <w:rsid w:val="00A6191F"/>
    <w:rsid w:val="00A62288"/>
    <w:rsid w:val="00A622A1"/>
    <w:rsid w:val="00A62E3A"/>
    <w:rsid w:val="00A633CB"/>
    <w:rsid w:val="00A6357A"/>
    <w:rsid w:val="00A64110"/>
    <w:rsid w:val="00A64B3B"/>
    <w:rsid w:val="00A64C3B"/>
    <w:rsid w:val="00A64DD4"/>
    <w:rsid w:val="00A64F88"/>
    <w:rsid w:val="00A6510D"/>
    <w:rsid w:val="00A651DC"/>
    <w:rsid w:val="00A6538F"/>
    <w:rsid w:val="00A65E3B"/>
    <w:rsid w:val="00A677D9"/>
    <w:rsid w:val="00A67C95"/>
    <w:rsid w:val="00A71082"/>
    <w:rsid w:val="00A71AE8"/>
    <w:rsid w:val="00A71B48"/>
    <w:rsid w:val="00A72411"/>
    <w:rsid w:val="00A727B4"/>
    <w:rsid w:val="00A72F15"/>
    <w:rsid w:val="00A73127"/>
    <w:rsid w:val="00A73404"/>
    <w:rsid w:val="00A73C07"/>
    <w:rsid w:val="00A74871"/>
    <w:rsid w:val="00A75806"/>
    <w:rsid w:val="00A75DC9"/>
    <w:rsid w:val="00A7626A"/>
    <w:rsid w:val="00A765CD"/>
    <w:rsid w:val="00A77249"/>
    <w:rsid w:val="00A7727B"/>
    <w:rsid w:val="00A774FB"/>
    <w:rsid w:val="00A7773F"/>
    <w:rsid w:val="00A77ACD"/>
    <w:rsid w:val="00A77C50"/>
    <w:rsid w:val="00A8134F"/>
    <w:rsid w:val="00A81466"/>
    <w:rsid w:val="00A81D23"/>
    <w:rsid w:val="00A821E4"/>
    <w:rsid w:val="00A82A87"/>
    <w:rsid w:val="00A83363"/>
    <w:rsid w:val="00A840C3"/>
    <w:rsid w:val="00A846C9"/>
    <w:rsid w:val="00A85246"/>
    <w:rsid w:val="00A85A0F"/>
    <w:rsid w:val="00A85DC5"/>
    <w:rsid w:val="00A86971"/>
    <w:rsid w:val="00A86C63"/>
    <w:rsid w:val="00A86F12"/>
    <w:rsid w:val="00A877FB"/>
    <w:rsid w:val="00A879D9"/>
    <w:rsid w:val="00A87E3E"/>
    <w:rsid w:val="00A915A6"/>
    <w:rsid w:val="00A917A4"/>
    <w:rsid w:val="00A936A7"/>
    <w:rsid w:val="00A93760"/>
    <w:rsid w:val="00A937DE"/>
    <w:rsid w:val="00A93E6F"/>
    <w:rsid w:val="00A94151"/>
    <w:rsid w:val="00A94232"/>
    <w:rsid w:val="00A947FC"/>
    <w:rsid w:val="00A94BD5"/>
    <w:rsid w:val="00A9526C"/>
    <w:rsid w:val="00A95B0E"/>
    <w:rsid w:val="00A972C0"/>
    <w:rsid w:val="00AA0283"/>
    <w:rsid w:val="00AA0517"/>
    <w:rsid w:val="00AA16A6"/>
    <w:rsid w:val="00AA1EDE"/>
    <w:rsid w:val="00AA27F3"/>
    <w:rsid w:val="00AA3287"/>
    <w:rsid w:val="00AA341E"/>
    <w:rsid w:val="00AA3F83"/>
    <w:rsid w:val="00AA442D"/>
    <w:rsid w:val="00AA563E"/>
    <w:rsid w:val="00AA6FAA"/>
    <w:rsid w:val="00AA718A"/>
    <w:rsid w:val="00AA7818"/>
    <w:rsid w:val="00AA78C9"/>
    <w:rsid w:val="00AA78F1"/>
    <w:rsid w:val="00AB0A97"/>
    <w:rsid w:val="00AB2CA0"/>
    <w:rsid w:val="00AB5FE4"/>
    <w:rsid w:val="00AB6641"/>
    <w:rsid w:val="00AC04B2"/>
    <w:rsid w:val="00AC0E9F"/>
    <w:rsid w:val="00AC0ECB"/>
    <w:rsid w:val="00AC14AD"/>
    <w:rsid w:val="00AC16BD"/>
    <w:rsid w:val="00AC1C27"/>
    <w:rsid w:val="00AC1C48"/>
    <w:rsid w:val="00AC1F88"/>
    <w:rsid w:val="00AC231D"/>
    <w:rsid w:val="00AC2E7E"/>
    <w:rsid w:val="00AC33CE"/>
    <w:rsid w:val="00AC3425"/>
    <w:rsid w:val="00AC437A"/>
    <w:rsid w:val="00AC49E6"/>
    <w:rsid w:val="00AC4D61"/>
    <w:rsid w:val="00AC550A"/>
    <w:rsid w:val="00AC57C4"/>
    <w:rsid w:val="00AC5F85"/>
    <w:rsid w:val="00AC6155"/>
    <w:rsid w:val="00AC78D4"/>
    <w:rsid w:val="00AC7A72"/>
    <w:rsid w:val="00AD0075"/>
    <w:rsid w:val="00AD142C"/>
    <w:rsid w:val="00AD1BDA"/>
    <w:rsid w:val="00AD1F05"/>
    <w:rsid w:val="00AD2EA2"/>
    <w:rsid w:val="00AD42EC"/>
    <w:rsid w:val="00AD5177"/>
    <w:rsid w:val="00AD5FFE"/>
    <w:rsid w:val="00AD6011"/>
    <w:rsid w:val="00AD7478"/>
    <w:rsid w:val="00AD75B9"/>
    <w:rsid w:val="00AE0078"/>
    <w:rsid w:val="00AE0427"/>
    <w:rsid w:val="00AE0B35"/>
    <w:rsid w:val="00AE0D55"/>
    <w:rsid w:val="00AE1172"/>
    <w:rsid w:val="00AE1A12"/>
    <w:rsid w:val="00AE204C"/>
    <w:rsid w:val="00AE225C"/>
    <w:rsid w:val="00AE2A88"/>
    <w:rsid w:val="00AE2CA7"/>
    <w:rsid w:val="00AE2CC2"/>
    <w:rsid w:val="00AE49DF"/>
    <w:rsid w:val="00AE4BB9"/>
    <w:rsid w:val="00AE5451"/>
    <w:rsid w:val="00AE6D82"/>
    <w:rsid w:val="00AE7E0A"/>
    <w:rsid w:val="00AF0499"/>
    <w:rsid w:val="00AF1C6A"/>
    <w:rsid w:val="00AF2A8D"/>
    <w:rsid w:val="00AF340D"/>
    <w:rsid w:val="00AF3FCF"/>
    <w:rsid w:val="00AF4065"/>
    <w:rsid w:val="00AF4478"/>
    <w:rsid w:val="00AF4FF1"/>
    <w:rsid w:val="00AF5662"/>
    <w:rsid w:val="00AF6011"/>
    <w:rsid w:val="00AF64E9"/>
    <w:rsid w:val="00AF6690"/>
    <w:rsid w:val="00AF719D"/>
    <w:rsid w:val="00AF74CC"/>
    <w:rsid w:val="00AF7F11"/>
    <w:rsid w:val="00AF7F17"/>
    <w:rsid w:val="00B00143"/>
    <w:rsid w:val="00B01105"/>
    <w:rsid w:val="00B018CB"/>
    <w:rsid w:val="00B041B9"/>
    <w:rsid w:val="00B045F1"/>
    <w:rsid w:val="00B0467B"/>
    <w:rsid w:val="00B0504D"/>
    <w:rsid w:val="00B06CD9"/>
    <w:rsid w:val="00B07439"/>
    <w:rsid w:val="00B0747C"/>
    <w:rsid w:val="00B076D4"/>
    <w:rsid w:val="00B07B68"/>
    <w:rsid w:val="00B07DA3"/>
    <w:rsid w:val="00B07F12"/>
    <w:rsid w:val="00B10BF3"/>
    <w:rsid w:val="00B110D1"/>
    <w:rsid w:val="00B1139E"/>
    <w:rsid w:val="00B11545"/>
    <w:rsid w:val="00B1249B"/>
    <w:rsid w:val="00B12B0D"/>
    <w:rsid w:val="00B137D7"/>
    <w:rsid w:val="00B13ADE"/>
    <w:rsid w:val="00B1417E"/>
    <w:rsid w:val="00B14E87"/>
    <w:rsid w:val="00B15A69"/>
    <w:rsid w:val="00B15CDF"/>
    <w:rsid w:val="00B16A97"/>
    <w:rsid w:val="00B1762E"/>
    <w:rsid w:val="00B17E88"/>
    <w:rsid w:val="00B20540"/>
    <w:rsid w:val="00B207CD"/>
    <w:rsid w:val="00B208E4"/>
    <w:rsid w:val="00B20E4E"/>
    <w:rsid w:val="00B21413"/>
    <w:rsid w:val="00B215A6"/>
    <w:rsid w:val="00B236DE"/>
    <w:rsid w:val="00B23B0B"/>
    <w:rsid w:val="00B23D7D"/>
    <w:rsid w:val="00B23EA8"/>
    <w:rsid w:val="00B2430D"/>
    <w:rsid w:val="00B250AE"/>
    <w:rsid w:val="00B25BA3"/>
    <w:rsid w:val="00B261C2"/>
    <w:rsid w:val="00B27FF7"/>
    <w:rsid w:val="00B30328"/>
    <w:rsid w:val="00B31A06"/>
    <w:rsid w:val="00B322C2"/>
    <w:rsid w:val="00B3262F"/>
    <w:rsid w:val="00B326B5"/>
    <w:rsid w:val="00B3285E"/>
    <w:rsid w:val="00B32BC2"/>
    <w:rsid w:val="00B3358F"/>
    <w:rsid w:val="00B33832"/>
    <w:rsid w:val="00B35743"/>
    <w:rsid w:val="00B35C57"/>
    <w:rsid w:val="00B35E1B"/>
    <w:rsid w:val="00B36543"/>
    <w:rsid w:val="00B37739"/>
    <w:rsid w:val="00B37A25"/>
    <w:rsid w:val="00B37BD2"/>
    <w:rsid w:val="00B40758"/>
    <w:rsid w:val="00B41020"/>
    <w:rsid w:val="00B412A6"/>
    <w:rsid w:val="00B4193E"/>
    <w:rsid w:val="00B42180"/>
    <w:rsid w:val="00B4268A"/>
    <w:rsid w:val="00B44D6E"/>
    <w:rsid w:val="00B4570D"/>
    <w:rsid w:val="00B45989"/>
    <w:rsid w:val="00B45EA0"/>
    <w:rsid w:val="00B46B11"/>
    <w:rsid w:val="00B46C23"/>
    <w:rsid w:val="00B47364"/>
    <w:rsid w:val="00B51040"/>
    <w:rsid w:val="00B511B3"/>
    <w:rsid w:val="00B51FF6"/>
    <w:rsid w:val="00B52123"/>
    <w:rsid w:val="00B526FB"/>
    <w:rsid w:val="00B52BBA"/>
    <w:rsid w:val="00B52CE3"/>
    <w:rsid w:val="00B5386E"/>
    <w:rsid w:val="00B53BAF"/>
    <w:rsid w:val="00B5429A"/>
    <w:rsid w:val="00B54F8C"/>
    <w:rsid w:val="00B55193"/>
    <w:rsid w:val="00B56A7F"/>
    <w:rsid w:val="00B56C73"/>
    <w:rsid w:val="00B56DC6"/>
    <w:rsid w:val="00B57114"/>
    <w:rsid w:val="00B5782A"/>
    <w:rsid w:val="00B60060"/>
    <w:rsid w:val="00B60C07"/>
    <w:rsid w:val="00B61BA9"/>
    <w:rsid w:val="00B61BC7"/>
    <w:rsid w:val="00B62B6F"/>
    <w:rsid w:val="00B630DF"/>
    <w:rsid w:val="00B64C79"/>
    <w:rsid w:val="00B6582B"/>
    <w:rsid w:val="00B658F0"/>
    <w:rsid w:val="00B65B4C"/>
    <w:rsid w:val="00B667B0"/>
    <w:rsid w:val="00B6681E"/>
    <w:rsid w:val="00B675AA"/>
    <w:rsid w:val="00B67BE0"/>
    <w:rsid w:val="00B67C9F"/>
    <w:rsid w:val="00B67EB6"/>
    <w:rsid w:val="00B703E9"/>
    <w:rsid w:val="00B706AD"/>
    <w:rsid w:val="00B70B73"/>
    <w:rsid w:val="00B71A7D"/>
    <w:rsid w:val="00B72F01"/>
    <w:rsid w:val="00B73C6E"/>
    <w:rsid w:val="00B74E03"/>
    <w:rsid w:val="00B75464"/>
    <w:rsid w:val="00B75E42"/>
    <w:rsid w:val="00B7713D"/>
    <w:rsid w:val="00B80432"/>
    <w:rsid w:val="00B8138A"/>
    <w:rsid w:val="00B8187B"/>
    <w:rsid w:val="00B818E8"/>
    <w:rsid w:val="00B82D96"/>
    <w:rsid w:val="00B82FD5"/>
    <w:rsid w:val="00B83095"/>
    <w:rsid w:val="00B83CAE"/>
    <w:rsid w:val="00B84499"/>
    <w:rsid w:val="00B849DE"/>
    <w:rsid w:val="00B84BAA"/>
    <w:rsid w:val="00B84D8A"/>
    <w:rsid w:val="00B85411"/>
    <w:rsid w:val="00B871CF"/>
    <w:rsid w:val="00B873D1"/>
    <w:rsid w:val="00B9038B"/>
    <w:rsid w:val="00B91A4E"/>
    <w:rsid w:val="00B91D02"/>
    <w:rsid w:val="00B92153"/>
    <w:rsid w:val="00B921AE"/>
    <w:rsid w:val="00B92A46"/>
    <w:rsid w:val="00B9315D"/>
    <w:rsid w:val="00B93336"/>
    <w:rsid w:val="00B9470E"/>
    <w:rsid w:val="00B95555"/>
    <w:rsid w:val="00B95ED9"/>
    <w:rsid w:val="00B972E4"/>
    <w:rsid w:val="00B979CE"/>
    <w:rsid w:val="00BA1FAA"/>
    <w:rsid w:val="00BA2487"/>
    <w:rsid w:val="00BA27DA"/>
    <w:rsid w:val="00BA3371"/>
    <w:rsid w:val="00BA35C6"/>
    <w:rsid w:val="00BA3B6A"/>
    <w:rsid w:val="00BA3D7A"/>
    <w:rsid w:val="00BA4343"/>
    <w:rsid w:val="00BA4A46"/>
    <w:rsid w:val="00BA5884"/>
    <w:rsid w:val="00BA5BB0"/>
    <w:rsid w:val="00BA6658"/>
    <w:rsid w:val="00BA70FD"/>
    <w:rsid w:val="00BA7D34"/>
    <w:rsid w:val="00BA7D53"/>
    <w:rsid w:val="00BB03C8"/>
    <w:rsid w:val="00BB03E0"/>
    <w:rsid w:val="00BB1344"/>
    <w:rsid w:val="00BB197A"/>
    <w:rsid w:val="00BB231C"/>
    <w:rsid w:val="00BB2513"/>
    <w:rsid w:val="00BB3862"/>
    <w:rsid w:val="00BB3F69"/>
    <w:rsid w:val="00BB4B75"/>
    <w:rsid w:val="00BB511B"/>
    <w:rsid w:val="00BB536E"/>
    <w:rsid w:val="00BB5DC5"/>
    <w:rsid w:val="00BB6E2E"/>
    <w:rsid w:val="00BB72AD"/>
    <w:rsid w:val="00BB7540"/>
    <w:rsid w:val="00BB7895"/>
    <w:rsid w:val="00BB7A7E"/>
    <w:rsid w:val="00BB7B4A"/>
    <w:rsid w:val="00BC0233"/>
    <w:rsid w:val="00BC044B"/>
    <w:rsid w:val="00BC1363"/>
    <w:rsid w:val="00BC1A37"/>
    <w:rsid w:val="00BC1EE4"/>
    <w:rsid w:val="00BC2280"/>
    <w:rsid w:val="00BC22F4"/>
    <w:rsid w:val="00BC29E0"/>
    <w:rsid w:val="00BC34C0"/>
    <w:rsid w:val="00BC398B"/>
    <w:rsid w:val="00BC3D4D"/>
    <w:rsid w:val="00BC4338"/>
    <w:rsid w:val="00BC4412"/>
    <w:rsid w:val="00BC4850"/>
    <w:rsid w:val="00BC498C"/>
    <w:rsid w:val="00BC4BDE"/>
    <w:rsid w:val="00BC5048"/>
    <w:rsid w:val="00BC5143"/>
    <w:rsid w:val="00BC56A8"/>
    <w:rsid w:val="00BC5A8F"/>
    <w:rsid w:val="00BC6B79"/>
    <w:rsid w:val="00BC6F38"/>
    <w:rsid w:val="00BC75C7"/>
    <w:rsid w:val="00BC7CAC"/>
    <w:rsid w:val="00BD0E5B"/>
    <w:rsid w:val="00BD0ECF"/>
    <w:rsid w:val="00BD0EE0"/>
    <w:rsid w:val="00BD15FC"/>
    <w:rsid w:val="00BD17BF"/>
    <w:rsid w:val="00BD18A6"/>
    <w:rsid w:val="00BD1FBD"/>
    <w:rsid w:val="00BD33A3"/>
    <w:rsid w:val="00BD35A3"/>
    <w:rsid w:val="00BD4358"/>
    <w:rsid w:val="00BD501E"/>
    <w:rsid w:val="00BD5884"/>
    <w:rsid w:val="00BD5F19"/>
    <w:rsid w:val="00BD6103"/>
    <w:rsid w:val="00BD7720"/>
    <w:rsid w:val="00BD7B76"/>
    <w:rsid w:val="00BD7F3F"/>
    <w:rsid w:val="00BE036E"/>
    <w:rsid w:val="00BE0919"/>
    <w:rsid w:val="00BE137F"/>
    <w:rsid w:val="00BE13B4"/>
    <w:rsid w:val="00BE145A"/>
    <w:rsid w:val="00BE1DF3"/>
    <w:rsid w:val="00BE33C8"/>
    <w:rsid w:val="00BE373B"/>
    <w:rsid w:val="00BE407C"/>
    <w:rsid w:val="00BE4E17"/>
    <w:rsid w:val="00BE4EDA"/>
    <w:rsid w:val="00BE509C"/>
    <w:rsid w:val="00BE53E2"/>
    <w:rsid w:val="00BE5843"/>
    <w:rsid w:val="00BE5A90"/>
    <w:rsid w:val="00BE5AC3"/>
    <w:rsid w:val="00BE6552"/>
    <w:rsid w:val="00BE6DCA"/>
    <w:rsid w:val="00BE6EC0"/>
    <w:rsid w:val="00BE6FF4"/>
    <w:rsid w:val="00BE75CC"/>
    <w:rsid w:val="00BE77A0"/>
    <w:rsid w:val="00BE7F18"/>
    <w:rsid w:val="00BF0051"/>
    <w:rsid w:val="00BF153F"/>
    <w:rsid w:val="00BF1A43"/>
    <w:rsid w:val="00BF25E6"/>
    <w:rsid w:val="00BF27F1"/>
    <w:rsid w:val="00BF2A69"/>
    <w:rsid w:val="00BF2B89"/>
    <w:rsid w:val="00BF383A"/>
    <w:rsid w:val="00BF4B74"/>
    <w:rsid w:val="00BF4BB8"/>
    <w:rsid w:val="00BF4BB9"/>
    <w:rsid w:val="00BF5E71"/>
    <w:rsid w:val="00BF5F27"/>
    <w:rsid w:val="00BF65F0"/>
    <w:rsid w:val="00BF69F5"/>
    <w:rsid w:val="00BF7EE9"/>
    <w:rsid w:val="00C00BA1"/>
    <w:rsid w:val="00C00C80"/>
    <w:rsid w:val="00C00FA1"/>
    <w:rsid w:val="00C01265"/>
    <w:rsid w:val="00C0134D"/>
    <w:rsid w:val="00C0225F"/>
    <w:rsid w:val="00C0229E"/>
    <w:rsid w:val="00C02D79"/>
    <w:rsid w:val="00C0319E"/>
    <w:rsid w:val="00C03678"/>
    <w:rsid w:val="00C040BC"/>
    <w:rsid w:val="00C0440F"/>
    <w:rsid w:val="00C0455E"/>
    <w:rsid w:val="00C048CB"/>
    <w:rsid w:val="00C04FF1"/>
    <w:rsid w:val="00C05808"/>
    <w:rsid w:val="00C05A7A"/>
    <w:rsid w:val="00C0606E"/>
    <w:rsid w:val="00C06235"/>
    <w:rsid w:val="00C06791"/>
    <w:rsid w:val="00C06DD9"/>
    <w:rsid w:val="00C06E40"/>
    <w:rsid w:val="00C0747B"/>
    <w:rsid w:val="00C07AC2"/>
    <w:rsid w:val="00C1085C"/>
    <w:rsid w:val="00C10DB7"/>
    <w:rsid w:val="00C10E6A"/>
    <w:rsid w:val="00C11F84"/>
    <w:rsid w:val="00C12B79"/>
    <w:rsid w:val="00C1380E"/>
    <w:rsid w:val="00C13E2E"/>
    <w:rsid w:val="00C14CEA"/>
    <w:rsid w:val="00C153D1"/>
    <w:rsid w:val="00C16B63"/>
    <w:rsid w:val="00C16C0B"/>
    <w:rsid w:val="00C17284"/>
    <w:rsid w:val="00C17BF4"/>
    <w:rsid w:val="00C17DDE"/>
    <w:rsid w:val="00C20507"/>
    <w:rsid w:val="00C20D48"/>
    <w:rsid w:val="00C21809"/>
    <w:rsid w:val="00C21CC2"/>
    <w:rsid w:val="00C22AE5"/>
    <w:rsid w:val="00C22C71"/>
    <w:rsid w:val="00C22DEB"/>
    <w:rsid w:val="00C23675"/>
    <w:rsid w:val="00C23C26"/>
    <w:rsid w:val="00C23C8E"/>
    <w:rsid w:val="00C2445A"/>
    <w:rsid w:val="00C24F24"/>
    <w:rsid w:val="00C25C25"/>
    <w:rsid w:val="00C25E3F"/>
    <w:rsid w:val="00C25EBF"/>
    <w:rsid w:val="00C26DDB"/>
    <w:rsid w:val="00C274FE"/>
    <w:rsid w:val="00C278BC"/>
    <w:rsid w:val="00C27B65"/>
    <w:rsid w:val="00C30541"/>
    <w:rsid w:val="00C3105B"/>
    <w:rsid w:val="00C31D18"/>
    <w:rsid w:val="00C31DFE"/>
    <w:rsid w:val="00C3223C"/>
    <w:rsid w:val="00C33220"/>
    <w:rsid w:val="00C33463"/>
    <w:rsid w:val="00C33D2E"/>
    <w:rsid w:val="00C341D5"/>
    <w:rsid w:val="00C3531D"/>
    <w:rsid w:val="00C3545C"/>
    <w:rsid w:val="00C35A78"/>
    <w:rsid w:val="00C36B17"/>
    <w:rsid w:val="00C408EF"/>
    <w:rsid w:val="00C41867"/>
    <w:rsid w:val="00C41D67"/>
    <w:rsid w:val="00C41EBA"/>
    <w:rsid w:val="00C431B4"/>
    <w:rsid w:val="00C439AD"/>
    <w:rsid w:val="00C43C01"/>
    <w:rsid w:val="00C440EC"/>
    <w:rsid w:val="00C44C2C"/>
    <w:rsid w:val="00C44F5F"/>
    <w:rsid w:val="00C457F2"/>
    <w:rsid w:val="00C45A3D"/>
    <w:rsid w:val="00C45D82"/>
    <w:rsid w:val="00C463ED"/>
    <w:rsid w:val="00C502C9"/>
    <w:rsid w:val="00C504D9"/>
    <w:rsid w:val="00C50E97"/>
    <w:rsid w:val="00C543A8"/>
    <w:rsid w:val="00C54A83"/>
    <w:rsid w:val="00C5504E"/>
    <w:rsid w:val="00C5526D"/>
    <w:rsid w:val="00C562A3"/>
    <w:rsid w:val="00C573D6"/>
    <w:rsid w:val="00C57985"/>
    <w:rsid w:val="00C57F9D"/>
    <w:rsid w:val="00C60FB5"/>
    <w:rsid w:val="00C61329"/>
    <w:rsid w:val="00C61715"/>
    <w:rsid w:val="00C62918"/>
    <w:rsid w:val="00C636B9"/>
    <w:rsid w:val="00C63855"/>
    <w:rsid w:val="00C63AD3"/>
    <w:rsid w:val="00C649CC"/>
    <w:rsid w:val="00C64A1D"/>
    <w:rsid w:val="00C66163"/>
    <w:rsid w:val="00C663C3"/>
    <w:rsid w:val="00C667E3"/>
    <w:rsid w:val="00C66E11"/>
    <w:rsid w:val="00C66F6A"/>
    <w:rsid w:val="00C70FB1"/>
    <w:rsid w:val="00C7164B"/>
    <w:rsid w:val="00C7168C"/>
    <w:rsid w:val="00C72323"/>
    <w:rsid w:val="00C7271A"/>
    <w:rsid w:val="00C73BB7"/>
    <w:rsid w:val="00C749F9"/>
    <w:rsid w:val="00C74FD2"/>
    <w:rsid w:val="00C7504C"/>
    <w:rsid w:val="00C75448"/>
    <w:rsid w:val="00C76634"/>
    <w:rsid w:val="00C76704"/>
    <w:rsid w:val="00C76713"/>
    <w:rsid w:val="00C775D0"/>
    <w:rsid w:val="00C776C4"/>
    <w:rsid w:val="00C8138B"/>
    <w:rsid w:val="00C81450"/>
    <w:rsid w:val="00C81897"/>
    <w:rsid w:val="00C81AAE"/>
    <w:rsid w:val="00C81CB1"/>
    <w:rsid w:val="00C82290"/>
    <w:rsid w:val="00C822C2"/>
    <w:rsid w:val="00C83485"/>
    <w:rsid w:val="00C83F22"/>
    <w:rsid w:val="00C83FB6"/>
    <w:rsid w:val="00C85474"/>
    <w:rsid w:val="00C86483"/>
    <w:rsid w:val="00C86F64"/>
    <w:rsid w:val="00C8745B"/>
    <w:rsid w:val="00C87787"/>
    <w:rsid w:val="00C908BE"/>
    <w:rsid w:val="00C90D48"/>
    <w:rsid w:val="00C9208D"/>
    <w:rsid w:val="00C923D5"/>
    <w:rsid w:val="00C94781"/>
    <w:rsid w:val="00C94BFD"/>
    <w:rsid w:val="00C94CDB"/>
    <w:rsid w:val="00C9525A"/>
    <w:rsid w:val="00C95AF1"/>
    <w:rsid w:val="00C96329"/>
    <w:rsid w:val="00C972D8"/>
    <w:rsid w:val="00C97549"/>
    <w:rsid w:val="00CA1078"/>
    <w:rsid w:val="00CA14B8"/>
    <w:rsid w:val="00CA16D3"/>
    <w:rsid w:val="00CA1831"/>
    <w:rsid w:val="00CA18CF"/>
    <w:rsid w:val="00CA258C"/>
    <w:rsid w:val="00CA2903"/>
    <w:rsid w:val="00CA2E8C"/>
    <w:rsid w:val="00CA3065"/>
    <w:rsid w:val="00CA52E7"/>
    <w:rsid w:val="00CA6465"/>
    <w:rsid w:val="00CA6702"/>
    <w:rsid w:val="00CA6CDC"/>
    <w:rsid w:val="00CA7373"/>
    <w:rsid w:val="00CB06A3"/>
    <w:rsid w:val="00CB1A74"/>
    <w:rsid w:val="00CB2396"/>
    <w:rsid w:val="00CB23A2"/>
    <w:rsid w:val="00CB2620"/>
    <w:rsid w:val="00CB31B7"/>
    <w:rsid w:val="00CB37EF"/>
    <w:rsid w:val="00CB3B7A"/>
    <w:rsid w:val="00CB433D"/>
    <w:rsid w:val="00CB4C6E"/>
    <w:rsid w:val="00CB4ECD"/>
    <w:rsid w:val="00CB7918"/>
    <w:rsid w:val="00CB7B35"/>
    <w:rsid w:val="00CC01A2"/>
    <w:rsid w:val="00CC055E"/>
    <w:rsid w:val="00CC1400"/>
    <w:rsid w:val="00CC200F"/>
    <w:rsid w:val="00CC2263"/>
    <w:rsid w:val="00CC2BF9"/>
    <w:rsid w:val="00CC3D98"/>
    <w:rsid w:val="00CC435C"/>
    <w:rsid w:val="00CC450E"/>
    <w:rsid w:val="00CC5CAD"/>
    <w:rsid w:val="00CC659C"/>
    <w:rsid w:val="00CC6980"/>
    <w:rsid w:val="00CD0429"/>
    <w:rsid w:val="00CD35C8"/>
    <w:rsid w:val="00CD3A71"/>
    <w:rsid w:val="00CD3EF3"/>
    <w:rsid w:val="00CD5118"/>
    <w:rsid w:val="00CD6529"/>
    <w:rsid w:val="00CD71ED"/>
    <w:rsid w:val="00CD75B8"/>
    <w:rsid w:val="00CD777E"/>
    <w:rsid w:val="00CE0D3F"/>
    <w:rsid w:val="00CE0D59"/>
    <w:rsid w:val="00CE1416"/>
    <w:rsid w:val="00CE1C1B"/>
    <w:rsid w:val="00CE1E23"/>
    <w:rsid w:val="00CE28D7"/>
    <w:rsid w:val="00CE2F57"/>
    <w:rsid w:val="00CE3862"/>
    <w:rsid w:val="00CE3A23"/>
    <w:rsid w:val="00CE3B00"/>
    <w:rsid w:val="00CE43BF"/>
    <w:rsid w:val="00CE4442"/>
    <w:rsid w:val="00CE46EB"/>
    <w:rsid w:val="00CE571E"/>
    <w:rsid w:val="00CE59AA"/>
    <w:rsid w:val="00CE5D00"/>
    <w:rsid w:val="00CE5F9A"/>
    <w:rsid w:val="00CE6076"/>
    <w:rsid w:val="00CE65D1"/>
    <w:rsid w:val="00CE686D"/>
    <w:rsid w:val="00CF01DA"/>
    <w:rsid w:val="00CF1147"/>
    <w:rsid w:val="00CF1522"/>
    <w:rsid w:val="00CF156E"/>
    <w:rsid w:val="00CF2872"/>
    <w:rsid w:val="00CF2A0F"/>
    <w:rsid w:val="00CF2E40"/>
    <w:rsid w:val="00CF2EB8"/>
    <w:rsid w:val="00CF32CD"/>
    <w:rsid w:val="00CF3AD1"/>
    <w:rsid w:val="00CF45A1"/>
    <w:rsid w:val="00CF54BE"/>
    <w:rsid w:val="00CF67D9"/>
    <w:rsid w:val="00CF6DCC"/>
    <w:rsid w:val="00CF778C"/>
    <w:rsid w:val="00CF79C8"/>
    <w:rsid w:val="00D002EF"/>
    <w:rsid w:val="00D006FF"/>
    <w:rsid w:val="00D00B39"/>
    <w:rsid w:val="00D01537"/>
    <w:rsid w:val="00D015F1"/>
    <w:rsid w:val="00D0169E"/>
    <w:rsid w:val="00D01768"/>
    <w:rsid w:val="00D0184A"/>
    <w:rsid w:val="00D02012"/>
    <w:rsid w:val="00D027A1"/>
    <w:rsid w:val="00D031F9"/>
    <w:rsid w:val="00D033EC"/>
    <w:rsid w:val="00D034A7"/>
    <w:rsid w:val="00D0365A"/>
    <w:rsid w:val="00D038B0"/>
    <w:rsid w:val="00D049A0"/>
    <w:rsid w:val="00D052D8"/>
    <w:rsid w:val="00D0562C"/>
    <w:rsid w:val="00D057A6"/>
    <w:rsid w:val="00D05BDE"/>
    <w:rsid w:val="00D061E4"/>
    <w:rsid w:val="00D06AC2"/>
    <w:rsid w:val="00D06FC3"/>
    <w:rsid w:val="00D07538"/>
    <w:rsid w:val="00D1089F"/>
    <w:rsid w:val="00D13D48"/>
    <w:rsid w:val="00D151A3"/>
    <w:rsid w:val="00D15696"/>
    <w:rsid w:val="00D16623"/>
    <w:rsid w:val="00D16C5F"/>
    <w:rsid w:val="00D16DCC"/>
    <w:rsid w:val="00D17108"/>
    <w:rsid w:val="00D17B9B"/>
    <w:rsid w:val="00D20307"/>
    <w:rsid w:val="00D206B4"/>
    <w:rsid w:val="00D21261"/>
    <w:rsid w:val="00D217CD"/>
    <w:rsid w:val="00D225BA"/>
    <w:rsid w:val="00D239C5"/>
    <w:rsid w:val="00D23F5C"/>
    <w:rsid w:val="00D24E3E"/>
    <w:rsid w:val="00D24ED9"/>
    <w:rsid w:val="00D25183"/>
    <w:rsid w:val="00D26379"/>
    <w:rsid w:val="00D27987"/>
    <w:rsid w:val="00D27F9E"/>
    <w:rsid w:val="00D31856"/>
    <w:rsid w:val="00D318E5"/>
    <w:rsid w:val="00D32344"/>
    <w:rsid w:val="00D3287B"/>
    <w:rsid w:val="00D329E5"/>
    <w:rsid w:val="00D32B60"/>
    <w:rsid w:val="00D32D99"/>
    <w:rsid w:val="00D33F87"/>
    <w:rsid w:val="00D34028"/>
    <w:rsid w:val="00D345A7"/>
    <w:rsid w:val="00D345E7"/>
    <w:rsid w:val="00D34DBA"/>
    <w:rsid w:val="00D35626"/>
    <w:rsid w:val="00D36031"/>
    <w:rsid w:val="00D36759"/>
    <w:rsid w:val="00D3715D"/>
    <w:rsid w:val="00D37954"/>
    <w:rsid w:val="00D37D51"/>
    <w:rsid w:val="00D40C16"/>
    <w:rsid w:val="00D40E17"/>
    <w:rsid w:val="00D41686"/>
    <w:rsid w:val="00D41F1C"/>
    <w:rsid w:val="00D43AE6"/>
    <w:rsid w:val="00D44450"/>
    <w:rsid w:val="00D44E26"/>
    <w:rsid w:val="00D450CF"/>
    <w:rsid w:val="00D45187"/>
    <w:rsid w:val="00D45F33"/>
    <w:rsid w:val="00D462E4"/>
    <w:rsid w:val="00D46745"/>
    <w:rsid w:val="00D47404"/>
    <w:rsid w:val="00D47697"/>
    <w:rsid w:val="00D47DCF"/>
    <w:rsid w:val="00D47E53"/>
    <w:rsid w:val="00D501D2"/>
    <w:rsid w:val="00D50265"/>
    <w:rsid w:val="00D502DB"/>
    <w:rsid w:val="00D50500"/>
    <w:rsid w:val="00D5065A"/>
    <w:rsid w:val="00D50763"/>
    <w:rsid w:val="00D507B8"/>
    <w:rsid w:val="00D508FF"/>
    <w:rsid w:val="00D52076"/>
    <w:rsid w:val="00D529B7"/>
    <w:rsid w:val="00D532C4"/>
    <w:rsid w:val="00D53EDC"/>
    <w:rsid w:val="00D557DF"/>
    <w:rsid w:val="00D55B72"/>
    <w:rsid w:val="00D56073"/>
    <w:rsid w:val="00D567C1"/>
    <w:rsid w:val="00D568E4"/>
    <w:rsid w:val="00D57E2A"/>
    <w:rsid w:val="00D601BF"/>
    <w:rsid w:val="00D60A26"/>
    <w:rsid w:val="00D60C4A"/>
    <w:rsid w:val="00D62362"/>
    <w:rsid w:val="00D62437"/>
    <w:rsid w:val="00D62499"/>
    <w:rsid w:val="00D62C5D"/>
    <w:rsid w:val="00D63A14"/>
    <w:rsid w:val="00D64D31"/>
    <w:rsid w:val="00D64EA8"/>
    <w:rsid w:val="00D65AD0"/>
    <w:rsid w:val="00D65D34"/>
    <w:rsid w:val="00D66E29"/>
    <w:rsid w:val="00D672CA"/>
    <w:rsid w:val="00D67E64"/>
    <w:rsid w:val="00D70641"/>
    <w:rsid w:val="00D70DF8"/>
    <w:rsid w:val="00D71237"/>
    <w:rsid w:val="00D71575"/>
    <w:rsid w:val="00D72E42"/>
    <w:rsid w:val="00D761FA"/>
    <w:rsid w:val="00D76A31"/>
    <w:rsid w:val="00D76BF7"/>
    <w:rsid w:val="00D77917"/>
    <w:rsid w:val="00D805E0"/>
    <w:rsid w:val="00D80D57"/>
    <w:rsid w:val="00D81093"/>
    <w:rsid w:val="00D8276B"/>
    <w:rsid w:val="00D82B56"/>
    <w:rsid w:val="00D83652"/>
    <w:rsid w:val="00D84CD9"/>
    <w:rsid w:val="00D84EF0"/>
    <w:rsid w:val="00D850D7"/>
    <w:rsid w:val="00D8541E"/>
    <w:rsid w:val="00D85D6A"/>
    <w:rsid w:val="00D85EDB"/>
    <w:rsid w:val="00D86071"/>
    <w:rsid w:val="00D861DE"/>
    <w:rsid w:val="00D868E6"/>
    <w:rsid w:val="00D8709D"/>
    <w:rsid w:val="00D874DF"/>
    <w:rsid w:val="00D87B6D"/>
    <w:rsid w:val="00D908DF"/>
    <w:rsid w:val="00D909BA"/>
    <w:rsid w:val="00D90E30"/>
    <w:rsid w:val="00D92153"/>
    <w:rsid w:val="00D9288B"/>
    <w:rsid w:val="00D934A5"/>
    <w:rsid w:val="00D94C1A"/>
    <w:rsid w:val="00D94EE7"/>
    <w:rsid w:val="00D952A5"/>
    <w:rsid w:val="00D95A73"/>
    <w:rsid w:val="00D962C7"/>
    <w:rsid w:val="00D967A9"/>
    <w:rsid w:val="00D97099"/>
    <w:rsid w:val="00DA03AB"/>
    <w:rsid w:val="00DA05A9"/>
    <w:rsid w:val="00DA0630"/>
    <w:rsid w:val="00DA1515"/>
    <w:rsid w:val="00DA1936"/>
    <w:rsid w:val="00DA2921"/>
    <w:rsid w:val="00DA36CA"/>
    <w:rsid w:val="00DA4045"/>
    <w:rsid w:val="00DA410A"/>
    <w:rsid w:val="00DA4D13"/>
    <w:rsid w:val="00DA5737"/>
    <w:rsid w:val="00DA6230"/>
    <w:rsid w:val="00DA6CEA"/>
    <w:rsid w:val="00DA7236"/>
    <w:rsid w:val="00DA79CD"/>
    <w:rsid w:val="00DB0213"/>
    <w:rsid w:val="00DB066E"/>
    <w:rsid w:val="00DB0745"/>
    <w:rsid w:val="00DB07F4"/>
    <w:rsid w:val="00DB08EF"/>
    <w:rsid w:val="00DB0FDB"/>
    <w:rsid w:val="00DB1EAF"/>
    <w:rsid w:val="00DB21EC"/>
    <w:rsid w:val="00DB27C3"/>
    <w:rsid w:val="00DB344E"/>
    <w:rsid w:val="00DB359A"/>
    <w:rsid w:val="00DB4A75"/>
    <w:rsid w:val="00DB4ABD"/>
    <w:rsid w:val="00DB4C00"/>
    <w:rsid w:val="00DB4CE1"/>
    <w:rsid w:val="00DB4F85"/>
    <w:rsid w:val="00DB4FFF"/>
    <w:rsid w:val="00DB58E1"/>
    <w:rsid w:val="00DB62C3"/>
    <w:rsid w:val="00DB6B01"/>
    <w:rsid w:val="00DB6B2E"/>
    <w:rsid w:val="00DB6B76"/>
    <w:rsid w:val="00DB6FE2"/>
    <w:rsid w:val="00DB71A2"/>
    <w:rsid w:val="00DB788E"/>
    <w:rsid w:val="00DC0FF8"/>
    <w:rsid w:val="00DC130E"/>
    <w:rsid w:val="00DC138D"/>
    <w:rsid w:val="00DC14ED"/>
    <w:rsid w:val="00DC1FCA"/>
    <w:rsid w:val="00DC2900"/>
    <w:rsid w:val="00DC3884"/>
    <w:rsid w:val="00DC4049"/>
    <w:rsid w:val="00DC48CB"/>
    <w:rsid w:val="00DC4D7B"/>
    <w:rsid w:val="00DC685B"/>
    <w:rsid w:val="00DC6EC6"/>
    <w:rsid w:val="00DC757F"/>
    <w:rsid w:val="00DC7880"/>
    <w:rsid w:val="00DC7A38"/>
    <w:rsid w:val="00DC7FCB"/>
    <w:rsid w:val="00DD0FAA"/>
    <w:rsid w:val="00DD0FD5"/>
    <w:rsid w:val="00DD142D"/>
    <w:rsid w:val="00DD1F1A"/>
    <w:rsid w:val="00DD2A3B"/>
    <w:rsid w:val="00DD306E"/>
    <w:rsid w:val="00DD3BB5"/>
    <w:rsid w:val="00DD4937"/>
    <w:rsid w:val="00DD4962"/>
    <w:rsid w:val="00DD510D"/>
    <w:rsid w:val="00DD5C39"/>
    <w:rsid w:val="00DD68EF"/>
    <w:rsid w:val="00DD6C60"/>
    <w:rsid w:val="00DD6DDD"/>
    <w:rsid w:val="00DD7058"/>
    <w:rsid w:val="00DD7780"/>
    <w:rsid w:val="00DD7B33"/>
    <w:rsid w:val="00DE0FFF"/>
    <w:rsid w:val="00DE1D7C"/>
    <w:rsid w:val="00DE2E37"/>
    <w:rsid w:val="00DE31A2"/>
    <w:rsid w:val="00DE3732"/>
    <w:rsid w:val="00DE48B0"/>
    <w:rsid w:val="00DE48B7"/>
    <w:rsid w:val="00DE4913"/>
    <w:rsid w:val="00DE4F4C"/>
    <w:rsid w:val="00DE58CB"/>
    <w:rsid w:val="00DE5B2B"/>
    <w:rsid w:val="00DE6C0F"/>
    <w:rsid w:val="00DE75DD"/>
    <w:rsid w:val="00DE7AA4"/>
    <w:rsid w:val="00DF07DA"/>
    <w:rsid w:val="00DF0C2C"/>
    <w:rsid w:val="00DF1205"/>
    <w:rsid w:val="00DF1AB7"/>
    <w:rsid w:val="00DF1D98"/>
    <w:rsid w:val="00DF1E8D"/>
    <w:rsid w:val="00DF22FB"/>
    <w:rsid w:val="00DF2AC5"/>
    <w:rsid w:val="00DF3084"/>
    <w:rsid w:val="00DF32CD"/>
    <w:rsid w:val="00DF3BF7"/>
    <w:rsid w:val="00DF4280"/>
    <w:rsid w:val="00DF5011"/>
    <w:rsid w:val="00DF5617"/>
    <w:rsid w:val="00DF570E"/>
    <w:rsid w:val="00DF5B90"/>
    <w:rsid w:val="00DF608A"/>
    <w:rsid w:val="00DF6317"/>
    <w:rsid w:val="00DF6894"/>
    <w:rsid w:val="00DF7ABB"/>
    <w:rsid w:val="00E00776"/>
    <w:rsid w:val="00E0109F"/>
    <w:rsid w:val="00E01ED8"/>
    <w:rsid w:val="00E02255"/>
    <w:rsid w:val="00E0310A"/>
    <w:rsid w:val="00E038BF"/>
    <w:rsid w:val="00E050E6"/>
    <w:rsid w:val="00E05B5D"/>
    <w:rsid w:val="00E06601"/>
    <w:rsid w:val="00E06BCB"/>
    <w:rsid w:val="00E07435"/>
    <w:rsid w:val="00E078FB"/>
    <w:rsid w:val="00E07D11"/>
    <w:rsid w:val="00E102DE"/>
    <w:rsid w:val="00E11636"/>
    <w:rsid w:val="00E11AE6"/>
    <w:rsid w:val="00E11FF3"/>
    <w:rsid w:val="00E12C83"/>
    <w:rsid w:val="00E13B3E"/>
    <w:rsid w:val="00E13C7D"/>
    <w:rsid w:val="00E13E37"/>
    <w:rsid w:val="00E1445E"/>
    <w:rsid w:val="00E16110"/>
    <w:rsid w:val="00E1659F"/>
    <w:rsid w:val="00E16DC1"/>
    <w:rsid w:val="00E16E30"/>
    <w:rsid w:val="00E171AF"/>
    <w:rsid w:val="00E20282"/>
    <w:rsid w:val="00E20661"/>
    <w:rsid w:val="00E2081E"/>
    <w:rsid w:val="00E20FBA"/>
    <w:rsid w:val="00E210C5"/>
    <w:rsid w:val="00E21590"/>
    <w:rsid w:val="00E219A0"/>
    <w:rsid w:val="00E21C4F"/>
    <w:rsid w:val="00E21D22"/>
    <w:rsid w:val="00E21FBD"/>
    <w:rsid w:val="00E2295A"/>
    <w:rsid w:val="00E22CD1"/>
    <w:rsid w:val="00E230B0"/>
    <w:rsid w:val="00E2358B"/>
    <w:rsid w:val="00E23E90"/>
    <w:rsid w:val="00E24326"/>
    <w:rsid w:val="00E2490E"/>
    <w:rsid w:val="00E24FFD"/>
    <w:rsid w:val="00E25679"/>
    <w:rsid w:val="00E25924"/>
    <w:rsid w:val="00E273D9"/>
    <w:rsid w:val="00E27CAD"/>
    <w:rsid w:val="00E302AD"/>
    <w:rsid w:val="00E30966"/>
    <w:rsid w:val="00E30A2F"/>
    <w:rsid w:val="00E30D65"/>
    <w:rsid w:val="00E31754"/>
    <w:rsid w:val="00E31D8C"/>
    <w:rsid w:val="00E31DE9"/>
    <w:rsid w:val="00E32D2C"/>
    <w:rsid w:val="00E3304A"/>
    <w:rsid w:val="00E331A3"/>
    <w:rsid w:val="00E35BCD"/>
    <w:rsid w:val="00E378B1"/>
    <w:rsid w:val="00E3792B"/>
    <w:rsid w:val="00E402D6"/>
    <w:rsid w:val="00E404B9"/>
    <w:rsid w:val="00E407FA"/>
    <w:rsid w:val="00E40E31"/>
    <w:rsid w:val="00E410D6"/>
    <w:rsid w:val="00E4230D"/>
    <w:rsid w:val="00E42CF9"/>
    <w:rsid w:val="00E42F7A"/>
    <w:rsid w:val="00E434C0"/>
    <w:rsid w:val="00E43D7F"/>
    <w:rsid w:val="00E440C6"/>
    <w:rsid w:val="00E45BFA"/>
    <w:rsid w:val="00E46E29"/>
    <w:rsid w:val="00E46F3E"/>
    <w:rsid w:val="00E504E9"/>
    <w:rsid w:val="00E51F54"/>
    <w:rsid w:val="00E52028"/>
    <w:rsid w:val="00E527B6"/>
    <w:rsid w:val="00E533BC"/>
    <w:rsid w:val="00E53495"/>
    <w:rsid w:val="00E535D3"/>
    <w:rsid w:val="00E53F1F"/>
    <w:rsid w:val="00E546E5"/>
    <w:rsid w:val="00E554EB"/>
    <w:rsid w:val="00E55D1A"/>
    <w:rsid w:val="00E57074"/>
    <w:rsid w:val="00E57352"/>
    <w:rsid w:val="00E578AD"/>
    <w:rsid w:val="00E603DD"/>
    <w:rsid w:val="00E607E9"/>
    <w:rsid w:val="00E615DB"/>
    <w:rsid w:val="00E61C18"/>
    <w:rsid w:val="00E629C8"/>
    <w:rsid w:val="00E62A8D"/>
    <w:rsid w:val="00E62BE7"/>
    <w:rsid w:val="00E62DB3"/>
    <w:rsid w:val="00E63CFA"/>
    <w:rsid w:val="00E641EF"/>
    <w:rsid w:val="00E641FD"/>
    <w:rsid w:val="00E65068"/>
    <w:rsid w:val="00E650C2"/>
    <w:rsid w:val="00E65300"/>
    <w:rsid w:val="00E653BB"/>
    <w:rsid w:val="00E65C12"/>
    <w:rsid w:val="00E664DA"/>
    <w:rsid w:val="00E66B07"/>
    <w:rsid w:val="00E675D3"/>
    <w:rsid w:val="00E67EFF"/>
    <w:rsid w:val="00E70369"/>
    <w:rsid w:val="00E70855"/>
    <w:rsid w:val="00E71328"/>
    <w:rsid w:val="00E71C51"/>
    <w:rsid w:val="00E73BEB"/>
    <w:rsid w:val="00E7433B"/>
    <w:rsid w:val="00E74898"/>
    <w:rsid w:val="00E7570D"/>
    <w:rsid w:val="00E75F00"/>
    <w:rsid w:val="00E76CF4"/>
    <w:rsid w:val="00E77B61"/>
    <w:rsid w:val="00E77CA0"/>
    <w:rsid w:val="00E77D67"/>
    <w:rsid w:val="00E8064B"/>
    <w:rsid w:val="00E80995"/>
    <w:rsid w:val="00E81AED"/>
    <w:rsid w:val="00E824C7"/>
    <w:rsid w:val="00E829F0"/>
    <w:rsid w:val="00E83246"/>
    <w:rsid w:val="00E83961"/>
    <w:rsid w:val="00E84036"/>
    <w:rsid w:val="00E8406B"/>
    <w:rsid w:val="00E84DCE"/>
    <w:rsid w:val="00E8539E"/>
    <w:rsid w:val="00E85819"/>
    <w:rsid w:val="00E85C8F"/>
    <w:rsid w:val="00E85CD6"/>
    <w:rsid w:val="00E85D48"/>
    <w:rsid w:val="00E86ADD"/>
    <w:rsid w:val="00E87BB2"/>
    <w:rsid w:val="00E909F3"/>
    <w:rsid w:val="00E90B03"/>
    <w:rsid w:val="00E90C4C"/>
    <w:rsid w:val="00E92179"/>
    <w:rsid w:val="00E924F5"/>
    <w:rsid w:val="00E9321E"/>
    <w:rsid w:val="00E93221"/>
    <w:rsid w:val="00E9399E"/>
    <w:rsid w:val="00E93D8F"/>
    <w:rsid w:val="00E940F8"/>
    <w:rsid w:val="00E95F9D"/>
    <w:rsid w:val="00E96333"/>
    <w:rsid w:val="00E973C6"/>
    <w:rsid w:val="00EA00A7"/>
    <w:rsid w:val="00EA1CF3"/>
    <w:rsid w:val="00EA1D9B"/>
    <w:rsid w:val="00EA1EC3"/>
    <w:rsid w:val="00EA1F41"/>
    <w:rsid w:val="00EA1FAA"/>
    <w:rsid w:val="00EA20EF"/>
    <w:rsid w:val="00EA2217"/>
    <w:rsid w:val="00EA2948"/>
    <w:rsid w:val="00EA336C"/>
    <w:rsid w:val="00EA3B79"/>
    <w:rsid w:val="00EA50F7"/>
    <w:rsid w:val="00EA5D0A"/>
    <w:rsid w:val="00EA5ECA"/>
    <w:rsid w:val="00EA6580"/>
    <w:rsid w:val="00EA6B15"/>
    <w:rsid w:val="00EA74A0"/>
    <w:rsid w:val="00EA782A"/>
    <w:rsid w:val="00EB0182"/>
    <w:rsid w:val="00EB04DF"/>
    <w:rsid w:val="00EB174F"/>
    <w:rsid w:val="00EB1C8C"/>
    <w:rsid w:val="00EB1CCF"/>
    <w:rsid w:val="00EB2B46"/>
    <w:rsid w:val="00EB3444"/>
    <w:rsid w:val="00EB446B"/>
    <w:rsid w:val="00EB448B"/>
    <w:rsid w:val="00EB4891"/>
    <w:rsid w:val="00EB575B"/>
    <w:rsid w:val="00EB6187"/>
    <w:rsid w:val="00EB6B9F"/>
    <w:rsid w:val="00EB6F2C"/>
    <w:rsid w:val="00EB71E4"/>
    <w:rsid w:val="00EC166B"/>
    <w:rsid w:val="00EC1868"/>
    <w:rsid w:val="00EC1D19"/>
    <w:rsid w:val="00EC2127"/>
    <w:rsid w:val="00EC21CB"/>
    <w:rsid w:val="00EC2379"/>
    <w:rsid w:val="00EC2E88"/>
    <w:rsid w:val="00EC2ECF"/>
    <w:rsid w:val="00EC3B1E"/>
    <w:rsid w:val="00EC4A56"/>
    <w:rsid w:val="00EC4C01"/>
    <w:rsid w:val="00EC4DD9"/>
    <w:rsid w:val="00EC5E66"/>
    <w:rsid w:val="00EC6440"/>
    <w:rsid w:val="00EC6667"/>
    <w:rsid w:val="00ED0ACE"/>
    <w:rsid w:val="00ED19FF"/>
    <w:rsid w:val="00ED1A85"/>
    <w:rsid w:val="00ED21BD"/>
    <w:rsid w:val="00ED2586"/>
    <w:rsid w:val="00ED2EEC"/>
    <w:rsid w:val="00ED3738"/>
    <w:rsid w:val="00ED3918"/>
    <w:rsid w:val="00ED43E1"/>
    <w:rsid w:val="00ED469B"/>
    <w:rsid w:val="00ED522E"/>
    <w:rsid w:val="00ED5884"/>
    <w:rsid w:val="00ED64FE"/>
    <w:rsid w:val="00ED668F"/>
    <w:rsid w:val="00ED6ED1"/>
    <w:rsid w:val="00ED6FF2"/>
    <w:rsid w:val="00EE06CC"/>
    <w:rsid w:val="00EE0C10"/>
    <w:rsid w:val="00EE2FA3"/>
    <w:rsid w:val="00EE37FF"/>
    <w:rsid w:val="00EE3E98"/>
    <w:rsid w:val="00EE43E0"/>
    <w:rsid w:val="00EE4C12"/>
    <w:rsid w:val="00EE5535"/>
    <w:rsid w:val="00EE59E8"/>
    <w:rsid w:val="00EE6535"/>
    <w:rsid w:val="00EE6567"/>
    <w:rsid w:val="00EE72E6"/>
    <w:rsid w:val="00EE745F"/>
    <w:rsid w:val="00EE7886"/>
    <w:rsid w:val="00EE7C86"/>
    <w:rsid w:val="00EF0069"/>
    <w:rsid w:val="00EF020F"/>
    <w:rsid w:val="00EF0706"/>
    <w:rsid w:val="00EF0712"/>
    <w:rsid w:val="00EF091D"/>
    <w:rsid w:val="00EF0C28"/>
    <w:rsid w:val="00EF0E5D"/>
    <w:rsid w:val="00EF170B"/>
    <w:rsid w:val="00EF1D4C"/>
    <w:rsid w:val="00EF21B6"/>
    <w:rsid w:val="00EF2680"/>
    <w:rsid w:val="00EF2909"/>
    <w:rsid w:val="00EF2D44"/>
    <w:rsid w:val="00EF2E68"/>
    <w:rsid w:val="00EF2F6E"/>
    <w:rsid w:val="00EF34BA"/>
    <w:rsid w:val="00EF3582"/>
    <w:rsid w:val="00EF38B1"/>
    <w:rsid w:val="00EF3F17"/>
    <w:rsid w:val="00EF407D"/>
    <w:rsid w:val="00EF49D4"/>
    <w:rsid w:val="00EF5185"/>
    <w:rsid w:val="00EF5267"/>
    <w:rsid w:val="00EF576A"/>
    <w:rsid w:val="00EF5DF6"/>
    <w:rsid w:val="00EF640D"/>
    <w:rsid w:val="00EF6BFF"/>
    <w:rsid w:val="00EF6CDE"/>
    <w:rsid w:val="00EF6DBA"/>
    <w:rsid w:val="00EF73BA"/>
    <w:rsid w:val="00EF7B7E"/>
    <w:rsid w:val="00EF7DF2"/>
    <w:rsid w:val="00F0009D"/>
    <w:rsid w:val="00F00B4C"/>
    <w:rsid w:val="00F00D91"/>
    <w:rsid w:val="00F00E1D"/>
    <w:rsid w:val="00F013A9"/>
    <w:rsid w:val="00F0250A"/>
    <w:rsid w:val="00F03613"/>
    <w:rsid w:val="00F03708"/>
    <w:rsid w:val="00F042C0"/>
    <w:rsid w:val="00F048EB"/>
    <w:rsid w:val="00F05FFD"/>
    <w:rsid w:val="00F06B4B"/>
    <w:rsid w:val="00F06B4C"/>
    <w:rsid w:val="00F10920"/>
    <w:rsid w:val="00F11A80"/>
    <w:rsid w:val="00F12785"/>
    <w:rsid w:val="00F135FB"/>
    <w:rsid w:val="00F1425A"/>
    <w:rsid w:val="00F149AA"/>
    <w:rsid w:val="00F14C55"/>
    <w:rsid w:val="00F1548F"/>
    <w:rsid w:val="00F16182"/>
    <w:rsid w:val="00F16ED3"/>
    <w:rsid w:val="00F20324"/>
    <w:rsid w:val="00F204AF"/>
    <w:rsid w:val="00F208F7"/>
    <w:rsid w:val="00F20C68"/>
    <w:rsid w:val="00F20FEB"/>
    <w:rsid w:val="00F22076"/>
    <w:rsid w:val="00F2222D"/>
    <w:rsid w:val="00F22FF1"/>
    <w:rsid w:val="00F2357B"/>
    <w:rsid w:val="00F23FEC"/>
    <w:rsid w:val="00F25152"/>
    <w:rsid w:val="00F25661"/>
    <w:rsid w:val="00F25D15"/>
    <w:rsid w:val="00F26893"/>
    <w:rsid w:val="00F2693E"/>
    <w:rsid w:val="00F26C31"/>
    <w:rsid w:val="00F26CDC"/>
    <w:rsid w:val="00F30485"/>
    <w:rsid w:val="00F30554"/>
    <w:rsid w:val="00F3166E"/>
    <w:rsid w:val="00F32385"/>
    <w:rsid w:val="00F33378"/>
    <w:rsid w:val="00F33B80"/>
    <w:rsid w:val="00F33F85"/>
    <w:rsid w:val="00F34462"/>
    <w:rsid w:val="00F35081"/>
    <w:rsid w:val="00F351C6"/>
    <w:rsid w:val="00F35AB8"/>
    <w:rsid w:val="00F35FEC"/>
    <w:rsid w:val="00F36614"/>
    <w:rsid w:val="00F373CC"/>
    <w:rsid w:val="00F3796D"/>
    <w:rsid w:val="00F37CAF"/>
    <w:rsid w:val="00F4000F"/>
    <w:rsid w:val="00F41E87"/>
    <w:rsid w:val="00F42720"/>
    <w:rsid w:val="00F43180"/>
    <w:rsid w:val="00F43523"/>
    <w:rsid w:val="00F4419E"/>
    <w:rsid w:val="00F44842"/>
    <w:rsid w:val="00F453B5"/>
    <w:rsid w:val="00F45BB8"/>
    <w:rsid w:val="00F46E1E"/>
    <w:rsid w:val="00F46EBB"/>
    <w:rsid w:val="00F46F07"/>
    <w:rsid w:val="00F46FF6"/>
    <w:rsid w:val="00F47C1A"/>
    <w:rsid w:val="00F50302"/>
    <w:rsid w:val="00F50A57"/>
    <w:rsid w:val="00F514C5"/>
    <w:rsid w:val="00F51547"/>
    <w:rsid w:val="00F51CE2"/>
    <w:rsid w:val="00F51D48"/>
    <w:rsid w:val="00F51E50"/>
    <w:rsid w:val="00F51EAF"/>
    <w:rsid w:val="00F52469"/>
    <w:rsid w:val="00F526D4"/>
    <w:rsid w:val="00F52721"/>
    <w:rsid w:val="00F52C1C"/>
    <w:rsid w:val="00F52DAC"/>
    <w:rsid w:val="00F5473A"/>
    <w:rsid w:val="00F547A6"/>
    <w:rsid w:val="00F549CC"/>
    <w:rsid w:val="00F558B9"/>
    <w:rsid w:val="00F55C6A"/>
    <w:rsid w:val="00F55E21"/>
    <w:rsid w:val="00F56252"/>
    <w:rsid w:val="00F56330"/>
    <w:rsid w:val="00F56D76"/>
    <w:rsid w:val="00F56FE8"/>
    <w:rsid w:val="00F5709F"/>
    <w:rsid w:val="00F5743B"/>
    <w:rsid w:val="00F57A3E"/>
    <w:rsid w:val="00F60277"/>
    <w:rsid w:val="00F605AB"/>
    <w:rsid w:val="00F60AD3"/>
    <w:rsid w:val="00F61D50"/>
    <w:rsid w:val="00F62253"/>
    <w:rsid w:val="00F622CD"/>
    <w:rsid w:val="00F627C9"/>
    <w:rsid w:val="00F62A8F"/>
    <w:rsid w:val="00F62CD9"/>
    <w:rsid w:val="00F63073"/>
    <w:rsid w:val="00F635EC"/>
    <w:rsid w:val="00F63EBF"/>
    <w:rsid w:val="00F65A26"/>
    <w:rsid w:val="00F662A9"/>
    <w:rsid w:val="00F663F0"/>
    <w:rsid w:val="00F66481"/>
    <w:rsid w:val="00F67A33"/>
    <w:rsid w:val="00F703C5"/>
    <w:rsid w:val="00F715D2"/>
    <w:rsid w:val="00F717D0"/>
    <w:rsid w:val="00F717DD"/>
    <w:rsid w:val="00F71AA0"/>
    <w:rsid w:val="00F728CB"/>
    <w:rsid w:val="00F73AA0"/>
    <w:rsid w:val="00F73F4E"/>
    <w:rsid w:val="00F7454B"/>
    <w:rsid w:val="00F747F2"/>
    <w:rsid w:val="00F74F1A"/>
    <w:rsid w:val="00F75D1D"/>
    <w:rsid w:val="00F760C1"/>
    <w:rsid w:val="00F7650C"/>
    <w:rsid w:val="00F76AEC"/>
    <w:rsid w:val="00F77916"/>
    <w:rsid w:val="00F77B2F"/>
    <w:rsid w:val="00F8060D"/>
    <w:rsid w:val="00F80D6B"/>
    <w:rsid w:val="00F80E01"/>
    <w:rsid w:val="00F80F9E"/>
    <w:rsid w:val="00F8131C"/>
    <w:rsid w:val="00F81803"/>
    <w:rsid w:val="00F81E94"/>
    <w:rsid w:val="00F824E4"/>
    <w:rsid w:val="00F8297C"/>
    <w:rsid w:val="00F8317B"/>
    <w:rsid w:val="00F83475"/>
    <w:rsid w:val="00F8396F"/>
    <w:rsid w:val="00F8515E"/>
    <w:rsid w:val="00F851BE"/>
    <w:rsid w:val="00F852AC"/>
    <w:rsid w:val="00F866EC"/>
    <w:rsid w:val="00F8684E"/>
    <w:rsid w:val="00F8753E"/>
    <w:rsid w:val="00F87603"/>
    <w:rsid w:val="00F8784A"/>
    <w:rsid w:val="00F87B12"/>
    <w:rsid w:val="00F87BD1"/>
    <w:rsid w:val="00F90304"/>
    <w:rsid w:val="00F90D30"/>
    <w:rsid w:val="00F90F17"/>
    <w:rsid w:val="00F91145"/>
    <w:rsid w:val="00F91148"/>
    <w:rsid w:val="00F9135E"/>
    <w:rsid w:val="00F913DB"/>
    <w:rsid w:val="00F91DAC"/>
    <w:rsid w:val="00F92761"/>
    <w:rsid w:val="00F92D2A"/>
    <w:rsid w:val="00F92F39"/>
    <w:rsid w:val="00F93048"/>
    <w:rsid w:val="00F936DB"/>
    <w:rsid w:val="00F94713"/>
    <w:rsid w:val="00F950B4"/>
    <w:rsid w:val="00F95EDE"/>
    <w:rsid w:val="00F96189"/>
    <w:rsid w:val="00F96E71"/>
    <w:rsid w:val="00F9740D"/>
    <w:rsid w:val="00FA0B70"/>
    <w:rsid w:val="00FA13E1"/>
    <w:rsid w:val="00FA1BB8"/>
    <w:rsid w:val="00FA2428"/>
    <w:rsid w:val="00FA2655"/>
    <w:rsid w:val="00FA3157"/>
    <w:rsid w:val="00FA3A9F"/>
    <w:rsid w:val="00FA4055"/>
    <w:rsid w:val="00FA458A"/>
    <w:rsid w:val="00FA4A5F"/>
    <w:rsid w:val="00FA4C07"/>
    <w:rsid w:val="00FA555A"/>
    <w:rsid w:val="00FA58AC"/>
    <w:rsid w:val="00FA65D6"/>
    <w:rsid w:val="00FA6A88"/>
    <w:rsid w:val="00FA6CD2"/>
    <w:rsid w:val="00FA6DEA"/>
    <w:rsid w:val="00FA6F30"/>
    <w:rsid w:val="00FA7E37"/>
    <w:rsid w:val="00FB0094"/>
    <w:rsid w:val="00FB0B50"/>
    <w:rsid w:val="00FB0BDD"/>
    <w:rsid w:val="00FB0BE1"/>
    <w:rsid w:val="00FB0EC2"/>
    <w:rsid w:val="00FB0FB5"/>
    <w:rsid w:val="00FB1F71"/>
    <w:rsid w:val="00FB24A7"/>
    <w:rsid w:val="00FB26FE"/>
    <w:rsid w:val="00FB2B15"/>
    <w:rsid w:val="00FB3436"/>
    <w:rsid w:val="00FB38A0"/>
    <w:rsid w:val="00FB4905"/>
    <w:rsid w:val="00FB5590"/>
    <w:rsid w:val="00FB5768"/>
    <w:rsid w:val="00FB5CDE"/>
    <w:rsid w:val="00FB6767"/>
    <w:rsid w:val="00FB6A1C"/>
    <w:rsid w:val="00FB6C1A"/>
    <w:rsid w:val="00FB6F65"/>
    <w:rsid w:val="00FB7504"/>
    <w:rsid w:val="00FB76E1"/>
    <w:rsid w:val="00FB7BDC"/>
    <w:rsid w:val="00FB7F9E"/>
    <w:rsid w:val="00FC03A1"/>
    <w:rsid w:val="00FC10A1"/>
    <w:rsid w:val="00FC2C52"/>
    <w:rsid w:val="00FC2EE0"/>
    <w:rsid w:val="00FC3840"/>
    <w:rsid w:val="00FC3ED4"/>
    <w:rsid w:val="00FC433A"/>
    <w:rsid w:val="00FC4437"/>
    <w:rsid w:val="00FC491C"/>
    <w:rsid w:val="00FC5E3C"/>
    <w:rsid w:val="00FC629B"/>
    <w:rsid w:val="00FC661D"/>
    <w:rsid w:val="00FC73F8"/>
    <w:rsid w:val="00FD0327"/>
    <w:rsid w:val="00FD04D2"/>
    <w:rsid w:val="00FD0888"/>
    <w:rsid w:val="00FD1A0B"/>
    <w:rsid w:val="00FD242A"/>
    <w:rsid w:val="00FD3439"/>
    <w:rsid w:val="00FD38D8"/>
    <w:rsid w:val="00FD5616"/>
    <w:rsid w:val="00FD5785"/>
    <w:rsid w:val="00FD5F68"/>
    <w:rsid w:val="00FD6EA3"/>
    <w:rsid w:val="00FD748B"/>
    <w:rsid w:val="00FD7716"/>
    <w:rsid w:val="00FD7866"/>
    <w:rsid w:val="00FE0B56"/>
    <w:rsid w:val="00FE0BE1"/>
    <w:rsid w:val="00FE2510"/>
    <w:rsid w:val="00FE2E16"/>
    <w:rsid w:val="00FE424C"/>
    <w:rsid w:val="00FE49AA"/>
    <w:rsid w:val="00FE4F52"/>
    <w:rsid w:val="00FE67A2"/>
    <w:rsid w:val="00FE7A35"/>
    <w:rsid w:val="00FF09DC"/>
    <w:rsid w:val="00FF0C93"/>
    <w:rsid w:val="00FF0E74"/>
    <w:rsid w:val="00FF1529"/>
    <w:rsid w:val="00FF1668"/>
    <w:rsid w:val="00FF2DEC"/>
    <w:rsid w:val="00FF3385"/>
    <w:rsid w:val="00FF3C2C"/>
    <w:rsid w:val="00FF3EBC"/>
    <w:rsid w:val="00FF4A52"/>
    <w:rsid w:val="00FF50D3"/>
    <w:rsid w:val="00FF55D9"/>
    <w:rsid w:val="00FF59D9"/>
    <w:rsid w:val="00FF6A62"/>
    <w:rsid w:val="00FF6DE5"/>
    <w:rsid w:val="00FF717A"/>
    <w:rsid w:val="00FF73C6"/>
    <w:rsid w:val="00FF76B7"/>
    <w:rsid w:val="00FF78C7"/>
    <w:rsid w:val="00FF7D5B"/>
    <w:rsid w:val="00FF7FF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79684"/>
  <w15:chartTrackingRefBased/>
  <w15:docId w15:val="{8789C70C-6717-4FC2-B58B-211B0EF5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3E2"/>
    <w:rPr>
      <w:lang w:val="en-AU"/>
    </w:rPr>
  </w:style>
  <w:style w:type="paragraph" w:styleId="Heading1">
    <w:name w:val="heading 1"/>
    <w:basedOn w:val="Normal"/>
    <w:next w:val="Normal"/>
    <w:link w:val="Heading1Char"/>
    <w:uiPriority w:val="9"/>
    <w:rsid w:val="005C0C3F"/>
    <w:pPr>
      <w:spacing w:after="720" w:line="192" w:lineRule="auto"/>
      <w:outlineLvl w:val="0"/>
    </w:pPr>
    <w:rPr>
      <w:rFonts w:ascii="Arial Black" w:hAnsi="Arial Black" w:cs="Arial"/>
      <w:color w:val="15272F" w:themeColor="accent1"/>
      <w:sz w:val="72"/>
      <w:szCs w:val="80"/>
    </w:rPr>
  </w:style>
  <w:style w:type="paragraph" w:styleId="Heading2">
    <w:name w:val="heading 2"/>
    <w:basedOn w:val="Normal"/>
    <w:next w:val="Normal"/>
    <w:link w:val="Heading2Char"/>
    <w:uiPriority w:val="9"/>
    <w:unhideWhenUsed/>
    <w:rsid w:val="00504F90"/>
    <w:pPr>
      <w:spacing w:before="360" w:line="276" w:lineRule="auto"/>
      <w:outlineLvl w:val="1"/>
    </w:pPr>
    <w:rPr>
      <w:rFonts w:asciiTheme="majorHAnsi" w:hAnsiTheme="majorHAnsi" w:cs="Arial"/>
      <w:color w:val="15272F" w:themeColor="text1"/>
      <w:sz w:val="36"/>
      <w:szCs w:val="36"/>
    </w:rPr>
  </w:style>
  <w:style w:type="paragraph" w:styleId="Heading3">
    <w:name w:val="heading 3"/>
    <w:aliases w:val="H3"/>
    <w:next w:val="Normal"/>
    <w:link w:val="Heading3Char"/>
    <w:uiPriority w:val="9"/>
    <w:unhideWhenUsed/>
    <w:qFormat/>
    <w:rsid w:val="00D05BDE"/>
    <w:pPr>
      <w:numPr>
        <w:ilvl w:val="2"/>
        <w:numId w:val="24"/>
      </w:numPr>
      <w:spacing w:before="240" w:line="320" w:lineRule="exact"/>
      <w:ind w:left="709" w:hanging="709"/>
      <w:outlineLvl w:val="2"/>
    </w:pPr>
    <w:rPr>
      <w:rFonts w:ascii="Arial" w:hAnsi="Arial" w:cs="Arial"/>
      <w:b/>
      <w:bCs/>
      <w:color w:val="15272F" w:themeColor="text1"/>
      <w:sz w:val="28"/>
      <w:szCs w:val="28"/>
      <w:lang w:val="en-AU"/>
    </w:rPr>
  </w:style>
  <w:style w:type="paragraph" w:styleId="Heading4">
    <w:name w:val="heading 4"/>
    <w:basedOn w:val="Normal"/>
    <w:next w:val="Normal"/>
    <w:link w:val="Heading4Char"/>
    <w:uiPriority w:val="9"/>
    <w:semiHidden/>
    <w:unhideWhenUsed/>
    <w:qFormat/>
    <w:rsid w:val="00F33F85"/>
    <w:pPr>
      <w:keepNext/>
      <w:keepLines/>
      <w:spacing w:before="40" w:after="0"/>
      <w:outlineLvl w:val="3"/>
    </w:pPr>
    <w:rPr>
      <w:rFonts w:asciiTheme="majorHAnsi" w:eastAsiaTheme="majorEastAsia" w:hAnsiTheme="majorHAnsi" w:cstheme="majorBidi"/>
      <w:i/>
      <w:iCs/>
      <w:color w:val="0F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EDC"/>
  </w:style>
  <w:style w:type="paragraph" w:styleId="Footer">
    <w:name w:val="footer"/>
    <w:basedOn w:val="Normal"/>
    <w:link w:val="FooterChar"/>
    <w:uiPriority w:val="99"/>
    <w:unhideWhenUsed/>
    <w:rsid w:val="00D53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EDC"/>
  </w:style>
  <w:style w:type="paragraph" w:styleId="BalloonText">
    <w:name w:val="Balloon Text"/>
    <w:basedOn w:val="Normal"/>
    <w:link w:val="BalloonTextChar"/>
    <w:uiPriority w:val="99"/>
    <w:semiHidden/>
    <w:unhideWhenUsed/>
    <w:rsid w:val="00D53E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EDC"/>
    <w:rPr>
      <w:rFonts w:ascii="Segoe UI" w:hAnsi="Segoe UI" w:cs="Segoe UI"/>
      <w:sz w:val="18"/>
      <w:szCs w:val="18"/>
    </w:rPr>
  </w:style>
  <w:style w:type="paragraph" w:customStyle="1" w:styleId="CoverTitle">
    <w:name w:val="Cover Title"/>
    <w:basedOn w:val="Normal"/>
    <w:link w:val="CoverTitleChar"/>
    <w:qFormat/>
    <w:rsid w:val="007A72D2"/>
    <w:pPr>
      <w:spacing w:line="240" w:lineRule="auto"/>
    </w:pPr>
    <w:rPr>
      <w:rFonts w:ascii="Josefin Sans" w:hAnsi="Josefin Sans" w:cs="Arial"/>
      <w:b/>
      <w:color w:val="15272F" w:themeColor="text1"/>
      <w:sz w:val="144"/>
      <w:szCs w:val="144"/>
    </w:rPr>
  </w:style>
  <w:style w:type="paragraph" w:customStyle="1" w:styleId="CoverSubhead">
    <w:name w:val="Cover Subhead"/>
    <w:basedOn w:val="CoverTitle"/>
    <w:link w:val="CoverSubheadChar"/>
    <w:qFormat/>
    <w:rsid w:val="009D5276"/>
    <w:rPr>
      <w:rFonts w:asciiTheme="majorHAnsi" w:hAnsiTheme="majorHAnsi"/>
      <w:sz w:val="92"/>
      <w:szCs w:val="92"/>
    </w:rPr>
  </w:style>
  <w:style w:type="character" w:customStyle="1" w:styleId="CoverTitleChar">
    <w:name w:val="Cover Title Char"/>
    <w:basedOn w:val="DefaultParagraphFont"/>
    <w:link w:val="CoverTitle"/>
    <w:rsid w:val="007A72D2"/>
    <w:rPr>
      <w:rFonts w:ascii="Josefin Sans" w:hAnsi="Josefin Sans" w:cs="Arial"/>
      <w:b/>
      <w:color w:val="15272F" w:themeColor="text1"/>
      <w:sz w:val="144"/>
      <w:szCs w:val="144"/>
    </w:rPr>
  </w:style>
  <w:style w:type="paragraph" w:customStyle="1" w:styleId="Body">
    <w:name w:val="Body"/>
    <w:basedOn w:val="Normal"/>
    <w:link w:val="BodyChar"/>
    <w:qFormat/>
    <w:rsid w:val="00F00D91"/>
    <w:pPr>
      <w:spacing w:after="120"/>
    </w:pPr>
    <w:rPr>
      <w:rFonts w:ascii="Arial" w:hAnsi="Arial" w:cs="Arial"/>
      <w:sz w:val="20"/>
      <w:szCs w:val="20"/>
    </w:rPr>
  </w:style>
  <w:style w:type="character" w:customStyle="1" w:styleId="CoverSubheadChar">
    <w:name w:val="Cover Subhead Char"/>
    <w:basedOn w:val="CoverTitleChar"/>
    <w:link w:val="CoverSubhead"/>
    <w:rsid w:val="009D5276"/>
    <w:rPr>
      <w:rFonts w:asciiTheme="majorHAnsi" w:hAnsiTheme="majorHAnsi" w:cs="Arial"/>
      <w:b/>
      <w:color w:val="15272F" w:themeColor="text1"/>
      <w:sz w:val="92"/>
      <w:szCs w:val="92"/>
    </w:rPr>
  </w:style>
  <w:style w:type="character" w:styleId="Hyperlink">
    <w:name w:val="Hyperlink"/>
    <w:basedOn w:val="DefaultParagraphFont"/>
    <w:uiPriority w:val="99"/>
    <w:unhideWhenUsed/>
    <w:rsid w:val="00706C1C"/>
    <w:rPr>
      <w:color w:val="0080C4" w:themeColor="hyperlink"/>
      <w:u w:val="single"/>
    </w:rPr>
  </w:style>
  <w:style w:type="character" w:customStyle="1" w:styleId="BodyChar">
    <w:name w:val="Body Char"/>
    <w:basedOn w:val="CoverSubheadChar"/>
    <w:link w:val="Body"/>
    <w:rsid w:val="00F00D91"/>
    <w:rPr>
      <w:rFonts w:ascii="Arial" w:hAnsi="Arial" w:cs="Arial"/>
      <w:b w:val="0"/>
      <w:color w:val="15272F" w:themeColor="text1"/>
      <w:sz w:val="20"/>
      <w:szCs w:val="20"/>
      <w:lang w:val="en-AU"/>
    </w:rPr>
  </w:style>
  <w:style w:type="character" w:customStyle="1" w:styleId="UnresolvedMention1">
    <w:name w:val="Unresolved Mention1"/>
    <w:basedOn w:val="DefaultParagraphFont"/>
    <w:uiPriority w:val="99"/>
    <w:semiHidden/>
    <w:unhideWhenUsed/>
    <w:rsid w:val="00706C1C"/>
    <w:rPr>
      <w:color w:val="605E5C"/>
      <w:shd w:val="clear" w:color="auto" w:fill="E1DFDD"/>
    </w:rPr>
  </w:style>
  <w:style w:type="paragraph" w:customStyle="1" w:styleId="Link">
    <w:name w:val="Link"/>
    <w:basedOn w:val="Body"/>
    <w:link w:val="LinkChar"/>
    <w:qFormat/>
    <w:rsid w:val="008B13A2"/>
    <w:rPr>
      <w:color w:val="008F55" w:themeColor="accent4"/>
      <w:u w:val="single"/>
    </w:rPr>
  </w:style>
  <w:style w:type="paragraph" w:customStyle="1" w:styleId="Pa3">
    <w:name w:val="Pa3"/>
    <w:basedOn w:val="Normal"/>
    <w:next w:val="Normal"/>
    <w:uiPriority w:val="99"/>
    <w:rsid w:val="000C23B7"/>
    <w:pPr>
      <w:autoSpaceDE w:val="0"/>
      <w:autoSpaceDN w:val="0"/>
      <w:adjustRightInd w:val="0"/>
      <w:spacing w:after="0" w:line="181" w:lineRule="atLeast"/>
    </w:pPr>
    <w:rPr>
      <w:rFonts w:ascii="Futura PT Medium" w:hAnsi="Futura PT Medium"/>
      <w:sz w:val="24"/>
      <w:szCs w:val="24"/>
      <w:lang w:val="en-US"/>
    </w:rPr>
  </w:style>
  <w:style w:type="character" w:customStyle="1" w:styleId="LinkChar">
    <w:name w:val="Link Char"/>
    <w:basedOn w:val="BodyChar"/>
    <w:link w:val="Link"/>
    <w:rsid w:val="008B13A2"/>
    <w:rPr>
      <w:rFonts w:ascii="Fira Sans" w:hAnsi="Fira Sans" w:cs="Arial"/>
      <w:b w:val="0"/>
      <w:color w:val="008F55" w:themeColor="accent4"/>
      <w:sz w:val="18"/>
      <w:szCs w:val="18"/>
      <w:u w:val="single"/>
      <w:lang w:val="en-AU"/>
    </w:rPr>
  </w:style>
  <w:style w:type="character" w:customStyle="1" w:styleId="A4">
    <w:name w:val="A4"/>
    <w:uiPriority w:val="99"/>
    <w:rsid w:val="000C23B7"/>
    <w:rPr>
      <w:rFonts w:cs="Futura PT Medium"/>
      <w:color w:val="008E52"/>
      <w:sz w:val="18"/>
      <w:szCs w:val="18"/>
      <w:u w:val="single"/>
    </w:rPr>
  </w:style>
  <w:style w:type="paragraph" w:customStyle="1" w:styleId="BulletList">
    <w:name w:val="Bullet List"/>
    <w:basedOn w:val="Body"/>
    <w:link w:val="BulletListChar"/>
    <w:qFormat/>
    <w:rsid w:val="00E25924"/>
    <w:pPr>
      <w:numPr>
        <w:numId w:val="1"/>
      </w:numPr>
      <w:ind w:left="709"/>
    </w:pPr>
  </w:style>
  <w:style w:type="paragraph" w:customStyle="1" w:styleId="NumberedList">
    <w:name w:val="Numbered List"/>
    <w:basedOn w:val="Body"/>
    <w:link w:val="NumberedListChar"/>
    <w:qFormat/>
    <w:rsid w:val="008B13A2"/>
    <w:pPr>
      <w:numPr>
        <w:numId w:val="3"/>
      </w:numPr>
    </w:pPr>
  </w:style>
  <w:style w:type="character" w:customStyle="1" w:styleId="BulletListChar">
    <w:name w:val="Bullet List Char"/>
    <w:basedOn w:val="BodyChar"/>
    <w:link w:val="BulletList"/>
    <w:rsid w:val="00E25924"/>
    <w:rPr>
      <w:rFonts w:ascii="Arial" w:hAnsi="Arial" w:cs="Arial"/>
      <w:b w:val="0"/>
      <w:color w:val="15272F" w:themeColor="text1"/>
      <w:sz w:val="20"/>
      <w:szCs w:val="20"/>
      <w:lang w:val="en-AU"/>
    </w:rPr>
  </w:style>
  <w:style w:type="paragraph" w:customStyle="1" w:styleId="SectionBreakSubhead">
    <w:name w:val="Section Break Subhead"/>
    <w:basedOn w:val="Normal"/>
    <w:link w:val="SectionBreakSubheadChar"/>
    <w:qFormat/>
    <w:rsid w:val="008B13A2"/>
    <w:pPr>
      <w:spacing w:before="360" w:line="276" w:lineRule="auto"/>
    </w:pPr>
    <w:rPr>
      <w:rFonts w:asciiTheme="majorHAnsi" w:hAnsiTheme="majorHAnsi" w:cs="Arial"/>
      <w:color w:val="104F99" w:themeColor="accent2"/>
      <w:sz w:val="28"/>
      <w:szCs w:val="28"/>
    </w:rPr>
  </w:style>
  <w:style w:type="character" w:customStyle="1" w:styleId="NumberedListChar">
    <w:name w:val="Numbered List Char"/>
    <w:basedOn w:val="BodyChar"/>
    <w:link w:val="NumberedList"/>
    <w:rsid w:val="008B13A2"/>
    <w:rPr>
      <w:rFonts w:ascii="Arial" w:hAnsi="Arial" w:cs="Arial"/>
      <w:b w:val="0"/>
      <w:color w:val="15272F" w:themeColor="text1"/>
      <w:sz w:val="20"/>
      <w:szCs w:val="20"/>
      <w:lang w:val="en-AU"/>
    </w:rPr>
  </w:style>
  <w:style w:type="paragraph" w:customStyle="1" w:styleId="BulletListRed">
    <w:name w:val="Bullet List Red"/>
    <w:link w:val="BulletListRedChar"/>
    <w:qFormat/>
    <w:rsid w:val="009D7F61"/>
    <w:pPr>
      <w:numPr>
        <w:numId w:val="2"/>
      </w:numPr>
    </w:pPr>
    <w:rPr>
      <w:rFonts w:ascii="Arial" w:hAnsi="Arial" w:cs="Arial"/>
      <w:color w:val="294C5C" w:themeColor="text1" w:themeTint="D9"/>
      <w:sz w:val="18"/>
      <w:szCs w:val="18"/>
    </w:rPr>
  </w:style>
  <w:style w:type="character" w:customStyle="1" w:styleId="SectionBreakSubheadChar">
    <w:name w:val="Section Break Subhead Char"/>
    <w:basedOn w:val="DefaultParagraphFont"/>
    <w:link w:val="SectionBreakSubhead"/>
    <w:rsid w:val="008B13A2"/>
    <w:rPr>
      <w:rFonts w:asciiTheme="majorHAnsi" w:hAnsiTheme="majorHAnsi" w:cs="Arial"/>
      <w:color w:val="104F99" w:themeColor="accent2"/>
      <w:sz w:val="28"/>
      <w:szCs w:val="28"/>
    </w:rPr>
  </w:style>
  <w:style w:type="table" w:styleId="TableGrid">
    <w:name w:val="Table Grid"/>
    <w:basedOn w:val="TableNormal"/>
    <w:rsid w:val="009D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istRedChar">
    <w:name w:val="Bullet List Red Char"/>
    <w:basedOn w:val="BulletListChar"/>
    <w:link w:val="BulletListRed"/>
    <w:rsid w:val="009D7F61"/>
    <w:rPr>
      <w:rFonts w:ascii="Arial" w:hAnsi="Arial" w:cs="Arial"/>
      <w:b w:val="0"/>
      <w:color w:val="294C5C" w:themeColor="text1" w:themeTint="D9"/>
      <w:sz w:val="18"/>
      <w:szCs w:val="18"/>
      <w:lang w:val="en-AU"/>
    </w:rPr>
  </w:style>
  <w:style w:type="paragraph" w:customStyle="1" w:styleId="TableHeading">
    <w:name w:val="Table Heading"/>
    <w:basedOn w:val="SectionBreakSubhead"/>
    <w:link w:val="TableHeadingChar"/>
    <w:qFormat/>
    <w:rsid w:val="00A207F8"/>
    <w:pPr>
      <w:spacing w:before="80" w:after="80" w:line="240" w:lineRule="auto"/>
    </w:pPr>
    <w:rPr>
      <w:rFonts w:ascii="Arial" w:hAnsi="Arial"/>
      <w:b/>
      <w:color w:val="FFFFFF" w:themeColor="background2"/>
      <w:sz w:val="20"/>
      <w:szCs w:val="20"/>
      <w:lang w:eastAsia="en-AU"/>
    </w:rPr>
  </w:style>
  <w:style w:type="paragraph" w:customStyle="1" w:styleId="H2">
    <w:name w:val="H2"/>
    <w:basedOn w:val="Heading2"/>
    <w:link w:val="H2Char"/>
    <w:qFormat/>
    <w:rsid w:val="00D05BDE"/>
    <w:pPr>
      <w:spacing w:line="240" w:lineRule="auto"/>
    </w:pPr>
    <w:rPr>
      <w:rFonts w:ascii="Arial" w:hAnsi="Arial"/>
      <w:b/>
      <w:bCs/>
      <w:color w:val="104F99" w:themeColor="accent2"/>
    </w:rPr>
  </w:style>
  <w:style w:type="character" w:customStyle="1" w:styleId="TableHeadingChar">
    <w:name w:val="Table Heading Char"/>
    <w:basedOn w:val="SectionBreakSubheadChar"/>
    <w:link w:val="TableHeading"/>
    <w:rsid w:val="00A207F8"/>
    <w:rPr>
      <w:rFonts w:ascii="Arial" w:hAnsi="Arial" w:cs="Arial"/>
      <w:b/>
      <w:color w:val="FFFFFF" w:themeColor="background2"/>
      <w:sz w:val="20"/>
      <w:szCs w:val="20"/>
      <w:lang w:val="en-AU" w:eastAsia="en-AU"/>
    </w:rPr>
  </w:style>
  <w:style w:type="paragraph" w:customStyle="1" w:styleId="bullets">
    <w:name w:val="bullets"/>
    <w:basedOn w:val="Normal"/>
    <w:uiPriority w:val="99"/>
    <w:rsid w:val="00DD6C60"/>
    <w:pPr>
      <w:suppressAutoHyphens/>
      <w:autoSpaceDE w:val="0"/>
      <w:autoSpaceDN w:val="0"/>
      <w:adjustRightInd w:val="0"/>
      <w:spacing w:after="57" w:line="280" w:lineRule="atLeast"/>
      <w:ind w:left="283" w:hanging="283"/>
      <w:textAlignment w:val="center"/>
    </w:pPr>
    <w:rPr>
      <w:rFonts w:ascii="Futura PT Book" w:hAnsi="Futura PT Book" w:cs="Futura PT Book"/>
      <w:color w:val="000000"/>
      <w:sz w:val="18"/>
      <w:szCs w:val="18"/>
      <w:lang w:val="en-US"/>
    </w:rPr>
  </w:style>
  <w:style w:type="character" w:customStyle="1" w:styleId="H2Char">
    <w:name w:val="H2 Char"/>
    <w:basedOn w:val="DefaultParagraphFont"/>
    <w:link w:val="H2"/>
    <w:rsid w:val="00D05BDE"/>
    <w:rPr>
      <w:rFonts w:ascii="Arial" w:hAnsi="Arial" w:cs="Arial"/>
      <w:b/>
      <w:bCs/>
      <w:color w:val="104F99" w:themeColor="accent2"/>
      <w:sz w:val="36"/>
      <w:szCs w:val="36"/>
      <w:lang w:val="en-AU"/>
    </w:rPr>
  </w:style>
  <w:style w:type="paragraph" w:customStyle="1" w:styleId="lastbullet">
    <w:name w:val="last bullet"/>
    <w:basedOn w:val="bullets"/>
    <w:uiPriority w:val="99"/>
    <w:rsid w:val="00DD6C60"/>
    <w:pPr>
      <w:spacing w:after="113"/>
    </w:pPr>
  </w:style>
  <w:style w:type="character" w:customStyle="1" w:styleId="Bold">
    <w:name w:val="Bold"/>
    <w:uiPriority w:val="99"/>
    <w:rsid w:val="00DD6C60"/>
  </w:style>
  <w:style w:type="paragraph" w:customStyle="1" w:styleId="body0">
    <w:name w:val="body"/>
    <w:basedOn w:val="Normal"/>
    <w:uiPriority w:val="99"/>
    <w:rsid w:val="00D508FF"/>
    <w:pPr>
      <w:suppressAutoHyphens/>
      <w:autoSpaceDE w:val="0"/>
      <w:autoSpaceDN w:val="0"/>
      <w:adjustRightInd w:val="0"/>
      <w:spacing w:after="113" w:line="280" w:lineRule="atLeast"/>
      <w:textAlignment w:val="center"/>
    </w:pPr>
    <w:rPr>
      <w:rFonts w:ascii="Futura PT Book" w:hAnsi="Futura PT Book" w:cs="Futura PT Book"/>
      <w:color w:val="000000"/>
      <w:sz w:val="18"/>
      <w:szCs w:val="18"/>
      <w:lang w:val="en-US"/>
    </w:rPr>
  </w:style>
  <w:style w:type="paragraph" w:customStyle="1" w:styleId="IntroBody">
    <w:name w:val="Intro Body"/>
    <w:basedOn w:val="Body"/>
    <w:link w:val="IntroBodyChar"/>
    <w:qFormat/>
    <w:rsid w:val="008B13A2"/>
    <w:rPr>
      <w:b/>
    </w:rPr>
  </w:style>
  <w:style w:type="paragraph" w:customStyle="1" w:styleId="LetterListLevel2">
    <w:name w:val="Letter List Level 2"/>
    <w:basedOn w:val="Body"/>
    <w:link w:val="LetterListLevel2Char"/>
    <w:qFormat/>
    <w:rsid w:val="008B13A2"/>
    <w:pPr>
      <w:numPr>
        <w:numId w:val="4"/>
      </w:numPr>
    </w:pPr>
  </w:style>
  <w:style w:type="character" w:customStyle="1" w:styleId="IntroBodyChar">
    <w:name w:val="Intro Body Char"/>
    <w:basedOn w:val="BodyChar"/>
    <w:link w:val="IntroBody"/>
    <w:rsid w:val="008B13A2"/>
    <w:rPr>
      <w:rFonts w:ascii="Fira Sans" w:hAnsi="Fira Sans" w:cs="Arial"/>
      <w:b/>
      <w:color w:val="15272F" w:themeColor="text1"/>
      <w:sz w:val="18"/>
      <w:szCs w:val="18"/>
      <w:lang w:val="en-AU"/>
    </w:rPr>
  </w:style>
  <w:style w:type="paragraph" w:customStyle="1" w:styleId="TableBodySmall">
    <w:name w:val="Table Body Small"/>
    <w:basedOn w:val="Body"/>
    <w:link w:val="TableBodySmallChar"/>
    <w:qFormat/>
    <w:rsid w:val="00A207F8"/>
    <w:pPr>
      <w:spacing w:before="40" w:after="40" w:line="240" w:lineRule="auto"/>
    </w:pPr>
  </w:style>
  <w:style w:type="character" w:customStyle="1" w:styleId="LetterListLevel2Char">
    <w:name w:val="Letter List Level 2 Char"/>
    <w:basedOn w:val="BodyChar"/>
    <w:link w:val="LetterListLevel2"/>
    <w:rsid w:val="008B13A2"/>
    <w:rPr>
      <w:rFonts w:ascii="Arial" w:hAnsi="Arial" w:cs="Arial"/>
      <w:b w:val="0"/>
      <w:color w:val="15272F" w:themeColor="text1"/>
      <w:sz w:val="20"/>
      <w:szCs w:val="20"/>
      <w:lang w:val="en-AU"/>
    </w:rPr>
  </w:style>
  <w:style w:type="character" w:customStyle="1" w:styleId="Heading1Char">
    <w:name w:val="Heading 1 Char"/>
    <w:basedOn w:val="DefaultParagraphFont"/>
    <w:link w:val="Heading1"/>
    <w:uiPriority w:val="9"/>
    <w:rsid w:val="005C0C3F"/>
    <w:rPr>
      <w:rFonts w:ascii="Arial Black" w:hAnsi="Arial Black" w:cs="Arial"/>
      <w:color w:val="15272F" w:themeColor="accent1"/>
      <w:sz w:val="72"/>
      <w:szCs w:val="80"/>
    </w:rPr>
  </w:style>
  <w:style w:type="character" w:customStyle="1" w:styleId="TableBodySmallChar">
    <w:name w:val="Table Body Small Char"/>
    <w:basedOn w:val="BodyChar"/>
    <w:link w:val="TableBodySmall"/>
    <w:rsid w:val="00A207F8"/>
    <w:rPr>
      <w:rFonts w:ascii="Arial" w:hAnsi="Arial" w:cs="Arial"/>
      <w:b w:val="0"/>
      <w:color w:val="15272F" w:themeColor="text1"/>
      <w:sz w:val="20"/>
      <w:szCs w:val="20"/>
      <w:lang w:val="en-AU"/>
    </w:rPr>
  </w:style>
  <w:style w:type="paragraph" w:styleId="TOCHeading">
    <w:name w:val="TOC Heading"/>
    <w:aliases w:val="H1"/>
    <w:basedOn w:val="Heading1"/>
    <w:next w:val="Normal"/>
    <w:uiPriority w:val="39"/>
    <w:unhideWhenUsed/>
    <w:qFormat/>
    <w:rsid w:val="00D05BDE"/>
    <w:pPr>
      <w:spacing w:line="720" w:lineRule="exact"/>
    </w:pPr>
    <w:rPr>
      <w:rFonts w:ascii="Arial" w:hAnsi="Arial"/>
      <w:b/>
      <w:bCs/>
      <w:color w:val="auto"/>
    </w:rPr>
  </w:style>
  <w:style w:type="paragraph" w:styleId="TOC1">
    <w:name w:val="toc 1"/>
    <w:basedOn w:val="Normal"/>
    <w:next w:val="Normal"/>
    <w:uiPriority w:val="39"/>
    <w:unhideWhenUsed/>
    <w:rsid w:val="004763FD"/>
    <w:pPr>
      <w:spacing w:before="240" w:after="120" w:line="240" w:lineRule="auto"/>
      <w:ind w:left="284"/>
    </w:pPr>
    <w:rPr>
      <w:rFonts w:ascii="Arial Bold" w:hAnsi="Arial Bold"/>
      <w:b/>
    </w:rPr>
  </w:style>
  <w:style w:type="character" w:customStyle="1" w:styleId="Heading2Char">
    <w:name w:val="Heading 2 Char"/>
    <w:basedOn w:val="DefaultParagraphFont"/>
    <w:link w:val="Heading2"/>
    <w:uiPriority w:val="9"/>
    <w:rsid w:val="00504F90"/>
    <w:rPr>
      <w:rFonts w:asciiTheme="majorHAnsi" w:hAnsiTheme="majorHAnsi" w:cs="Arial"/>
      <w:color w:val="15272F" w:themeColor="text1"/>
      <w:sz w:val="36"/>
      <w:szCs w:val="36"/>
    </w:rPr>
  </w:style>
  <w:style w:type="character" w:customStyle="1" w:styleId="Heading3Char">
    <w:name w:val="Heading 3 Char"/>
    <w:aliases w:val="H3 Char"/>
    <w:basedOn w:val="DefaultParagraphFont"/>
    <w:link w:val="Heading3"/>
    <w:uiPriority w:val="9"/>
    <w:rsid w:val="00D05BDE"/>
    <w:rPr>
      <w:rFonts w:ascii="Arial" w:hAnsi="Arial" w:cs="Arial"/>
      <w:b/>
      <w:bCs/>
      <w:color w:val="15272F" w:themeColor="text1"/>
      <w:sz w:val="28"/>
      <w:szCs w:val="28"/>
      <w:lang w:val="en-AU"/>
    </w:rPr>
  </w:style>
  <w:style w:type="character" w:styleId="CommentReference">
    <w:name w:val="annotation reference"/>
    <w:basedOn w:val="DefaultParagraphFont"/>
    <w:uiPriority w:val="99"/>
    <w:semiHidden/>
    <w:unhideWhenUsed/>
    <w:rsid w:val="003A1FE7"/>
    <w:rPr>
      <w:sz w:val="16"/>
      <w:szCs w:val="16"/>
    </w:rPr>
  </w:style>
  <w:style w:type="paragraph" w:styleId="CommentText">
    <w:name w:val="annotation text"/>
    <w:basedOn w:val="Normal"/>
    <w:link w:val="CommentTextChar"/>
    <w:uiPriority w:val="99"/>
    <w:unhideWhenUsed/>
    <w:rsid w:val="003A1FE7"/>
    <w:pPr>
      <w:spacing w:line="240" w:lineRule="auto"/>
    </w:pPr>
    <w:rPr>
      <w:sz w:val="20"/>
      <w:szCs w:val="20"/>
    </w:rPr>
  </w:style>
  <w:style w:type="character" w:customStyle="1" w:styleId="CommentTextChar">
    <w:name w:val="Comment Text Char"/>
    <w:basedOn w:val="DefaultParagraphFont"/>
    <w:link w:val="CommentText"/>
    <w:uiPriority w:val="99"/>
    <w:rsid w:val="003A1FE7"/>
    <w:rPr>
      <w:sz w:val="20"/>
      <w:szCs w:val="20"/>
    </w:rPr>
  </w:style>
  <w:style w:type="paragraph" w:styleId="CommentSubject">
    <w:name w:val="annotation subject"/>
    <w:basedOn w:val="CommentText"/>
    <w:next w:val="CommentText"/>
    <w:link w:val="CommentSubjectChar"/>
    <w:uiPriority w:val="99"/>
    <w:semiHidden/>
    <w:unhideWhenUsed/>
    <w:rsid w:val="003A1FE7"/>
    <w:rPr>
      <w:b/>
      <w:bCs/>
    </w:rPr>
  </w:style>
  <w:style w:type="character" w:customStyle="1" w:styleId="CommentSubjectChar">
    <w:name w:val="Comment Subject Char"/>
    <w:basedOn w:val="CommentTextChar"/>
    <w:link w:val="CommentSubject"/>
    <w:uiPriority w:val="99"/>
    <w:semiHidden/>
    <w:rsid w:val="003A1FE7"/>
    <w:rPr>
      <w:b/>
      <w:bCs/>
      <w:sz w:val="20"/>
      <w:szCs w:val="20"/>
    </w:rPr>
  </w:style>
  <w:style w:type="paragraph" w:styleId="ListParagraph">
    <w:name w:val="List Paragraph"/>
    <w:aliases w:val="List Paragraph1,Recommendation,Bullet table,Bullet L1"/>
    <w:basedOn w:val="Normal"/>
    <w:link w:val="ListParagraphChar"/>
    <w:uiPriority w:val="34"/>
    <w:qFormat/>
    <w:rsid w:val="00A846C9"/>
    <w:pPr>
      <w:ind w:left="720"/>
      <w:contextualSpacing/>
    </w:pPr>
    <w:rPr>
      <w:rFonts w:ascii="Arial" w:hAnsi="Arial"/>
    </w:rPr>
  </w:style>
  <w:style w:type="paragraph" w:styleId="TOC2">
    <w:name w:val="toc 2"/>
    <w:basedOn w:val="Normal"/>
    <w:next w:val="Normal"/>
    <w:uiPriority w:val="39"/>
    <w:unhideWhenUsed/>
    <w:rsid w:val="004763FD"/>
    <w:pPr>
      <w:spacing w:before="120" w:after="120" w:line="240" w:lineRule="auto"/>
      <w:ind w:left="284" w:right="-340"/>
    </w:pPr>
    <w:rPr>
      <w:rFonts w:ascii="Arial" w:hAnsi="Arial" w:cs="Arial"/>
      <w:noProof/>
    </w:rPr>
  </w:style>
  <w:style w:type="paragraph" w:styleId="TOC3">
    <w:name w:val="toc 3"/>
    <w:basedOn w:val="Normal"/>
    <w:next w:val="Normal"/>
    <w:autoRedefine/>
    <w:uiPriority w:val="39"/>
    <w:unhideWhenUsed/>
    <w:rsid w:val="00C75448"/>
    <w:pPr>
      <w:tabs>
        <w:tab w:val="right" w:pos="6379"/>
      </w:tabs>
      <w:spacing w:after="100"/>
      <w:ind w:left="284" w:firstLine="156"/>
    </w:pPr>
  </w:style>
  <w:style w:type="paragraph" w:styleId="Revision">
    <w:name w:val="Revision"/>
    <w:hidden/>
    <w:uiPriority w:val="99"/>
    <w:semiHidden/>
    <w:rsid w:val="00120DD2"/>
    <w:pPr>
      <w:spacing w:after="0" w:line="240" w:lineRule="auto"/>
    </w:pPr>
  </w:style>
  <w:style w:type="character" w:styleId="FollowedHyperlink">
    <w:name w:val="FollowedHyperlink"/>
    <w:basedOn w:val="DefaultParagraphFont"/>
    <w:uiPriority w:val="99"/>
    <w:semiHidden/>
    <w:unhideWhenUsed/>
    <w:rsid w:val="0073639D"/>
    <w:rPr>
      <w:color w:val="104F99" w:themeColor="followedHyperlink"/>
      <w:u w:val="single"/>
    </w:rPr>
  </w:style>
  <w:style w:type="character" w:customStyle="1" w:styleId="ListParagraphChar">
    <w:name w:val="List Paragraph Char"/>
    <w:aliases w:val="List Paragraph1 Char,Recommendation Char,Bullet table Char,Bullet L1 Char"/>
    <w:link w:val="ListParagraph"/>
    <w:uiPriority w:val="34"/>
    <w:locked/>
    <w:rsid w:val="00A846C9"/>
    <w:rPr>
      <w:rFonts w:ascii="Arial" w:hAnsi="Arial"/>
      <w:lang w:val="en-AU"/>
    </w:rPr>
  </w:style>
  <w:style w:type="paragraph" w:styleId="BodyText">
    <w:name w:val="Body Text"/>
    <w:basedOn w:val="Normal"/>
    <w:link w:val="BodyTextChar"/>
    <w:uiPriority w:val="1"/>
    <w:rsid w:val="008B13A2"/>
    <w:pPr>
      <w:widowControl w:val="0"/>
      <w:autoSpaceDE w:val="0"/>
      <w:autoSpaceDN w:val="0"/>
      <w:spacing w:after="0" w:line="240" w:lineRule="auto"/>
      <w:ind w:left="255"/>
    </w:pPr>
    <w:rPr>
      <w:rFonts w:eastAsia="Calibri" w:cs="Calibri"/>
      <w:color w:val="15272F" w:themeColor="text1"/>
      <w:sz w:val="16"/>
      <w:szCs w:val="16"/>
      <w:lang w:val="en-US"/>
    </w:rPr>
  </w:style>
  <w:style w:type="character" w:customStyle="1" w:styleId="BodyTextChar">
    <w:name w:val="Body Text Char"/>
    <w:basedOn w:val="DefaultParagraphFont"/>
    <w:link w:val="BodyText"/>
    <w:uiPriority w:val="1"/>
    <w:rsid w:val="008B13A2"/>
    <w:rPr>
      <w:rFonts w:eastAsia="Calibri" w:cs="Calibri"/>
      <w:color w:val="15272F" w:themeColor="text1"/>
      <w:sz w:val="16"/>
      <w:szCs w:val="16"/>
      <w:lang w:val="en-US"/>
    </w:rPr>
  </w:style>
  <w:style w:type="paragraph" w:customStyle="1" w:styleId="Tabletextnormal9pt">
    <w:name w:val="Table text (normal) 9pt"/>
    <w:qFormat/>
    <w:locked/>
    <w:rsid w:val="00A846C9"/>
    <w:pPr>
      <w:spacing w:before="40" w:after="40" w:line="240" w:lineRule="auto"/>
    </w:pPr>
    <w:rPr>
      <w:rFonts w:ascii="Arial" w:eastAsia="Times New Roman" w:hAnsi="Arial" w:cs="Arial"/>
      <w:color w:val="15272F" w:themeColor="text1"/>
      <w:sz w:val="18"/>
      <w:szCs w:val="18"/>
      <w:lang w:val="en-AU" w:eastAsia="en-AU"/>
    </w:rPr>
  </w:style>
  <w:style w:type="paragraph" w:customStyle="1" w:styleId="TableHeadingRow9pt">
    <w:name w:val="Table Heading Row 9pt"/>
    <w:link w:val="TableHeadingRow9ptChar"/>
    <w:qFormat/>
    <w:locked/>
    <w:rsid w:val="00A846C9"/>
    <w:pPr>
      <w:spacing w:before="40" w:after="40" w:line="240" w:lineRule="auto"/>
    </w:pPr>
    <w:rPr>
      <w:rFonts w:ascii="Arial Bold" w:eastAsia="Times New Roman" w:hAnsi="Arial Bold" w:cs="Arial"/>
      <w:b/>
      <w:color w:val="15272F" w:themeColor="text1"/>
      <w:sz w:val="18"/>
      <w:szCs w:val="18"/>
      <w:lang w:val="en-AU" w:eastAsia="en-AU"/>
    </w:rPr>
  </w:style>
  <w:style w:type="character" w:customStyle="1" w:styleId="TableHeadingRow9ptChar">
    <w:name w:val="Table Heading Row 9pt Char"/>
    <w:basedOn w:val="DefaultParagraphFont"/>
    <w:link w:val="TableHeadingRow9pt"/>
    <w:rsid w:val="00A846C9"/>
    <w:rPr>
      <w:rFonts w:ascii="Arial Bold" w:eastAsia="Times New Roman" w:hAnsi="Arial Bold" w:cs="Arial"/>
      <w:b/>
      <w:color w:val="15272F" w:themeColor="text1"/>
      <w:sz w:val="18"/>
      <w:szCs w:val="18"/>
      <w:lang w:val="en-AU" w:eastAsia="en-AU"/>
    </w:rPr>
  </w:style>
  <w:style w:type="character" w:customStyle="1" w:styleId="UnresolvedMention2">
    <w:name w:val="Unresolved Mention2"/>
    <w:basedOn w:val="DefaultParagraphFont"/>
    <w:uiPriority w:val="99"/>
    <w:semiHidden/>
    <w:unhideWhenUsed/>
    <w:rsid w:val="00A6191F"/>
    <w:rPr>
      <w:color w:val="605E5C"/>
      <w:shd w:val="clear" w:color="auto" w:fill="E1DFDD"/>
    </w:rPr>
  </w:style>
  <w:style w:type="paragraph" w:customStyle="1" w:styleId="FigureHeading">
    <w:name w:val="Figure Heading"/>
    <w:basedOn w:val="Normal"/>
    <w:next w:val="Normal"/>
    <w:autoRedefine/>
    <w:uiPriority w:val="99"/>
    <w:qFormat/>
    <w:rsid w:val="002852C9"/>
    <w:pPr>
      <w:keepNext/>
      <w:keepLines/>
      <w:numPr>
        <w:numId w:val="5"/>
      </w:numPr>
      <w:tabs>
        <w:tab w:val="left" w:pos="907"/>
      </w:tabs>
      <w:spacing w:before="120" w:after="120" w:line="260" w:lineRule="atLeast"/>
      <w:ind w:left="907" w:hanging="907"/>
      <w:contextualSpacing/>
    </w:pPr>
    <w:rPr>
      <w:rFonts w:ascii="Arial" w:eastAsia="Times New Roman" w:hAnsi="Arial" w:cs="Times New Roman"/>
      <w:szCs w:val="24"/>
      <w:lang w:eastAsia="en-AU"/>
    </w:rPr>
  </w:style>
  <w:style w:type="character" w:customStyle="1" w:styleId="UnresolvedMention3">
    <w:name w:val="Unresolved Mention3"/>
    <w:basedOn w:val="DefaultParagraphFont"/>
    <w:uiPriority w:val="99"/>
    <w:semiHidden/>
    <w:unhideWhenUsed/>
    <w:rsid w:val="00754E2E"/>
    <w:rPr>
      <w:color w:val="605E5C"/>
      <w:shd w:val="clear" w:color="auto" w:fill="E1DFDD"/>
    </w:rPr>
  </w:style>
  <w:style w:type="paragraph" w:styleId="NoSpacing">
    <w:name w:val="No Spacing"/>
    <w:basedOn w:val="Normal"/>
    <w:uiPriority w:val="1"/>
    <w:qFormat/>
    <w:rsid w:val="00A846C9"/>
    <w:pPr>
      <w:spacing w:after="0" w:line="240" w:lineRule="auto"/>
    </w:pPr>
    <w:rPr>
      <w:rFonts w:ascii="Arial" w:hAnsi="Arial"/>
    </w:rPr>
  </w:style>
  <w:style w:type="paragraph" w:customStyle="1" w:styleId="H4-List">
    <w:name w:val="H4 - List"/>
    <w:basedOn w:val="Heading2"/>
    <w:link w:val="H4-ListChar"/>
    <w:rsid w:val="00881D82"/>
    <w:pPr>
      <w:numPr>
        <w:numId w:val="7"/>
      </w:numPr>
      <w:tabs>
        <w:tab w:val="left" w:pos="426"/>
      </w:tabs>
    </w:pPr>
    <w:rPr>
      <w:rFonts w:asciiTheme="minorHAnsi" w:hAnsiTheme="minorHAnsi"/>
      <w:b/>
      <w:sz w:val="22"/>
      <w:szCs w:val="18"/>
    </w:rPr>
  </w:style>
  <w:style w:type="numbering" w:customStyle="1" w:styleId="CurrentList1">
    <w:name w:val="Current List1"/>
    <w:uiPriority w:val="99"/>
    <w:rsid w:val="00EC4C01"/>
    <w:pPr>
      <w:numPr>
        <w:numId w:val="6"/>
      </w:numPr>
    </w:pPr>
  </w:style>
  <w:style w:type="character" w:styleId="UnresolvedMention">
    <w:name w:val="Unresolved Mention"/>
    <w:basedOn w:val="DefaultParagraphFont"/>
    <w:uiPriority w:val="99"/>
    <w:semiHidden/>
    <w:unhideWhenUsed/>
    <w:rsid w:val="00402472"/>
    <w:rPr>
      <w:color w:val="605E5C"/>
      <w:shd w:val="clear" w:color="auto" w:fill="E1DFDD"/>
    </w:rPr>
  </w:style>
  <w:style w:type="paragraph" w:customStyle="1" w:styleId="Copyrightcopy">
    <w:name w:val="Copyright copy"/>
    <w:basedOn w:val="Normal"/>
    <w:next w:val="Normal"/>
    <w:qFormat/>
    <w:rsid w:val="00F33F85"/>
    <w:pPr>
      <w:ind w:right="4064"/>
    </w:pPr>
    <w:rPr>
      <w:rFonts w:ascii="Arial" w:hAnsi="Arial"/>
      <w:color w:val="15272F" w:themeColor="text1"/>
      <w:sz w:val="18"/>
    </w:rPr>
  </w:style>
  <w:style w:type="paragraph" w:customStyle="1" w:styleId="Copyrightheading">
    <w:name w:val="Copyright heading"/>
    <w:basedOn w:val="Heading4"/>
    <w:next w:val="Normal"/>
    <w:qFormat/>
    <w:rsid w:val="00F33F85"/>
    <w:pPr>
      <w:spacing w:before="120" w:after="240"/>
    </w:pPr>
    <w:rPr>
      <w:rFonts w:ascii="Arial" w:hAnsi="Arial"/>
      <w:b/>
      <w:i w:val="0"/>
      <w:color w:val="15272F" w:themeColor="text1"/>
    </w:rPr>
  </w:style>
  <w:style w:type="character" w:customStyle="1" w:styleId="Heading4Char">
    <w:name w:val="Heading 4 Char"/>
    <w:basedOn w:val="DefaultParagraphFont"/>
    <w:link w:val="Heading4"/>
    <w:uiPriority w:val="9"/>
    <w:semiHidden/>
    <w:rsid w:val="00F33F85"/>
    <w:rPr>
      <w:rFonts w:asciiTheme="majorHAnsi" w:eastAsiaTheme="majorEastAsia" w:hAnsiTheme="majorHAnsi" w:cstheme="majorBidi"/>
      <w:i/>
      <w:iCs/>
      <w:color w:val="0F1D23" w:themeColor="accent1" w:themeShade="BF"/>
    </w:rPr>
  </w:style>
  <w:style w:type="paragraph" w:styleId="NormalWeb">
    <w:name w:val="Normal (Web)"/>
    <w:basedOn w:val="Normal"/>
    <w:uiPriority w:val="99"/>
    <w:semiHidden/>
    <w:unhideWhenUsed/>
    <w:rsid w:val="00DD1F1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4">
    <w:name w:val="H4"/>
    <w:basedOn w:val="H4-List"/>
    <w:link w:val="H4Char"/>
    <w:qFormat/>
    <w:rsid w:val="00A207F8"/>
    <w:rPr>
      <w:rFonts w:ascii="Arial" w:hAnsi="Arial"/>
    </w:rPr>
  </w:style>
  <w:style w:type="character" w:customStyle="1" w:styleId="H4-ListChar">
    <w:name w:val="H4 - List Char"/>
    <w:basedOn w:val="Heading2Char"/>
    <w:link w:val="H4-List"/>
    <w:rsid w:val="00A207F8"/>
    <w:rPr>
      <w:rFonts w:asciiTheme="majorHAnsi" w:hAnsiTheme="majorHAnsi" w:cs="Arial"/>
      <w:b/>
      <w:color w:val="15272F" w:themeColor="text1"/>
      <w:sz w:val="36"/>
      <w:szCs w:val="18"/>
      <w:lang w:val="en-AU"/>
    </w:rPr>
  </w:style>
  <w:style w:type="character" w:customStyle="1" w:styleId="H4Char">
    <w:name w:val="H4 Char"/>
    <w:basedOn w:val="H4-ListChar"/>
    <w:link w:val="H4"/>
    <w:rsid w:val="00A207F8"/>
    <w:rPr>
      <w:rFonts w:ascii="Arial" w:hAnsi="Arial" w:cs="Arial"/>
      <w:b/>
      <w:color w:val="15272F" w:themeColor="text1"/>
      <w:sz w:val="36"/>
      <w:szCs w:val="18"/>
      <w:lang w:val="en-AU"/>
    </w:rPr>
  </w:style>
  <w:style w:type="character" w:styleId="Mention">
    <w:name w:val="Mention"/>
    <w:basedOn w:val="DefaultParagraphFont"/>
    <w:uiPriority w:val="99"/>
    <w:unhideWhenUsed/>
    <w:rsid w:val="00C54A83"/>
    <w:rPr>
      <w:color w:val="2B579A"/>
      <w:shd w:val="clear" w:color="auto" w:fill="E1DFDD"/>
    </w:rPr>
  </w:style>
  <w:style w:type="paragraph" w:customStyle="1" w:styleId="pf0">
    <w:name w:val="pf0"/>
    <w:basedOn w:val="Normal"/>
    <w:rsid w:val="001F13F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1F13F5"/>
    <w:rPr>
      <w:rFonts w:ascii="Segoe UI" w:hAnsi="Segoe UI" w:cs="Segoe UI" w:hint="default"/>
      <w:color w:val="15272F"/>
      <w:sz w:val="18"/>
      <w:szCs w:val="18"/>
    </w:rPr>
  </w:style>
  <w:style w:type="paragraph" w:customStyle="1" w:styleId="paragraph">
    <w:name w:val="paragraph"/>
    <w:basedOn w:val="Normal"/>
    <w:rsid w:val="00530EB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B818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18E8"/>
    <w:rPr>
      <w:sz w:val="20"/>
      <w:szCs w:val="20"/>
      <w:lang w:val="en-AU"/>
    </w:rPr>
  </w:style>
  <w:style w:type="character" w:styleId="FootnoteReference">
    <w:name w:val="footnote reference"/>
    <w:basedOn w:val="DefaultParagraphFont"/>
    <w:uiPriority w:val="99"/>
    <w:semiHidden/>
    <w:unhideWhenUsed/>
    <w:rsid w:val="00B818E8"/>
    <w:rPr>
      <w:vertAlign w:val="superscript"/>
    </w:rPr>
  </w:style>
  <w:style w:type="paragraph" w:styleId="Title">
    <w:name w:val="Title"/>
    <w:basedOn w:val="Normal"/>
    <w:next w:val="Normal"/>
    <w:link w:val="TitleChar"/>
    <w:uiPriority w:val="10"/>
    <w:qFormat/>
    <w:rsid w:val="00803D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3D65"/>
    <w:rPr>
      <w:rFonts w:asciiTheme="majorHAnsi" w:eastAsiaTheme="majorEastAsia" w:hAnsiTheme="majorHAnsi" w:cstheme="majorBidi"/>
      <w:spacing w:val="-10"/>
      <w:kern w:val="28"/>
      <w:sz w:val="56"/>
      <w:szCs w:val="5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4641">
      <w:bodyDiv w:val="1"/>
      <w:marLeft w:val="0"/>
      <w:marRight w:val="0"/>
      <w:marTop w:val="0"/>
      <w:marBottom w:val="0"/>
      <w:divBdr>
        <w:top w:val="none" w:sz="0" w:space="0" w:color="auto"/>
        <w:left w:val="none" w:sz="0" w:space="0" w:color="auto"/>
        <w:bottom w:val="none" w:sz="0" w:space="0" w:color="auto"/>
        <w:right w:val="none" w:sz="0" w:space="0" w:color="auto"/>
      </w:divBdr>
    </w:div>
    <w:div w:id="168450966">
      <w:bodyDiv w:val="1"/>
      <w:marLeft w:val="0"/>
      <w:marRight w:val="0"/>
      <w:marTop w:val="0"/>
      <w:marBottom w:val="0"/>
      <w:divBdr>
        <w:top w:val="none" w:sz="0" w:space="0" w:color="auto"/>
        <w:left w:val="none" w:sz="0" w:space="0" w:color="auto"/>
        <w:bottom w:val="none" w:sz="0" w:space="0" w:color="auto"/>
        <w:right w:val="none" w:sz="0" w:space="0" w:color="auto"/>
      </w:divBdr>
    </w:div>
    <w:div w:id="208300307">
      <w:bodyDiv w:val="1"/>
      <w:marLeft w:val="0"/>
      <w:marRight w:val="0"/>
      <w:marTop w:val="0"/>
      <w:marBottom w:val="0"/>
      <w:divBdr>
        <w:top w:val="none" w:sz="0" w:space="0" w:color="auto"/>
        <w:left w:val="none" w:sz="0" w:space="0" w:color="auto"/>
        <w:bottom w:val="none" w:sz="0" w:space="0" w:color="auto"/>
        <w:right w:val="none" w:sz="0" w:space="0" w:color="auto"/>
      </w:divBdr>
    </w:div>
    <w:div w:id="224685247">
      <w:bodyDiv w:val="1"/>
      <w:marLeft w:val="0"/>
      <w:marRight w:val="0"/>
      <w:marTop w:val="0"/>
      <w:marBottom w:val="0"/>
      <w:divBdr>
        <w:top w:val="none" w:sz="0" w:space="0" w:color="auto"/>
        <w:left w:val="none" w:sz="0" w:space="0" w:color="auto"/>
        <w:bottom w:val="none" w:sz="0" w:space="0" w:color="auto"/>
        <w:right w:val="none" w:sz="0" w:space="0" w:color="auto"/>
      </w:divBdr>
    </w:div>
    <w:div w:id="261767719">
      <w:bodyDiv w:val="1"/>
      <w:marLeft w:val="0"/>
      <w:marRight w:val="0"/>
      <w:marTop w:val="0"/>
      <w:marBottom w:val="0"/>
      <w:divBdr>
        <w:top w:val="none" w:sz="0" w:space="0" w:color="auto"/>
        <w:left w:val="none" w:sz="0" w:space="0" w:color="auto"/>
        <w:bottom w:val="none" w:sz="0" w:space="0" w:color="auto"/>
        <w:right w:val="none" w:sz="0" w:space="0" w:color="auto"/>
      </w:divBdr>
    </w:div>
    <w:div w:id="300116178">
      <w:bodyDiv w:val="1"/>
      <w:marLeft w:val="0"/>
      <w:marRight w:val="0"/>
      <w:marTop w:val="0"/>
      <w:marBottom w:val="0"/>
      <w:divBdr>
        <w:top w:val="none" w:sz="0" w:space="0" w:color="auto"/>
        <w:left w:val="none" w:sz="0" w:space="0" w:color="auto"/>
        <w:bottom w:val="none" w:sz="0" w:space="0" w:color="auto"/>
        <w:right w:val="none" w:sz="0" w:space="0" w:color="auto"/>
      </w:divBdr>
    </w:div>
    <w:div w:id="351809920">
      <w:bodyDiv w:val="1"/>
      <w:marLeft w:val="0"/>
      <w:marRight w:val="0"/>
      <w:marTop w:val="0"/>
      <w:marBottom w:val="0"/>
      <w:divBdr>
        <w:top w:val="none" w:sz="0" w:space="0" w:color="auto"/>
        <w:left w:val="none" w:sz="0" w:space="0" w:color="auto"/>
        <w:bottom w:val="none" w:sz="0" w:space="0" w:color="auto"/>
        <w:right w:val="none" w:sz="0" w:space="0" w:color="auto"/>
      </w:divBdr>
    </w:div>
    <w:div w:id="355740428">
      <w:bodyDiv w:val="1"/>
      <w:marLeft w:val="0"/>
      <w:marRight w:val="0"/>
      <w:marTop w:val="0"/>
      <w:marBottom w:val="0"/>
      <w:divBdr>
        <w:top w:val="none" w:sz="0" w:space="0" w:color="auto"/>
        <w:left w:val="none" w:sz="0" w:space="0" w:color="auto"/>
        <w:bottom w:val="none" w:sz="0" w:space="0" w:color="auto"/>
        <w:right w:val="none" w:sz="0" w:space="0" w:color="auto"/>
      </w:divBdr>
    </w:div>
    <w:div w:id="412358023">
      <w:bodyDiv w:val="1"/>
      <w:marLeft w:val="0"/>
      <w:marRight w:val="0"/>
      <w:marTop w:val="0"/>
      <w:marBottom w:val="0"/>
      <w:divBdr>
        <w:top w:val="none" w:sz="0" w:space="0" w:color="auto"/>
        <w:left w:val="none" w:sz="0" w:space="0" w:color="auto"/>
        <w:bottom w:val="none" w:sz="0" w:space="0" w:color="auto"/>
        <w:right w:val="none" w:sz="0" w:space="0" w:color="auto"/>
      </w:divBdr>
    </w:div>
    <w:div w:id="414471174">
      <w:bodyDiv w:val="1"/>
      <w:marLeft w:val="0"/>
      <w:marRight w:val="0"/>
      <w:marTop w:val="0"/>
      <w:marBottom w:val="0"/>
      <w:divBdr>
        <w:top w:val="none" w:sz="0" w:space="0" w:color="auto"/>
        <w:left w:val="none" w:sz="0" w:space="0" w:color="auto"/>
        <w:bottom w:val="none" w:sz="0" w:space="0" w:color="auto"/>
        <w:right w:val="none" w:sz="0" w:space="0" w:color="auto"/>
      </w:divBdr>
    </w:div>
    <w:div w:id="418983332">
      <w:bodyDiv w:val="1"/>
      <w:marLeft w:val="0"/>
      <w:marRight w:val="0"/>
      <w:marTop w:val="0"/>
      <w:marBottom w:val="0"/>
      <w:divBdr>
        <w:top w:val="none" w:sz="0" w:space="0" w:color="auto"/>
        <w:left w:val="none" w:sz="0" w:space="0" w:color="auto"/>
        <w:bottom w:val="none" w:sz="0" w:space="0" w:color="auto"/>
        <w:right w:val="none" w:sz="0" w:space="0" w:color="auto"/>
      </w:divBdr>
    </w:div>
    <w:div w:id="492113409">
      <w:bodyDiv w:val="1"/>
      <w:marLeft w:val="0"/>
      <w:marRight w:val="0"/>
      <w:marTop w:val="0"/>
      <w:marBottom w:val="0"/>
      <w:divBdr>
        <w:top w:val="none" w:sz="0" w:space="0" w:color="auto"/>
        <w:left w:val="none" w:sz="0" w:space="0" w:color="auto"/>
        <w:bottom w:val="none" w:sz="0" w:space="0" w:color="auto"/>
        <w:right w:val="none" w:sz="0" w:space="0" w:color="auto"/>
      </w:divBdr>
    </w:div>
    <w:div w:id="507448616">
      <w:bodyDiv w:val="1"/>
      <w:marLeft w:val="0"/>
      <w:marRight w:val="0"/>
      <w:marTop w:val="0"/>
      <w:marBottom w:val="0"/>
      <w:divBdr>
        <w:top w:val="none" w:sz="0" w:space="0" w:color="auto"/>
        <w:left w:val="none" w:sz="0" w:space="0" w:color="auto"/>
        <w:bottom w:val="none" w:sz="0" w:space="0" w:color="auto"/>
        <w:right w:val="none" w:sz="0" w:space="0" w:color="auto"/>
      </w:divBdr>
    </w:div>
    <w:div w:id="549347541">
      <w:bodyDiv w:val="1"/>
      <w:marLeft w:val="0"/>
      <w:marRight w:val="0"/>
      <w:marTop w:val="0"/>
      <w:marBottom w:val="0"/>
      <w:divBdr>
        <w:top w:val="none" w:sz="0" w:space="0" w:color="auto"/>
        <w:left w:val="none" w:sz="0" w:space="0" w:color="auto"/>
        <w:bottom w:val="none" w:sz="0" w:space="0" w:color="auto"/>
        <w:right w:val="none" w:sz="0" w:space="0" w:color="auto"/>
      </w:divBdr>
    </w:div>
    <w:div w:id="581186779">
      <w:bodyDiv w:val="1"/>
      <w:marLeft w:val="0"/>
      <w:marRight w:val="0"/>
      <w:marTop w:val="0"/>
      <w:marBottom w:val="0"/>
      <w:divBdr>
        <w:top w:val="none" w:sz="0" w:space="0" w:color="auto"/>
        <w:left w:val="none" w:sz="0" w:space="0" w:color="auto"/>
        <w:bottom w:val="none" w:sz="0" w:space="0" w:color="auto"/>
        <w:right w:val="none" w:sz="0" w:space="0" w:color="auto"/>
      </w:divBdr>
    </w:div>
    <w:div w:id="698430538">
      <w:bodyDiv w:val="1"/>
      <w:marLeft w:val="0"/>
      <w:marRight w:val="0"/>
      <w:marTop w:val="0"/>
      <w:marBottom w:val="0"/>
      <w:divBdr>
        <w:top w:val="none" w:sz="0" w:space="0" w:color="auto"/>
        <w:left w:val="none" w:sz="0" w:space="0" w:color="auto"/>
        <w:bottom w:val="none" w:sz="0" w:space="0" w:color="auto"/>
        <w:right w:val="none" w:sz="0" w:space="0" w:color="auto"/>
      </w:divBdr>
    </w:div>
    <w:div w:id="719523989">
      <w:bodyDiv w:val="1"/>
      <w:marLeft w:val="0"/>
      <w:marRight w:val="0"/>
      <w:marTop w:val="0"/>
      <w:marBottom w:val="0"/>
      <w:divBdr>
        <w:top w:val="none" w:sz="0" w:space="0" w:color="auto"/>
        <w:left w:val="none" w:sz="0" w:space="0" w:color="auto"/>
        <w:bottom w:val="none" w:sz="0" w:space="0" w:color="auto"/>
        <w:right w:val="none" w:sz="0" w:space="0" w:color="auto"/>
      </w:divBdr>
    </w:div>
    <w:div w:id="802625894">
      <w:bodyDiv w:val="1"/>
      <w:marLeft w:val="0"/>
      <w:marRight w:val="0"/>
      <w:marTop w:val="0"/>
      <w:marBottom w:val="0"/>
      <w:divBdr>
        <w:top w:val="none" w:sz="0" w:space="0" w:color="auto"/>
        <w:left w:val="none" w:sz="0" w:space="0" w:color="auto"/>
        <w:bottom w:val="none" w:sz="0" w:space="0" w:color="auto"/>
        <w:right w:val="none" w:sz="0" w:space="0" w:color="auto"/>
      </w:divBdr>
    </w:div>
    <w:div w:id="849485306">
      <w:bodyDiv w:val="1"/>
      <w:marLeft w:val="0"/>
      <w:marRight w:val="0"/>
      <w:marTop w:val="0"/>
      <w:marBottom w:val="0"/>
      <w:divBdr>
        <w:top w:val="none" w:sz="0" w:space="0" w:color="auto"/>
        <w:left w:val="none" w:sz="0" w:space="0" w:color="auto"/>
        <w:bottom w:val="none" w:sz="0" w:space="0" w:color="auto"/>
        <w:right w:val="none" w:sz="0" w:space="0" w:color="auto"/>
      </w:divBdr>
    </w:div>
    <w:div w:id="873687513">
      <w:bodyDiv w:val="1"/>
      <w:marLeft w:val="0"/>
      <w:marRight w:val="0"/>
      <w:marTop w:val="0"/>
      <w:marBottom w:val="0"/>
      <w:divBdr>
        <w:top w:val="none" w:sz="0" w:space="0" w:color="auto"/>
        <w:left w:val="none" w:sz="0" w:space="0" w:color="auto"/>
        <w:bottom w:val="none" w:sz="0" w:space="0" w:color="auto"/>
        <w:right w:val="none" w:sz="0" w:space="0" w:color="auto"/>
      </w:divBdr>
    </w:div>
    <w:div w:id="960233998">
      <w:bodyDiv w:val="1"/>
      <w:marLeft w:val="0"/>
      <w:marRight w:val="0"/>
      <w:marTop w:val="0"/>
      <w:marBottom w:val="0"/>
      <w:divBdr>
        <w:top w:val="none" w:sz="0" w:space="0" w:color="auto"/>
        <w:left w:val="none" w:sz="0" w:space="0" w:color="auto"/>
        <w:bottom w:val="none" w:sz="0" w:space="0" w:color="auto"/>
        <w:right w:val="none" w:sz="0" w:space="0" w:color="auto"/>
      </w:divBdr>
    </w:div>
    <w:div w:id="969240525">
      <w:bodyDiv w:val="1"/>
      <w:marLeft w:val="0"/>
      <w:marRight w:val="0"/>
      <w:marTop w:val="0"/>
      <w:marBottom w:val="0"/>
      <w:divBdr>
        <w:top w:val="none" w:sz="0" w:space="0" w:color="auto"/>
        <w:left w:val="none" w:sz="0" w:space="0" w:color="auto"/>
        <w:bottom w:val="none" w:sz="0" w:space="0" w:color="auto"/>
        <w:right w:val="none" w:sz="0" w:space="0" w:color="auto"/>
      </w:divBdr>
    </w:div>
    <w:div w:id="985473978">
      <w:bodyDiv w:val="1"/>
      <w:marLeft w:val="0"/>
      <w:marRight w:val="0"/>
      <w:marTop w:val="0"/>
      <w:marBottom w:val="0"/>
      <w:divBdr>
        <w:top w:val="none" w:sz="0" w:space="0" w:color="auto"/>
        <w:left w:val="none" w:sz="0" w:space="0" w:color="auto"/>
        <w:bottom w:val="none" w:sz="0" w:space="0" w:color="auto"/>
        <w:right w:val="none" w:sz="0" w:space="0" w:color="auto"/>
      </w:divBdr>
    </w:div>
    <w:div w:id="1018699068">
      <w:bodyDiv w:val="1"/>
      <w:marLeft w:val="0"/>
      <w:marRight w:val="0"/>
      <w:marTop w:val="0"/>
      <w:marBottom w:val="0"/>
      <w:divBdr>
        <w:top w:val="none" w:sz="0" w:space="0" w:color="auto"/>
        <w:left w:val="none" w:sz="0" w:space="0" w:color="auto"/>
        <w:bottom w:val="none" w:sz="0" w:space="0" w:color="auto"/>
        <w:right w:val="none" w:sz="0" w:space="0" w:color="auto"/>
      </w:divBdr>
    </w:div>
    <w:div w:id="1055861330">
      <w:bodyDiv w:val="1"/>
      <w:marLeft w:val="0"/>
      <w:marRight w:val="0"/>
      <w:marTop w:val="0"/>
      <w:marBottom w:val="0"/>
      <w:divBdr>
        <w:top w:val="none" w:sz="0" w:space="0" w:color="auto"/>
        <w:left w:val="none" w:sz="0" w:space="0" w:color="auto"/>
        <w:bottom w:val="none" w:sz="0" w:space="0" w:color="auto"/>
        <w:right w:val="none" w:sz="0" w:space="0" w:color="auto"/>
      </w:divBdr>
    </w:div>
    <w:div w:id="1080057272">
      <w:bodyDiv w:val="1"/>
      <w:marLeft w:val="0"/>
      <w:marRight w:val="0"/>
      <w:marTop w:val="0"/>
      <w:marBottom w:val="0"/>
      <w:divBdr>
        <w:top w:val="none" w:sz="0" w:space="0" w:color="auto"/>
        <w:left w:val="none" w:sz="0" w:space="0" w:color="auto"/>
        <w:bottom w:val="none" w:sz="0" w:space="0" w:color="auto"/>
        <w:right w:val="none" w:sz="0" w:space="0" w:color="auto"/>
      </w:divBdr>
    </w:div>
    <w:div w:id="1106732664">
      <w:bodyDiv w:val="1"/>
      <w:marLeft w:val="0"/>
      <w:marRight w:val="0"/>
      <w:marTop w:val="0"/>
      <w:marBottom w:val="0"/>
      <w:divBdr>
        <w:top w:val="none" w:sz="0" w:space="0" w:color="auto"/>
        <w:left w:val="none" w:sz="0" w:space="0" w:color="auto"/>
        <w:bottom w:val="none" w:sz="0" w:space="0" w:color="auto"/>
        <w:right w:val="none" w:sz="0" w:space="0" w:color="auto"/>
      </w:divBdr>
    </w:div>
    <w:div w:id="1121264869">
      <w:bodyDiv w:val="1"/>
      <w:marLeft w:val="0"/>
      <w:marRight w:val="0"/>
      <w:marTop w:val="0"/>
      <w:marBottom w:val="0"/>
      <w:divBdr>
        <w:top w:val="none" w:sz="0" w:space="0" w:color="auto"/>
        <w:left w:val="none" w:sz="0" w:space="0" w:color="auto"/>
        <w:bottom w:val="none" w:sz="0" w:space="0" w:color="auto"/>
        <w:right w:val="none" w:sz="0" w:space="0" w:color="auto"/>
      </w:divBdr>
    </w:div>
    <w:div w:id="1179583408">
      <w:bodyDiv w:val="1"/>
      <w:marLeft w:val="0"/>
      <w:marRight w:val="0"/>
      <w:marTop w:val="0"/>
      <w:marBottom w:val="0"/>
      <w:divBdr>
        <w:top w:val="none" w:sz="0" w:space="0" w:color="auto"/>
        <w:left w:val="none" w:sz="0" w:space="0" w:color="auto"/>
        <w:bottom w:val="none" w:sz="0" w:space="0" w:color="auto"/>
        <w:right w:val="none" w:sz="0" w:space="0" w:color="auto"/>
      </w:divBdr>
    </w:div>
    <w:div w:id="1182478219">
      <w:bodyDiv w:val="1"/>
      <w:marLeft w:val="0"/>
      <w:marRight w:val="0"/>
      <w:marTop w:val="0"/>
      <w:marBottom w:val="0"/>
      <w:divBdr>
        <w:top w:val="none" w:sz="0" w:space="0" w:color="auto"/>
        <w:left w:val="none" w:sz="0" w:space="0" w:color="auto"/>
        <w:bottom w:val="none" w:sz="0" w:space="0" w:color="auto"/>
        <w:right w:val="none" w:sz="0" w:space="0" w:color="auto"/>
      </w:divBdr>
    </w:div>
    <w:div w:id="1270046814">
      <w:bodyDiv w:val="1"/>
      <w:marLeft w:val="0"/>
      <w:marRight w:val="0"/>
      <w:marTop w:val="0"/>
      <w:marBottom w:val="0"/>
      <w:divBdr>
        <w:top w:val="none" w:sz="0" w:space="0" w:color="auto"/>
        <w:left w:val="none" w:sz="0" w:space="0" w:color="auto"/>
        <w:bottom w:val="none" w:sz="0" w:space="0" w:color="auto"/>
        <w:right w:val="none" w:sz="0" w:space="0" w:color="auto"/>
      </w:divBdr>
    </w:div>
    <w:div w:id="1286958951">
      <w:bodyDiv w:val="1"/>
      <w:marLeft w:val="0"/>
      <w:marRight w:val="0"/>
      <w:marTop w:val="0"/>
      <w:marBottom w:val="0"/>
      <w:divBdr>
        <w:top w:val="none" w:sz="0" w:space="0" w:color="auto"/>
        <w:left w:val="none" w:sz="0" w:space="0" w:color="auto"/>
        <w:bottom w:val="none" w:sz="0" w:space="0" w:color="auto"/>
        <w:right w:val="none" w:sz="0" w:space="0" w:color="auto"/>
      </w:divBdr>
    </w:div>
    <w:div w:id="1386951182">
      <w:bodyDiv w:val="1"/>
      <w:marLeft w:val="0"/>
      <w:marRight w:val="0"/>
      <w:marTop w:val="0"/>
      <w:marBottom w:val="0"/>
      <w:divBdr>
        <w:top w:val="none" w:sz="0" w:space="0" w:color="auto"/>
        <w:left w:val="none" w:sz="0" w:space="0" w:color="auto"/>
        <w:bottom w:val="none" w:sz="0" w:space="0" w:color="auto"/>
        <w:right w:val="none" w:sz="0" w:space="0" w:color="auto"/>
      </w:divBdr>
    </w:div>
    <w:div w:id="1418137219">
      <w:bodyDiv w:val="1"/>
      <w:marLeft w:val="0"/>
      <w:marRight w:val="0"/>
      <w:marTop w:val="0"/>
      <w:marBottom w:val="0"/>
      <w:divBdr>
        <w:top w:val="none" w:sz="0" w:space="0" w:color="auto"/>
        <w:left w:val="none" w:sz="0" w:space="0" w:color="auto"/>
        <w:bottom w:val="none" w:sz="0" w:space="0" w:color="auto"/>
        <w:right w:val="none" w:sz="0" w:space="0" w:color="auto"/>
      </w:divBdr>
    </w:div>
    <w:div w:id="1467428978">
      <w:bodyDiv w:val="1"/>
      <w:marLeft w:val="0"/>
      <w:marRight w:val="0"/>
      <w:marTop w:val="0"/>
      <w:marBottom w:val="0"/>
      <w:divBdr>
        <w:top w:val="none" w:sz="0" w:space="0" w:color="auto"/>
        <w:left w:val="none" w:sz="0" w:space="0" w:color="auto"/>
        <w:bottom w:val="none" w:sz="0" w:space="0" w:color="auto"/>
        <w:right w:val="none" w:sz="0" w:space="0" w:color="auto"/>
      </w:divBdr>
    </w:div>
    <w:div w:id="1468858493">
      <w:bodyDiv w:val="1"/>
      <w:marLeft w:val="0"/>
      <w:marRight w:val="0"/>
      <w:marTop w:val="0"/>
      <w:marBottom w:val="0"/>
      <w:divBdr>
        <w:top w:val="none" w:sz="0" w:space="0" w:color="auto"/>
        <w:left w:val="none" w:sz="0" w:space="0" w:color="auto"/>
        <w:bottom w:val="none" w:sz="0" w:space="0" w:color="auto"/>
        <w:right w:val="none" w:sz="0" w:space="0" w:color="auto"/>
      </w:divBdr>
    </w:div>
    <w:div w:id="1538010358">
      <w:bodyDiv w:val="1"/>
      <w:marLeft w:val="0"/>
      <w:marRight w:val="0"/>
      <w:marTop w:val="0"/>
      <w:marBottom w:val="0"/>
      <w:divBdr>
        <w:top w:val="none" w:sz="0" w:space="0" w:color="auto"/>
        <w:left w:val="none" w:sz="0" w:space="0" w:color="auto"/>
        <w:bottom w:val="none" w:sz="0" w:space="0" w:color="auto"/>
        <w:right w:val="none" w:sz="0" w:space="0" w:color="auto"/>
      </w:divBdr>
    </w:div>
    <w:div w:id="1627077641">
      <w:bodyDiv w:val="1"/>
      <w:marLeft w:val="0"/>
      <w:marRight w:val="0"/>
      <w:marTop w:val="0"/>
      <w:marBottom w:val="0"/>
      <w:divBdr>
        <w:top w:val="none" w:sz="0" w:space="0" w:color="auto"/>
        <w:left w:val="none" w:sz="0" w:space="0" w:color="auto"/>
        <w:bottom w:val="none" w:sz="0" w:space="0" w:color="auto"/>
        <w:right w:val="none" w:sz="0" w:space="0" w:color="auto"/>
      </w:divBdr>
    </w:div>
    <w:div w:id="1650668149">
      <w:bodyDiv w:val="1"/>
      <w:marLeft w:val="0"/>
      <w:marRight w:val="0"/>
      <w:marTop w:val="0"/>
      <w:marBottom w:val="0"/>
      <w:divBdr>
        <w:top w:val="none" w:sz="0" w:space="0" w:color="auto"/>
        <w:left w:val="none" w:sz="0" w:space="0" w:color="auto"/>
        <w:bottom w:val="none" w:sz="0" w:space="0" w:color="auto"/>
        <w:right w:val="none" w:sz="0" w:space="0" w:color="auto"/>
      </w:divBdr>
    </w:div>
    <w:div w:id="1785230026">
      <w:bodyDiv w:val="1"/>
      <w:marLeft w:val="0"/>
      <w:marRight w:val="0"/>
      <w:marTop w:val="0"/>
      <w:marBottom w:val="0"/>
      <w:divBdr>
        <w:top w:val="none" w:sz="0" w:space="0" w:color="auto"/>
        <w:left w:val="none" w:sz="0" w:space="0" w:color="auto"/>
        <w:bottom w:val="none" w:sz="0" w:space="0" w:color="auto"/>
        <w:right w:val="none" w:sz="0" w:space="0" w:color="auto"/>
      </w:divBdr>
    </w:div>
    <w:div w:id="1817642351">
      <w:bodyDiv w:val="1"/>
      <w:marLeft w:val="0"/>
      <w:marRight w:val="0"/>
      <w:marTop w:val="0"/>
      <w:marBottom w:val="0"/>
      <w:divBdr>
        <w:top w:val="none" w:sz="0" w:space="0" w:color="auto"/>
        <w:left w:val="none" w:sz="0" w:space="0" w:color="auto"/>
        <w:bottom w:val="none" w:sz="0" w:space="0" w:color="auto"/>
        <w:right w:val="none" w:sz="0" w:space="0" w:color="auto"/>
      </w:divBdr>
    </w:div>
    <w:div w:id="1859351875">
      <w:bodyDiv w:val="1"/>
      <w:marLeft w:val="0"/>
      <w:marRight w:val="0"/>
      <w:marTop w:val="0"/>
      <w:marBottom w:val="0"/>
      <w:divBdr>
        <w:top w:val="none" w:sz="0" w:space="0" w:color="auto"/>
        <w:left w:val="none" w:sz="0" w:space="0" w:color="auto"/>
        <w:bottom w:val="none" w:sz="0" w:space="0" w:color="auto"/>
        <w:right w:val="none" w:sz="0" w:space="0" w:color="auto"/>
      </w:divBdr>
    </w:div>
    <w:div w:id="1900751712">
      <w:bodyDiv w:val="1"/>
      <w:marLeft w:val="0"/>
      <w:marRight w:val="0"/>
      <w:marTop w:val="0"/>
      <w:marBottom w:val="0"/>
      <w:divBdr>
        <w:top w:val="none" w:sz="0" w:space="0" w:color="auto"/>
        <w:left w:val="none" w:sz="0" w:space="0" w:color="auto"/>
        <w:bottom w:val="none" w:sz="0" w:space="0" w:color="auto"/>
        <w:right w:val="none" w:sz="0" w:space="0" w:color="auto"/>
      </w:divBdr>
    </w:div>
    <w:div w:id="1910921149">
      <w:bodyDiv w:val="1"/>
      <w:marLeft w:val="0"/>
      <w:marRight w:val="0"/>
      <w:marTop w:val="0"/>
      <w:marBottom w:val="0"/>
      <w:divBdr>
        <w:top w:val="none" w:sz="0" w:space="0" w:color="auto"/>
        <w:left w:val="none" w:sz="0" w:space="0" w:color="auto"/>
        <w:bottom w:val="none" w:sz="0" w:space="0" w:color="auto"/>
        <w:right w:val="none" w:sz="0" w:space="0" w:color="auto"/>
      </w:divBdr>
    </w:div>
    <w:div w:id="1934625717">
      <w:bodyDiv w:val="1"/>
      <w:marLeft w:val="0"/>
      <w:marRight w:val="0"/>
      <w:marTop w:val="0"/>
      <w:marBottom w:val="0"/>
      <w:divBdr>
        <w:top w:val="none" w:sz="0" w:space="0" w:color="auto"/>
        <w:left w:val="none" w:sz="0" w:space="0" w:color="auto"/>
        <w:bottom w:val="none" w:sz="0" w:space="0" w:color="auto"/>
        <w:right w:val="none" w:sz="0" w:space="0" w:color="auto"/>
      </w:divBdr>
    </w:div>
    <w:div w:id="2020545509">
      <w:bodyDiv w:val="1"/>
      <w:marLeft w:val="0"/>
      <w:marRight w:val="0"/>
      <w:marTop w:val="0"/>
      <w:marBottom w:val="0"/>
      <w:divBdr>
        <w:top w:val="none" w:sz="0" w:space="0" w:color="auto"/>
        <w:left w:val="none" w:sz="0" w:space="0" w:color="auto"/>
        <w:bottom w:val="none" w:sz="0" w:space="0" w:color="auto"/>
        <w:right w:val="none" w:sz="0" w:space="0" w:color="auto"/>
      </w:divBdr>
    </w:div>
    <w:div w:id="211728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ihacpa.gov.au/resources/cost-shifting-and-cross-border-dispute-resolution-policy" TargetMode="External"/><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image" Target="media/image7.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learn.ihacpa.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safetyandquality.gov.au/our-work/indicators-measurement-and-reporting/hospital-acquired-complications-hacs" TargetMode="External"/><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safetyandquality.gov.au/our-work/indicators-measurement-and-reporting/incident-management-and-sentinel-events" TargetMode="External"/><Relationship Id="rId28" Type="http://schemas.openxmlformats.org/officeDocument/2006/relationships/hyperlink" Target="https://www.health.gov.au/resources/publications/benchmark-price-for-prostheses-in-australian-public-hospitals-2020-21" TargetMode="External"/><Relationship Id="rId36" Type="http://schemas.openxmlformats.org/officeDocument/2006/relationships/hyperlink" Target="http://www.ihacpa.gov.au/" TargetMode="Externa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 Id="rId22" Type="http://schemas.openxmlformats.org/officeDocument/2006/relationships/hyperlink" Target="https://www.ihacpa.gov.au/resources/general-list-scope-public-hospital-services-eligibility-policy" TargetMode="External"/><Relationship Id="rId27" Type="http://schemas.openxmlformats.org/officeDocument/2006/relationships/hyperlink" Target="https://www.health.gov.au/resources/publications/support-at-home-service-list?language=en" TargetMode="External"/><Relationship Id="rId30" Type="http://schemas.openxmlformats.org/officeDocument/2006/relationships/header" Target="header7.xml"/><Relationship Id="rId35" Type="http://schemas.openxmlformats.org/officeDocument/2006/relationships/hyperlink" Target="mailto:enquiries.ihacpa@ihacpa.gov.a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hyperlink" Target="https://www.safetyandquality.gov.au/publications-and-resources/resource-library/avoidable-hospital-readmissions-ahrs-specifications" TargetMode="External"/><Relationship Id="rId33" Type="http://schemas.openxmlformats.org/officeDocument/2006/relationships/image" Target="media/image6.png"/><Relationship Id="rId38" Type="http://schemas.openxmlformats.org/officeDocument/2006/relationships/header" Target="header11.xml"/></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56990-65E2-44EC-A1C5-7181B4E1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31</Pages>
  <Words>10124</Words>
  <Characters>58927</Characters>
  <Application>Microsoft Office Word</Application>
  <DocSecurity>0</DocSecurity>
  <Lines>1178</Lines>
  <Paragraphs>704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CONWAY, Julia</dc:creator>
  <cp:keywords/>
  <dc:description/>
  <cp:lastModifiedBy>YOUNG, Georgina</cp:lastModifiedBy>
  <cp:revision>16</cp:revision>
  <cp:lastPrinted>2024-07-24T22:20:00Z</cp:lastPrinted>
  <dcterms:created xsi:type="dcterms:W3CDTF">2026-02-16T02:01:00Z</dcterms:created>
  <dcterms:modified xsi:type="dcterms:W3CDTF">2026-03-04T22:20:00Z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3ac9a43c,7c269065,6a2635de,66036110,1804bc5c,7954f731,6569a322,3c3e7bac,b7ee48e,7fbb159,cfd3490,3dc6075a,412b1ee4,296ea984,684198e2</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4290b768,64d9c527,24dab382,2a82ce31</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2025-11-06T02:14:37Z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c16c02d2-ef0d-43c4-840f-0a58da0c3c04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